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579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9628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GREENWOOD DAVID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right="1040"/>
        <w:spacing w:after="0" w:line="330" w:lineRule="auto"/>
        <w:rPr>
          <w:sz w:val="20"/>
          <w:szCs w:val="20"/>
          <w:color w:val="auto"/>
        </w:rPr>
      </w:pPr>
      <w:r>
        <w:rPr>
          <w:rFonts w:ascii="Times New Roman" w:cs="Times New Roman" w:eastAsia="Times New Roman" w:hAnsi="Times New Roman"/>
          <w:sz w:val="17"/>
          <w:szCs w:val="17"/>
          <w:color w:val="0000FF"/>
        </w:rPr>
        <w:t>C/O GERON CORPORATION 230 CONSTITUTION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GERON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GERN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05/20/2011</w:t>
      </w:r>
    </w:p>
    <w:p>
      <w:pPr>
        <w:spacing w:after="0" w:line="20" w:lineRule="exact"/>
        <w:rPr>
          <w:sz w:val="24"/>
          <w:szCs w:val="24"/>
          <w:color w:val="auto"/>
        </w:rPr>
      </w:pPr>
      <w:r>
        <w:rPr>
          <w:sz w:val="24"/>
          <w:szCs w:val="24"/>
          <w:color w:val="auto"/>
        </w:rPr>
        <w:br w:type="column"/>
      </w:r>
    </w:p>
    <w:p>
      <w:pPr>
        <w:ind w:left="-9" w:right="680" w:firstLine="9"/>
        <w:spacing w:after="0" w:line="26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31"/>
        <w:spacing w:after="0"/>
        <w:rPr>
          <w:sz w:val="20"/>
          <w:szCs w:val="20"/>
          <w:color w:val="auto"/>
        </w:rPr>
      </w:pPr>
      <w:r>
        <w:rPr>
          <w:rFonts w:ascii="Times New Roman" w:cs="Times New Roman" w:eastAsia="Times New Roman" w:hAnsi="Times New Roman"/>
          <w:sz w:val="17"/>
          <w:szCs w:val="17"/>
          <w:color w:val="0000FF"/>
        </w:rPr>
        <w:t>President, Interim CEO, CFO</w:t>
      </w:r>
    </w:p>
    <w:p>
      <w:pPr>
        <w:spacing w:after="0" w:line="409" w:lineRule="exact"/>
        <w:rPr>
          <w:sz w:val="24"/>
          <w:szCs w:val="24"/>
          <w:color w:val="auto"/>
        </w:rPr>
      </w:pPr>
    </w:p>
    <w:p>
      <w:pPr>
        <w:sectPr>
          <w:pgSz w:w="11900" w:h="16838" w:orient="portrait"/>
          <w:cols w:equalWidth="0" w:num="3">
            <w:col w:w="3340" w:space="720"/>
            <w:col w:w="3269" w:space="720"/>
            <w:col w:w="3471"/>
          </w:cols>
          <w:pgMar w:left="240" w:top="218" w:right="139" w:bottom="1440" w:gutter="0" w:footer="0" w:header="0"/>
          <w:type w:val="continuous"/>
        </w:sectPr>
      </w:pPr>
    </w:p>
    <w:p>
      <w:pPr>
        <w:spacing w:after="0" w:line="211"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94025</w:t>
            </w:r>
          </w:p>
        </w:tc>
      </w:tr>
      <w:tr>
        <w:trPr>
          <w:trHeight w:val="153"/>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05/20/2011</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jc w:val="center"/>
              <w:ind w:left="127"/>
              <w:spacing w:after="0"/>
              <w:rPr>
                <w:sz w:val="20"/>
                <w:szCs w:val="20"/>
                <w:color w:val="auto"/>
              </w:rPr>
            </w:pPr>
            <w:r>
              <w:rPr>
                <w:rFonts w:ascii="Times New Roman" w:cs="Times New Roman" w:eastAsia="Times New Roman" w:hAnsi="Times New Roman"/>
                <w:sz w:val="17"/>
                <w:szCs w:val="17"/>
                <w:color w:val="0000FF"/>
                <w:w w:val="93"/>
              </w:rPr>
              <w:t>50,000</w:t>
            </w:r>
            <w:r>
              <w:rPr>
                <w:rFonts w:ascii="Times New Roman" w:cs="Times New Roman" w:eastAsia="Times New Roman" w:hAnsi="Times New Roman"/>
                <w:sz w:val="22"/>
                <w:szCs w:val="22"/>
                <w:color w:val="008000"/>
                <w:w w:val="9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37"/>
              <w:spacing w:after="0" w:line="318"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674,998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(2)</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05/20/2011</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jc w:val="center"/>
              <w:ind w:left="127"/>
              <w:spacing w:after="0"/>
              <w:rPr>
                <w:sz w:val="20"/>
                <w:szCs w:val="20"/>
                <w:color w:val="auto"/>
              </w:rPr>
            </w:pPr>
            <w:r>
              <w:rPr>
                <w:rFonts w:ascii="Times New Roman" w:cs="Times New Roman" w:eastAsia="Times New Roman" w:hAnsi="Times New Roman"/>
                <w:sz w:val="17"/>
                <w:szCs w:val="17"/>
                <w:color w:val="0000FF"/>
                <w:w w:val="93"/>
              </w:rPr>
              <w:t>77,500</w:t>
            </w:r>
            <w:r>
              <w:rPr>
                <w:rFonts w:ascii="Times New Roman" w:cs="Times New Roman" w:eastAsia="Times New Roman" w:hAnsi="Times New Roman"/>
                <w:sz w:val="22"/>
                <w:szCs w:val="22"/>
                <w:color w:val="008000"/>
                <w:w w:val="93"/>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37"/>
              <w:spacing w:after="0" w:line="318"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752,498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05/20/2011</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jc w:val="center"/>
              <w:ind w:left="127"/>
              <w:spacing w:after="0"/>
              <w:rPr>
                <w:sz w:val="20"/>
                <w:szCs w:val="20"/>
                <w:color w:val="auto"/>
              </w:rPr>
            </w:pPr>
            <w:r>
              <w:rPr>
                <w:rFonts w:ascii="Times New Roman" w:cs="Times New Roman" w:eastAsia="Times New Roman" w:hAnsi="Times New Roman"/>
                <w:sz w:val="17"/>
                <w:szCs w:val="17"/>
                <w:color w:val="0000FF"/>
                <w:w w:val="93"/>
              </w:rPr>
              <w:t>20,000</w:t>
            </w:r>
            <w:r>
              <w:rPr>
                <w:rFonts w:ascii="Times New Roman" w:cs="Times New Roman" w:eastAsia="Times New Roman" w:hAnsi="Times New Roman"/>
                <w:sz w:val="22"/>
                <w:szCs w:val="22"/>
                <w:color w:val="008000"/>
                <w:w w:val="93"/>
                <w:vertAlign w:val="superscript"/>
              </w:rPr>
              <w:t>(3)</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37"/>
              <w:spacing w:after="0" w:line="318"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772,498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05/20/2011</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jc w:val="center"/>
              <w:ind w:left="127"/>
              <w:spacing w:after="0"/>
              <w:rPr>
                <w:sz w:val="20"/>
                <w:szCs w:val="20"/>
                <w:color w:val="auto"/>
              </w:rPr>
            </w:pPr>
            <w:r>
              <w:rPr>
                <w:rFonts w:ascii="Times New Roman" w:cs="Times New Roman" w:eastAsia="Times New Roman" w:hAnsi="Times New Roman"/>
                <w:sz w:val="17"/>
                <w:szCs w:val="17"/>
                <w:color w:val="0000FF"/>
                <w:w w:val="93"/>
              </w:rPr>
              <w:t>20,000</w:t>
            </w:r>
            <w:r>
              <w:rPr>
                <w:rFonts w:ascii="Times New Roman" w:cs="Times New Roman" w:eastAsia="Times New Roman" w:hAnsi="Times New Roman"/>
                <w:sz w:val="22"/>
                <w:szCs w:val="22"/>
                <w:color w:val="008000"/>
                <w:w w:val="93"/>
                <w:vertAlign w:val="superscript"/>
              </w:rPr>
              <w:t>(4)</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37"/>
              <w:spacing w:after="0" w:line="318"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(4)</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792,498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(6)</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7"/>
              <w:spacing w:after="0"/>
              <w:rPr>
                <w:sz w:val="20"/>
                <w:szCs w:val="20"/>
                <w:color w:val="auto"/>
              </w:rPr>
            </w:pPr>
            <w:r>
              <w:rPr>
                <w:rFonts w:ascii="Times New Roman" w:cs="Times New Roman" w:eastAsia="Times New Roman" w:hAnsi="Times New Roman"/>
                <w:sz w:val="17"/>
                <w:szCs w:val="17"/>
                <w:color w:val="0000FF"/>
              </w:rPr>
              <w:t>05/24/2011</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gridSpan w:val="2"/>
          </w:tcPr>
          <w:p>
            <w:pPr>
              <w:jc w:val="center"/>
              <w:ind w:left="107"/>
              <w:spacing w:after="0"/>
              <w:rPr>
                <w:sz w:val="20"/>
                <w:szCs w:val="20"/>
                <w:color w:val="auto"/>
              </w:rPr>
            </w:pPr>
            <w:r>
              <w:rPr>
                <w:rFonts w:ascii="Times New Roman" w:cs="Times New Roman" w:eastAsia="Times New Roman" w:hAnsi="Times New Roman"/>
                <w:sz w:val="17"/>
                <w:szCs w:val="17"/>
                <w:color w:val="0000FF"/>
                <w:w w:val="90"/>
              </w:rPr>
              <w:t>4,462</w:t>
            </w:r>
            <w:r>
              <w:rPr>
                <w:rFonts w:ascii="Times New Roman" w:cs="Times New Roman" w:eastAsia="Times New Roman" w:hAnsi="Times New Roman"/>
                <w:sz w:val="22"/>
                <w:szCs w:val="22"/>
                <w:color w:val="008000"/>
                <w:w w:val="90"/>
                <w:vertAlign w:val="superscript"/>
              </w:rPr>
              <w:t>(6)</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77"/>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4.47</w:t>
            </w:r>
            <w:r>
              <w:rPr>
                <w:rFonts w:ascii="Times New Roman" w:cs="Times New Roman" w:eastAsia="Times New Roman" w:hAnsi="Times New Roman"/>
                <w:sz w:val="22"/>
                <w:szCs w:val="22"/>
                <w:color w:val="008000"/>
                <w:w w:val="92"/>
                <w:vertAlign w:val="superscript"/>
              </w:rPr>
              <w:t>(6)</w:t>
            </w:r>
          </w:p>
        </w:tc>
        <w:tc>
          <w:tcPr>
            <w:tcW w:w="130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788,036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80" w:type="dxa"/>
            <w:vAlign w:val="bottom"/>
            <w:gridSpan w:val="11"/>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6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4.65</w:t>
            </w:r>
          </w:p>
        </w:tc>
        <w:tc>
          <w:tcPr>
            <w:tcW w:w="1100" w:type="dxa"/>
            <w:vAlign w:val="bottom"/>
          </w:tcPr>
          <w:p>
            <w:pPr>
              <w:jc w:val="right"/>
              <w:ind w:right="179"/>
              <w:spacing w:after="0" w:line="132" w:lineRule="exact"/>
              <w:rPr>
                <w:sz w:val="20"/>
                <w:szCs w:val="20"/>
                <w:color w:val="auto"/>
              </w:rPr>
            </w:pPr>
            <w:r>
              <w:rPr>
                <w:rFonts w:ascii="Times New Roman" w:cs="Times New Roman" w:eastAsia="Times New Roman" w:hAnsi="Times New Roman"/>
                <w:sz w:val="13"/>
                <w:szCs w:val="13"/>
                <w:color w:val="0000FF"/>
              </w:rPr>
              <w:t>05/20/2011</w:t>
            </w:r>
          </w:p>
        </w:tc>
        <w:tc>
          <w:tcPr>
            <w:tcW w:w="1120" w:type="dxa"/>
            <w:vAlign w:val="bottom"/>
          </w:tcPr>
          <w:p>
            <w:pPr>
              <w:spacing w:after="0"/>
              <w:rPr>
                <w:sz w:val="11"/>
                <w:szCs w:val="11"/>
                <w:color w:val="auto"/>
              </w:rPr>
            </w:pPr>
          </w:p>
        </w:tc>
        <w:tc>
          <w:tcPr>
            <w:tcW w:w="780" w:type="dxa"/>
            <w:vAlign w:val="bottom"/>
          </w:tcPr>
          <w:p>
            <w:pPr>
              <w:ind w:left="180"/>
              <w:spacing w:after="0" w:line="132"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0000FF"/>
              </w:rPr>
              <w:t>05/20/2021</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tcPr>
          <w:p>
            <w:pPr>
              <w:ind w:left="220"/>
              <w:spacing w:after="0" w:line="132" w:lineRule="exact"/>
              <w:rPr>
                <w:sz w:val="20"/>
                <w:szCs w:val="20"/>
                <w:color w:val="auto"/>
              </w:rPr>
            </w:pPr>
            <w:r>
              <w:rPr>
                <w:rFonts w:ascii="Times New Roman" w:cs="Times New Roman" w:eastAsia="Times New Roman" w:hAnsi="Times New Roman"/>
                <w:sz w:val="13"/>
                <w:szCs w:val="13"/>
                <w:color w:val="0000FF"/>
              </w:rPr>
              <w:t>100,000</w:t>
            </w:r>
          </w:p>
        </w:tc>
        <w:tc>
          <w:tcPr>
            <w:tcW w:w="680" w:type="dxa"/>
            <w:vAlign w:val="bottom"/>
          </w:tcPr>
          <w:p>
            <w:pPr>
              <w:ind w:left="340"/>
              <w:spacing w:after="0" w:line="13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4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will remain subject to a repurchase right of Geron over four years, during such time the repurchase right will lapse with respect to 25% of such shares on each anniversary date of May 28, 2011. The lapse of Geron's repurchase right is conditioned on the employee continuing to provide services to Geron through each vesting date.</w:t>
      </w:r>
    </w:p>
    <w:p>
      <w:pPr>
        <w:spacing w:after="0" w:line="8" w:lineRule="exact"/>
        <w:rPr>
          <w:rFonts w:ascii="Times New Roman" w:cs="Times New Roman" w:eastAsia="Times New Roman" w:hAnsi="Times New Roman"/>
          <w:sz w:val="13"/>
          <w:szCs w:val="13"/>
          <w:color w:val="008000"/>
        </w:rPr>
      </w:pPr>
    </w:p>
    <w:p>
      <w:pPr>
        <w:ind w:left="40" w:right="28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will remain subject to a repurchase right of Geron over two years, during which time the repurchase right will lapse with respect to 50% of such shares on each anniversary date of May 28, 2011. The lapse of Geron's repurchase right is conditioned on the employee continuing to provide services to Geron through each vesting date.</w:t>
      </w:r>
    </w:p>
    <w:p>
      <w:pPr>
        <w:spacing w:after="0" w:line="8" w:lineRule="exact"/>
        <w:rPr>
          <w:rFonts w:ascii="Times New Roman" w:cs="Times New Roman" w:eastAsia="Times New Roman" w:hAnsi="Times New Roman"/>
          <w:sz w:val="13"/>
          <w:szCs w:val="13"/>
          <w:color w:val="008000"/>
        </w:rPr>
      </w:pPr>
    </w:p>
    <w:p>
      <w:pPr>
        <w:ind w:left="40" w:right="38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will remain subject to a reacquisition right of Geron over 19 months until the achievement of certain performance milestone critiera in connection with the Company's GRN1005 program.</w:t>
      </w:r>
    </w:p>
    <w:p>
      <w:pPr>
        <w:spacing w:after="0" w:line="8" w:lineRule="exact"/>
        <w:rPr>
          <w:rFonts w:ascii="Times New Roman" w:cs="Times New Roman" w:eastAsia="Times New Roman" w:hAnsi="Times New Roman"/>
          <w:sz w:val="13"/>
          <w:szCs w:val="13"/>
          <w:color w:val="008000"/>
        </w:rPr>
      </w:pPr>
    </w:p>
    <w:p>
      <w:pPr>
        <w:ind w:left="40" w:right="3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will remain subject to a reacquisition right of Geron over three years until the achievement of certain performance milestone critiera in connection with the Company's GRN1005 program.</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exercisable in a series of 48 consecutive equal monthly installments commencing May 20, 2011, provided the optionee continues to provide services to the Company.</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for payment of payroll tax withholdings in connection with vesting of restricted stock award.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4"/>
          <w:szCs w:val="24"/>
          <w:color w:val="auto"/>
        </w:rPr>
      </w:pPr>
    </w:p>
    <w:p>
      <w:pPr>
        <w:ind w:left="6860"/>
        <w:spacing w:after="0"/>
        <w:tabs>
          <w:tab w:leader="none" w:pos="9120" w:val="left"/>
        </w:tabs>
        <w:rPr>
          <w:sz w:val="20"/>
          <w:szCs w:val="20"/>
          <w:color w:val="auto"/>
        </w:rPr>
      </w:pPr>
      <w:r>
        <w:rPr>
          <w:rFonts w:ascii="Times New Roman" w:cs="Times New Roman" w:eastAsia="Times New Roman" w:hAnsi="Times New Roman"/>
          <w:sz w:val="17"/>
          <w:szCs w:val="17"/>
          <w:color w:val="0000FF"/>
        </w:rPr>
        <w:t>/s/ Olivia Bloom for David L.</w:t>
      </w:r>
      <w:r>
        <w:rPr>
          <w:sz w:val="20"/>
          <w:szCs w:val="20"/>
          <w:color w:val="auto"/>
        </w:rPr>
        <w:tab/>
      </w:r>
      <w:r>
        <w:rPr>
          <w:rFonts w:ascii="Times New Roman" w:cs="Times New Roman" w:eastAsia="Times New Roman" w:hAnsi="Times New Roman"/>
          <w:sz w:val="25"/>
          <w:szCs w:val="25"/>
          <w:color w:val="0000FF"/>
          <w:vertAlign w:val="subscript"/>
        </w:rPr>
        <w:t>05/24/2011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297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Greenwood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025" TargetMode="External"/><Relationship Id="rId13"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2019-12-16T06:54:56Z</dcterms:created>
  <dcterms:modified xsi:type="dcterms:W3CDTF">2019-12-16T06:54:56Z</dcterms:modified>
</cp:coreProperties>
</file>