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3</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Geron Corp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 $0.001 par value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03/31/2026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Deep Track Capital, LP</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ectPr>
          <w:pgSz w:w="11900" w:h="16838" w:orient="portrait"/>
          <w:cols w:equalWidth="0" w:num="1">
            <w:col w:w="10099"/>
          </w:cols>
          <w:pgMar w:left="360" w:top="866" w:right="1440" w:bottom="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right="7079" w:hanging="231"/>
        <w:spacing w:after="0" w:line="371" w:lineRule="auto"/>
        <w:tabs>
          <w:tab w:leader="none" w:pos="28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Voting Power 0.00</w:t>
      </w:r>
    </w:p>
    <w:p>
      <w:pPr>
        <w:spacing w:after="0" w:line="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31,720,278.00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31,720,278.00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31,720,278.00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4.95 %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IA, OO</w:t>
      </w:r>
    </w:p>
    <w:p>
      <w:pPr>
        <w:spacing w:after="0" w:line="200" w:lineRule="exact"/>
        <w:rPr>
          <w:sz w:val="20"/>
          <w:szCs w:val="20"/>
          <w:color w:val="auto"/>
        </w:rPr>
      </w:pPr>
    </w:p>
    <w:p>
      <w:pPr>
        <w:sectPr>
          <w:pgSz w:w="11900" w:h="16838" w:orient="portrait"/>
          <w:cols w:equalWidth="0" w:num="2">
            <w:col w:w="1060" w:space="60"/>
            <w:col w:w="8979"/>
          </w:cols>
          <w:pgMar w:left="360" w:top="111" w:right="1440"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Deep Track Biotechnology Master Fund, Ltd.</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11" w:right="1440" w:bottom="0" w:gutter="0" w:footer="0" w:header="0"/>
          <w:type w:val="continuous"/>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jc w:val="right"/>
        <w:ind w:right="7059"/>
        <w:spacing w:after="0"/>
        <w:rPr>
          <w:sz w:val="20"/>
          <w:szCs w:val="20"/>
          <w:color w:val="auto"/>
        </w:rPr>
      </w:pPr>
      <w:r>
        <w:rPr>
          <w:rFonts w:ascii="Times New Roman" w:cs="Times New Roman" w:eastAsia="Times New Roman" w:hAnsi="Times New Roman"/>
          <w:sz w:val="21"/>
          <w:szCs w:val="21"/>
          <w:color w:val="auto"/>
        </w:rPr>
        <w:t>CAYMAN ISLANDS</w:t>
      </w:r>
    </w:p>
    <w:p>
      <w:pPr>
        <w:spacing w:after="0" w:line="96" w:lineRule="exact"/>
        <w:rPr>
          <w:sz w:val="20"/>
          <w:szCs w:val="20"/>
          <w:color w:val="auto"/>
        </w:rPr>
      </w:pPr>
    </w:p>
    <w:p>
      <w:pPr>
        <w:jc w:val="right"/>
        <w:ind w:right="7079"/>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31,720,278.00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31,720,278.00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31,720,278.00</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1" w:lineRule="exact"/>
        <w:rPr>
          <w:sz w:val="20"/>
          <w:szCs w:val="20"/>
          <w:color w:val="auto"/>
        </w:rPr>
      </w:pPr>
    </w:p>
    <w:p>
      <w:pPr>
        <w:sectPr>
          <w:pgSz w:w="11900" w:h="16838" w:orient="portrait"/>
          <w:cols w:equalWidth="0" w:num="2">
            <w:col w:w="1060" w:space="60"/>
            <w:col w:w="8979"/>
          </w:cols>
          <w:pgMar w:left="360" w:top="111" w:right="1440" w:bottom="0" w:gutter="0" w:footer="0" w:header="0"/>
          <w:type w:val="continuous"/>
        </w:sect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2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ectPr>
          <w:pgSz w:w="11900" w:h="16838" w:orient="portrait"/>
          <w:cols w:equalWidth="0" w:num="1">
            <w:col w:w="10099"/>
          </w:cols>
          <w:pgMar w:left="360" w:top="111" w:right="1440" w:bottom="0" w:gutter="0" w:footer="0" w:header="0"/>
          <w:type w:val="continuous"/>
        </w:sectPr>
      </w:pPr>
    </w:p>
    <w:bookmarkStart w:id="2" w:name="page3"/>
    <w:bookmarkEnd w:id="2"/>
    <w:p>
      <w:pPr>
        <w:ind w:left="1120" w:right="4679" w:hanging="1112"/>
        <w:spacing w:after="0" w:line="371" w:lineRule="auto"/>
        <w:tabs>
          <w:tab w:leader="none" w:pos="11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Percent of class represented by amount in row (9) 4.95 %</w:t>
      </w:r>
    </w:p>
    <w:p>
      <w:pPr>
        <w:spacing w:after="0" w:line="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ind w:left="1120"/>
        <w:spacing w:after="0"/>
        <w:rPr>
          <w:sz w:val="20"/>
          <w:szCs w:val="20"/>
          <w:color w:val="auto"/>
        </w:rPr>
      </w:pPr>
      <w:r>
        <w:rPr>
          <w:rFonts w:ascii="Times New Roman" w:cs="Times New Roman" w:eastAsia="Times New Roman" w:hAnsi="Times New Roman"/>
          <w:sz w:val="22"/>
          <w:szCs w:val="22"/>
          <w:color w:val="auto"/>
        </w:rPr>
        <w:t>CO</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David Kroin</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11" w:right="1440" w:bottom="0" w:gutter="0" w:footer="0" w:header="0"/>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UNITED STATES</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31,720,278.00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31,720,278.00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31,720,278.00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4.95 %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HC, IN</w:t>
      </w:r>
    </w:p>
    <w:p>
      <w:pPr>
        <w:spacing w:after="0" w:line="200" w:lineRule="exact"/>
        <w:rPr>
          <w:sz w:val="20"/>
          <w:szCs w:val="20"/>
          <w:color w:val="auto"/>
        </w:rPr>
      </w:pPr>
    </w:p>
    <w:p>
      <w:pPr>
        <w:sectPr>
          <w:pgSz w:w="11900" w:h="16838" w:orient="portrait"/>
          <w:cols w:equalWidth="0" w:num="2">
            <w:col w:w="1060" w:space="60"/>
            <w:col w:w="8979"/>
          </w:cols>
          <w:pgMar w:left="360" w:top="111" w:right="1440" w:bottom="0" w:gutter="0" w:footer="0" w:header="0"/>
          <w:type w:val="continuous"/>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Geron Corp</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jc w:val="right"/>
        <w:ind w:right="4059"/>
        <w:spacing w:after="0"/>
        <w:rPr>
          <w:sz w:val="20"/>
          <w:szCs w:val="20"/>
          <w:color w:val="auto"/>
        </w:rPr>
      </w:pPr>
      <w:r>
        <w:rPr>
          <w:rFonts w:ascii="Times New Roman" w:cs="Times New Roman" w:eastAsia="Times New Roman" w:hAnsi="Times New Roman"/>
          <w:sz w:val="22"/>
          <w:szCs w:val="22"/>
          <w:color w:val="auto"/>
        </w:rPr>
        <w:t>919 East Hillsdale Blvd., Suite 250, Foster City, CA 94404</w:t>
      </w:r>
    </w:p>
    <w:p>
      <w:pPr>
        <w:sectPr>
          <w:pgSz w:w="11900" w:h="16838" w:orient="portrait"/>
          <w:cols w:equalWidth="0" w:num="1">
            <w:col w:w="10099"/>
          </w:cols>
          <w:pgMar w:left="360" w:top="111" w:right="1440" w:bottom="0" w:gutter="0" w:footer="0" w:header="0"/>
          <w:type w:val="continuous"/>
        </w:sectPr>
      </w:pPr>
    </w:p>
    <w:bookmarkStart w:id="3" w:name="page4"/>
    <w:bookmarkEnd w:id="3"/>
    <w:p>
      <w:pPr>
        <w:spacing w:after="0"/>
        <w:rPr>
          <w:sz w:val="20"/>
          <w:szCs w:val="20"/>
          <w:color w:val="auto"/>
        </w:rPr>
      </w:pPr>
      <w:r>
        <w:rPr>
          <w:rFonts w:ascii="Times New Roman" w:cs="Times New Roman" w:eastAsia="Times New Roman" w:hAnsi="Times New Roman"/>
          <w:sz w:val="22"/>
          <w:szCs w:val="22"/>
          <w:color w:val="auto"/>
        </w:rPr>
        <w:t>Item 2.</w:t>
      </w:r>
    </w:p>
    <w:p>
      <w:pPr>
        <w:spacing w:after="0" w:line="45"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right="1920"/>
        <w:spacing w:after="0" w:line="286" w:lineRule="auto"/>
        <w:rPr>
          <w:sz w:val="20"/>
          <w:szCs w:val="20"/>
          <w:color w:val="auto"/>
        </w:rPr>
      </w:pPr>
      <w:r>
        <w:rPr>
          <w:rFonts w:ascii="Times New Roman" w:cs="Times New Roman" w:eastAsia="Times New Roman" w:hAnsi="Times New Roman"/>
          <w:sz w:val="22"/>
          <w:szCs w:val="22"/>
          <w:color w:val="auto"/>
        </w:rPr>
        <w:t>(i) Deep Track Capital, LP (ii) Deep Track Biotechnology Master Fund, Ltd. (iii) David Kroin Address or principal business office or, if none, residence:</w:t>
      </w:r>
    </w:p>
    <w:p>
      <w:pPr>
        <w:spacing w:after="0" w:line="156" w:lineRule="exact"/>
        <w:rPr>
          <w:sz w:val="20"/>
          <w:szCs w:val="20"/>
          <w:color w:val="auto"/>
        </w:rPr>
      </w:pPr>
    </w:p>
    <w:p>
      <w:pPr>
        <w:ind w:left="920" w:hanging="912"/>
        <w:spacing w:after="0" w:line="244" w:lineRule="auto"/>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200 Greenwich Ave, 3rd Floor, Greenwich, CT 06830 (ii) c/o Walkers Corporate Limited, 190 Elgin Ave, George Town, KY1-9001, Cayman Islands (iii) c/o Deep Track Capital, LP, 200 Greenwich Ave, 3rd Floor, Greenwich, CT 06830</w:t>
      </w:r>
    </w:p>
    <w:p>
      <w:pPr>
        <w:spacing w:after="0" w:line="11"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Citizenship:</w:t>
      </w:r>
    </w:p>
    <w:p>
      <w:pPr>
        <w:sectPr>
          <w:pgSz w:w="11900" w:h="16838" w:orient="portrait"/>
          <w:cols w:equalWidth="0" w:num="1">
            <w:col w:w="10980"/>
          </w:cols>
          <w:pgMar w:left="360" w:top="112" w:right="559" w:bottom="0" w:gutter="0" w:footer="0" w:header="0"/>
        </w:sectPr>
      </w:pP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200" w:lineRule="exact"/>
        <w:rPr>
          <w:sz w:val="20"/>
          <w:szCs w:val="20"/>
          <w:color w:val="auto"/>
        </w:rPr>
      </w:pPr>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3.</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(g)</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(j)</w:t>
      </w: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(k)</w:t>
      </w:r>
    </w:p>
    <w:p>
      <w:pPr>
        <w:spacing w:after="0" w:line="35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4.</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0" w:lineRule="exact"/>
        <w:rPr>
          <w:sz w:val="20"/>
          <w:szCs w:val="20"/>
          <w:color w:val="auto"/>
        </w:rPr>
      </w:pPr>
      <w:r>
        <w:rPr>
          <w:sz w:val="20"/>
          <w:szCs w:val="20"/>
          <w:color w:val="auto"/>
        </w:rPr>
        <w:br w:type="column"/>
      </w:r>
    </w:p>
    <w:p>
      <w:pPr>
        <w:spacing w:after="0" w:line="213" w:lineRule="exact"/>
        <w:rPr>
          <w:sz w:val="20"/>
          <w:szCs w:val="20"/>
          <w:color w:val="auto"/>
        </w:rPr>
      </w:pPr>
    </w:p>
    <w:p>
      <w:pPr>
        <w:ind w:right="5620" w:firstLine="6"/>
        <w:spacing w:after="0" w:line="309" w:lineRule="auto"/>
        <w:tabs>
          <w:tab w:leader="none" w:pos="25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Delaware (ii) Cayman Islands (iii) United States Title of class of securities:</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 Stock, $0.001 par value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6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Broker or dealer registered under section 15 of the Act (15 U.S.C. 78o);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Bank as defined in section 3(a)(6)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Insurance company as defined in section 3(a)(19)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1"/>
          <w:szCs w:val="21"/>
          <w:color w:val="auto"/>
        </w:rPr>
        <w:t>Investment company registered under section 8 of the Investment Company Act of 1940 (15 U.S.C. 80a-8);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-144145</wp:posOffset>
            </wp:positionV>
            <wp:extent cx="128905" cy="12890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4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An investment adviser in accordance with § 240.13d-1(b)(1)(ii)(E);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An employee benefit plan or endowment fund in accordance with § 240.13d-1(b)(1)(ii)(F);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27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parent holding company or control person in accordance with § 240.13d-1(b)(1)(ii)(G);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savings associations as defined in Section 3(b) of the Federal Deposit Insurance Act (12 U.S.C. 1813);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right="520"/>
        <w:spacing w:after="0" w:line="258" w:lineRule="auto"/>
        <w:rPr>
          <w:sz w:val="20"/>
          <w:szCs w:val="20"/>
          <w:color w:val="auto"/>
        </w:rPr>
      </w:pPr>
      <w:r>
        <w:rPr>
          <w:sz w:val="1"/>
          <w:szCs w:val="1"/>
          <w:color w:val="auto"/>
        </w:rPr>
        <w:drawing>
          <wp:inline distT="0" distB="0" distL="0" distR="0">
            <wp:extent cx="128905" cy="128905"/>
            <wp:effectExtent l="0" t="0" r="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church plan that is excluded from the definition of an investment company under section 3(c)(14) of the Investment Company Act of 1940 (15 U.S.C. 80a-3);</w:t>
      </w:r>
    </w:p>
    <w:p>
      <w:pPr>
        <w:spacing w:after="0" w:line="10" w:lineRule="exact"/>
        <w:rPr>
          <w:sz w:val="20"/>
          <w:szCs w:val="20"/>
          <w:color w:val="auto"/>
        </w:rPr>
      </w:pPr>
    </w:p>
    <w:p>
      <w:pPr>
        <w:ind w:right="860"/>
        <w:spacing w:after="0" w:line="241" w:lineRule="auto"/>
        <w:rPr>
          <w:sz w:val="20"/>
          <w:szCs w:val="20"/>
          <w:color w:val="auto"/>
        </w:rPr>
      </w:pPr>
      <w:r>
        <w:rPr>
          <w:sz w:val="1"/>
          <w:szCs w:val="1"/>
          <w:color w:val="auto"/>
        </w:rPr>
        <w:drawing>
          <wp:inline distT="0" distB="0" distL="0" distR="0">
            <wp:extent cx="128905" cy="128905"/>
            <wp:effectExtent l="0" t="0" r="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 accordance with § 240.13d-1(b)(1)(ii)(J),</w:t>
      </w:r>
    </w:p>
    <w:p>
      <w:pPr>
        <w:spacing w:after="0" w:line="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Group, in accordance with Rule 240.13d-1(b)(1)(ii)(K).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31,720,278</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w:t>
      </w:r>
    </w:p>
    <w:p>
      <w:pPr>
        <w:spacing w:after="0" w:line="256" w:lineRule="exact"/>
        <w:rPr>
          <w:sz w:val="20"/>
          <w:szCs w:val="20"/>
          <w:color w:val="auto"/>
        </w:rPr>
      </w:pPr>
    </w:p>
    <w:p>
      <w:pPr>
        <w:sectPr>
          <w:pgSz w:w="11900" w:h="16838" w:orient="portrait"/>
          <w:cols w:equalWidth="0" w:num="2">
            <w:col w:w="620" w:space="300"/>
            <w:col w:w="10060"/>
          </w:cols>
          <w:pgMar w:left="360" w:top="112" w:right="559" w:bottom="0" w:gutter="0" w:footer="0" w:header="0"/>
          <w:type w:val="continuous"/>
        </w:sectPr>
      </w:pPr>
    </w:p>
    <w:p>
      <w:pPr>
        <w:ind w:left="920"/>
        <w:spacing w:after="0"/>
        <w:rPr>
          <w:sz w:val="20"/>
          <w:szCs w:val="20"/>
          <w:color w:val="auto"/>
        </w:rPr>
      </w:pPr>
      <w:r>
        <w:rPr>
          <w:rFonts w:ascii="Times New Roman" w:cs="Times New Roman" w:eastAsia="Times New Roman" w:hAnsi="Times New Roman"/>
          <w:sz w:val="22"/>
          <w:szCs w:val="22"/>
          <w:color w:val="auto"/>
        </w:rPr>
        <w:t>4.95% %</w:t>
      </w:r>
    </w:p>
    <w:p>
      <w:pPr>
        <w:spacing w:after="0" w:line="20" w:lineRule="exact"/>
        <w:rPr>
          <w:sz w:val="20"/>
          <w:szCs w:val="20"/>
          <w:color w:val="auto"/>
        </w:rPr>
      </w:pPr>
    </w:p>
    <w:p>
      <w:pPr>
        <w:ind w:left="920" w:hanging="912"/>
        <w:spacing w:after="0"/>
        <w:tabs>
          <w:tab w:leader="none" w:pos="9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pacing w:after="0" w:line="44"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Sole power to vote or to direct the vote:</w:t>
      </w:r>
    </w:p>
    <w:p>
      <w:pPr>
        <w:spacing w:after="0" w:line="23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0</w:t>
      </w:r>
    </w:p>
    <w:p>
      <w:pPr>
        <w:spacing w:after="0" w:line="287" w:lineRule="exact"/>
        <w:rPr>
          <w:sz w:val="20"/>
          <w:szCs w:val="20"/>
          <w:color w:val="auto"/>
        </w:rPr>
      </w:pPr>
    </w:p>
    <w:p>
      <w:pPr>
        <w:ind w:left="920" w:right="6080" w:firstLine="6"/>
        <w:spacing w:after="0" w:line="486" w:lineRule="auto"/>
        <w:tabs>
          <w:tab w:leader="none" w:pos="1238"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 31,720,278</w:t>
      </w:r>
    </w:p>
    <w:p>
      <w:pPr>
        <w:spacing w:after="0" w:line="1" w:lineRule="exact"/>
        <w:rPr>
          <w:rFonts w:ascii="Times New Roman" w:cs="Times New Roman" w:eastAsia="Times New Roman" w:hAnsi="Times New Roman"/>
          <w:sz w:val="22"/>
          <w:szCs w:val="22"/>
          <w:color w:val="auto"/>
        </w:rPr>
      </w:pPr>
    </w:p>
    <w:p>
      <w:pPr>
        <w:ind w:left="1300" w:hanging="374"/>
        <w:spacing w:after="0"/>
        <w:tabs>
          <w:tab w:leader="none" w:pos="130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w:t>
      </w:r>
    </w:p>
    <w:p>
      <w:pPr>
        <w:spacing w:after="0" w:line="233"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left="920" w:right="4960" w:firstLine="6"/>
        <w:spacing w:after="0" w:line="486" w:lineRule="auto"/>
        <w:tabs>
          <w:tab w:leader="none" w:pos="1286"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 31,720,278</w:t>
      </w:r>
    </w:p>
    <w:p>
      <w:pPr>
        <w:spacing w:after="0" w:line="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5.</w:t>
      </w:r>
      <w:r>
        <w:rPr>
          <w:sz w:val="20"/>
          <w:szCs w:val="20"/>
          <w:color w:val="auto"/>
        </w:rPr>
        <w:tab/>
      </w:r>
      <w:r>
        <w:rPr>
          <w:rFonts w:ascii="Times New Roman" w:cs="Times New Roman" w:eastAsia="Times New Roman" w:hAnsi="Times New Roman"/>
          <w:sz w:val="21"/>
          <w:szCs w:val="21"/>
          <w:color w:val="auto"/>
        </w:rPr>
        <w:t>Ownership of 5 Percent or Less of a Class.</w:t>
      </w:r>
    </w:p>
    <w:p>
      <w:pPr>
        <w:spacing w:after="0" w:line="58"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-151130</wp:posOffset>
            </wp:positionV>
            <wp:extent cx="128905" cy="12827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2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6.</w:t>
      </w:r>
      <w:r>
        <w:rPr>
          <w:sz w:val="20"/>
          <w:szCs w:val="20"/>
          <w:color w:val="auto"/>
        </w:rPr>
        <w:tab/>
      </w:r>
      <w:r>
        <w:rPr>
          <w:rFonts w:ascii="Times New Roman" w:cs="Times New Roman" w:eastAsia="Times New Roman" w:hAnsi="Times New Roman"/>
          <w:sz w:val="21"/>
          <w:szCs w:val="21"/>
          <w:color w:val="auto"/>
        </w:rPr>
        <w:t>Ownership of more than 5 Percent on Behalf of Another Person.</w:t>
      </w:r>
    </w:p>
    <w:p>
      <w:pPr>
        <w:sectPr>
          <w:pgSz w:w="11900" w:h="16838" w:orient="portrait"/>
          <w:cols w:equalWidth="0" w:num="1">
            <w:col w:w="10980"/>
          </w:cols>
          <w:pgMar w:left="360" w:top="112" w:right="559" w:bottom="0" w:gutter="0" w:footer="0" w:header="0"/>
          <w:type w:val="continuous"/>
        </w:sectPr>
      </w:pPr>
    </w:p>
    <w:bookmarkStart w:id="4" w:name="page5"/>
    <w:bookmarkEnd w:id="4"/>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8.</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9.</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10.</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5" w:lineRule="exact"/>
        <w:rPr>
          <w:sz w:val="20"/>
          <w:szCs w:val="20"/>
          <w:color w:val="auto"/>
        </w:rPr>
      </w:pPr>
    </w:p>
    <w:p>
      <w:pPr>
        <w:ind w:right="48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jc w:val="both"/>
        <w:ind w:right="20"/>
        <w:spacing w:after="0" w:line="239" w:lineRule="auto"/>
        <w:rPr>
          <w:sz w:val="20"/>
          <w:szCs w:val="20"/>
          <w:color w:val="auto"/>
        </w:rPr>
      </w:pPr>
      <w:r>
        <w:rPr>
          <w:rFonts w:ascii="Times New Roman" w:cs="Times New Roman" w:eastAsia="Times New Roman" w:hAnsi="Times New Roman"/>
          <w:sz w:val="22"/>
          <w:szCs w:val="22"/>
          <w:color w:val="auto"/>
        </w:rPr>
        <w:t>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Deep Track Capital, LP is the relevant entity for which David Kroin may be considered a control person.</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Notice of Dissolution of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Certifications:</w:t>
      </w:r>
    </w:p>
    <w:p>
      <w:pPr>
        <w:spacing w:after="0" w:line="44" w:lineRule="exact"/>
        <w:rPr>
          <w:sz w:val="20"/>
          <w:szCs w:val="20"/>
          <w:color w:val="auto"/>
        </w:rPr>
      </w:pPr>
    </w:p>
    <w:p>
      <w:pPr>
        <w:sectPr>
          <w:pgSz w:w="11900" w:h="16838" w:orient="portrait"/>
          <w:cols w:equalWidth="0" w:num="2">
            <w:col w:w="720" w:space="200"/>
            <w:col w:w="10240"/>
          </w:cols>
          <w:pgMar w:left="360" w:top="112" w:right="379" w:bottom="1440" w:gutter="0" w:footer="0" w:header="0"/>
        </w:sectPr>
      </w:pPr>
    </w:p>
    <w:p>
      <w:pPr>
        <w:ind w:left="940" w:right="180"/>
        <w:spacing w:after="0" w:line="239"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right="2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2240"/>
        <w:spacing w:after="0"/>
        <w:rPr>
          <w:sz w:val="20"/>
          <w:szCs w:val="20"/>
          <w:color w:val="auto"/>
        </w:rPr>
      </w:pPr>
      <w:r>
        <w:rPr>
          <w:rFonts w:ascii="Times New Roman" w:cs="Times New Roman" w:eastAsia="Times New Roman" w:hAnsi="Times New Roman"/>
          <w:sz w:val="22"/>
          <w:szCs w:val="22"/>
          <w:color w:val="auto"/>
        </w:rPr>
        <w:t>Deep Track Capital, LP</w:t>
      </w:r>
    </w:p>
    <w:p>
      <w:pPr>
        <w:spacing w:after="0" w:line="152"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David Kroin</w:t>
      </w:r>
    </w:p>
    <w:p>
      <w:pPr>
        <w:ind w:left="5660"/>
        <w:spacing w:after="0" w:line="180" w:lineRule="auto"/>
        <w:rPr>
          <w:sz w:val="20"/>
          <w:szCs w:val="20"/>
          <w:color w:val="auto"/>
        </w:rPr>
      </w:pPr>
      <w:r>
        <w:rPr>
          <w:rFonts w:ascii="Times New Roman" w:cs="Times New Roman" w:eastAsia="Times New Roman" w:hAnsi="Times New Roman"/>
          <w:sz w:val="36"/>
          <w:szCs w:val="36"/>
          <w:color w:val="auto"/>
          <w:vertAlign w:val="subscript"/>
        </w:rPr>
        <w:t>Name/Title:</w:t>
      </w:r>
      <w:r>
        <w:rPr>
          <w:rFonts w:ascii="Times New Roman" w:cs="Times New Roman" w:eastAsia="Times New Roman" w:hAnsi="Times New Roman"/>
          <w:sz w:val="19"/>
          <w:szCs w:val="19"/>
          <w:color w:val="auto"/>
        </w:rPr>
        <w:t xml:space="preserve"> David Kroin, Managing Member of the General</w:t>
      </w:r>
    </w:p>
    <w:p>
      <w:pPr>
        <w:spacing w:after="0" w:line="1"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2"/>
          <w:szCs w:val="22"/>
          <w:color w:val="auto"/>
        </w:rPr>
        <w:t>Partner of the Investment Adviser</w:t>
      </w:r>
    </w:p>
    <w:p>
      <w:pPr>
        <w:spacing w:after="0" w:line="20"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05/15/2026</w:t>
      </w:r>
    </w:p>
    <w:p>
      <w:pPr>
        <w:spacing w:after="0" w:line="152"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22"/>
          <w:szCs w:val="22"/>
          <w:color w:val="auto"/>
        </w:rPr>
        <w:t>Deep Track Biotechnology Master Fund, Ltd.</w:t>
      </w:r>
    </w:p>
    <w:p>
      <w:pPr>
        <w:spacing w:after="0" w:line="152" w:lineRule="exact"/>
        <w:rPr>
          <w:sz w:val="20"/>
          <w:szCs w:val="20"/>
          <w:color w:val="auto"/>
        </w:rPr>
      </w:pPr>
    </w:p>
    <w:p>
      <w:pPr>
        <w:ind w:left="3200"/>
        <w:spacing w:after="0"/>
        <w:tabs>
          <w:tab w:leader="none" w:pos="42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David Kroin</w:t>
      </w:r>
    </w:p>
    <w:p>
      <w:pPr>
        <w:spacing w:after="0" w:line="44" w:lineRule="exact"/>
        <w:rPr>
          <w:sz w:val="20"/>
          <w:szCs w:val="20"/>
          <w:color w:val="auto"/>
        </w:rPr>
      </w:pPr>
    </w:p>
    <w:p>
      <w:pPr>
        <w:ind w:left="3200"/>
        <w:spacing w:after="0"/>
        <w:rPr>
          <w:sz w:val="20"/>
          <w:szCs w:val="20"/>
          <w:color w:val="auto"/>
        </w:rPr>
      </w:pPr>
      <w:r>
        <w:rPr>
          <w:rFonts w:ascii="Times New Roman" w:cs="Times New Roman" w:eastAsia="Times New Roman" w:hAnsi="Times New Roman"/>
          <w:sz w:val="22"/>
          <w:szCs w:val="22"/>
          <w:color w:val="auto"/>
        </w:rPr>
        <w:t>Name/Title: David Kroin, Director</w:t>
      </w:r>
    </w:p>
    <w:p>
      <w:pPr>
        <w:spacing w:after="0" w:line="44" w:lineRule="exact"/>
        <w:rPr>
          <w:sz w:val="20"/>
          <w:szCs w:val="20"/>
          <w:color w:val="auto"/>
        </w:rPr>
      </w:pPr>
    </w:p>
    <w:p>
      <w:pPr>
        <w:ind w:left="3200"/>
        <w:spacing w:after="0"/>
        <w:tabs>
          <w:tab w:leader="none" w:pos="426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05/15/2026</w:t>
      </w:r>
    </w:p>
    <w:p>
      <w:pPr>
        <w:spacing w:after="0" w:line="152"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22"/>
          <w:szCs w:val="22"/>
          <w:color w:val="auto"/>
        </w:rPr>
        <w:t>David Kroin</w:t>
      </w:r>
    </w:p>
    <w:p>
      <w:pPr>
        <w:spacing w:after="0" w:line="152" w:lineRule="exact"/>
        <w:rPr>
          <w:sz w:val="20"/>
          <w:szCs w:val="20"/>
          <w:color w:val="auto"/>
        </w:rPr>
      </w:pPr>
    </w:p>
    <w:p>
      <w:pPr>
        <w:ind w:left="2620"/>
        <w:spacing w:after="0"/>
        <w:tabs>
          <w:tab w:leader="none" w:pos="37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David Kroin</w:t>
      </w:r>
    </w:p>
    <w:p>
      <w:pPr>
        <w:spacing w:after="0" w:line="44" w:lineRule="exact"/>
        <w:rPr>
          <w:sz w:val="20"/>
          <w:szCs w:val="20"/>
          <w:color w:val="auto"/>
        </w:rPr>
      </w:pPr>
    </w:p>
    <w:p>
      <w:pPr>
        <w:ind w:left="2620"/>
        <w:spacing w:after="0"/>
        <w:rPr>
          <w:sz w:val="20"/>
          <w:szCs w:val="20"/>
          <w:color w:val="auto"/>
        </w:rPr>
      </w:pPr>
      <w:r>
        <w:rPr>
          <w:rFonts w:ascii="Times New Roman" w:cs="Times New Roman" w:eastAsia="Times New Roman" w:hAnsi="Times New Roman"/>
          <w:sz w:val="22"/>
          <w:szCs w:val="22"/>
          <w:color w:val="auto"/>
        </w:rPr>
        <w:t>Name/Title: David Kroin</w:t>
      </w:r>
    </w:p>
    <w:p>
      <w:pPr>
        <w:spacing w:after="0" w:line="44" w:lineRule="exact"/>
        <w:rPr>
          <w:sz w:val="20"/>
          <w:szCs w:val="20"/>
          <w:color w:val="auto"/>
        </w:rPr>
      </w:pPr>
    </w:p>
    <w:p>
      <w:pPr>
        <w:ind w:left="2620"/>
        <w:spacing w:after="0"/>
        <w:tabs>
          <w:tab w:leader="none" w:pos="37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05/15/2026</w:t>
      </w:r>
    </w:p>
    <w:p>
      <w:pPr>
        <w:spacing w:after="0" w:line="108"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b w:val="1"/>
          <w:bCs w:val="1"/>
          <w:color w:val="auto"/>
        </w:rPr>
        <w:t>Exhibit Information</w:t>
      </w:r>
    </w:p>
    <w:p>
      <w:pPr>
        <w:spacing w:after="0" w:line="291" w:lineRule="exact"/>
        <w:rPr>
          <w:sz w:val="20"/>
          <w:szCs w:val="20"/>
          <w:color w:val="auto"/>
        </w:rPr>
      </w:pPr>
    </w:p>
    <w:p>
      <w:pPr>
        <w:spacing w:after="0" w:line="233" w:lineRule="auto"/>
        <w:rPr>
          <w:sz w:val="20"/>
          <w:szCs w:val="20"/>
          <w:color w:val="auto"/>
        </w:rPr>
      </w:pPr>
      <w:r>
        <w:rPr>
          <w:rFonts w:ascii="Times New Roman" w:cs="Times New Roman" w:eastAsia="Times New Roman" w:hAnsi="Times New Roman"/>
          <w:sz w:val="22"/>
          <w:szCs w:val="22"/>
          <w:color w:val="auto"/>
        </w:rPr>
        <w:t>Item 4: Information with respect to the Reporting Persons' ownership of the Common Stock as of, March 31, 2026 is incorporated by reference to items (5) - (9) and (11) of the cover page of the respective Reporting Person. The amount beneficially owned by each Reporting Person is determined based on 640,544,661 Common Stock outstanding as of February 20, 2026, according to the issuer's 10-K filed with the SEC on March 2, 2026. JOINT FILING STATEMENT PURSUANT TO RULE 13d-1(k) The undersigned acknowledge and agree that the foregoing statement on SCHEDULE 13G, is filed on behalf of each of the undersigned and that all subsequent amendments to this statement on SCHEDULE 13G, shall be filed on behalf of each of the undersigned without the necessity of filing additional joint acquisition statements. The undersigned acknowledge that each shall be responsible for the timely filing of such amendments, and for the completeness and accuracy of the information concerning him or it contained therein, but shall not be responsible for the completeness and accuracy of the information concerning the others, except to the extent that he or it knows or has reason to believe that such information is inaccurate. Dated: May 15, 2026 Deep Track Capital, LP By: /s/ David Kroin David Kroin, Managing Member of the General Partner of the Investment Adviser Deep Track Biotechnology Master Fund, Ltd. By: /s/ David Kroin David Kroin, Director David Kroin By: /s/ David Kroin David Kroin</w:t>
      </w:r>
    </w:p>
    <w:sectPr>
      <w:pgSz w:w="11900" w:h="16838" w:orient="portrait"/>
      <w:cols w:equalWidth="0" w:num="1">
        <w:col w:w="11160"/>
      </w:cols>
      <w:pgMar w:left="360" w:top="112" w:right="37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238E1F29"/>
    <w:multiLevelType w:val="hybridMultilevel"/>
    <w:lvl w:ilvl="0">
      <w:lvlJc w:val="left"/>
      <w:lvlText w:val="2"/>
      <w:numFmt w:val="bullet"/>
      <w:start w:val="1"/>
    </w:lvl>
  </w:abstractNum>
  <w:abstractNum w:abstractNumId="1">
    <w:nsid w:val="46E87CCD"/>
    <w:multiLevelType w:val="hybridMultilevel"/>
    <w:lvl w:ilvl="0">
      <w:lvlJc w:val="left"/>
      <w:lvlText w:val="3"/>
      <w:numFmt w:val="bullet"/>
      <w:start w:val="1"/>
    </w:lvl>
  </w:abstractNum>
  <w:abstractNum w:abstractNumId="2">
    <w:nsid w:val="3D1B58BA"/>
    <w:multiLevelType w:val="hybridMultilevel"/>
    <w:lvl w:ilvl="0">
      <w:lvlJc w:val="left"/>
      <w:lvlText w:val="5"/>
      <w:numFmt w:val="bullet"/>
      <w:start w:val="1"/>
    </w:lvl>
  </w:abstractNum>
  <w:abstractNum w:abstractNumId="3">
    <w:nsid w:val="507ED7AB"/>
    <w:multiLevelType w:val="hybridMultilevel"/>
    <w:lvl w:ilvl="0">
      <w:lvlJc w:val="left"/>
      <w:lvlText w:val="%1"/>
      <w:numFmt w:val="decimal"/>
      <w:start w:val="11"/>
    </w:lvl>
  </w:abstractNum>
  <w:abstractNum w:abstractNumId="4">
    <w:nsid w:val="2EB141F2"/>
    <w:multiLevelType w:val="hybridMultilevel"/>
    <w:lvl w:ilvl="0">
      <w:lvlJc w:val="left"/>
      <w:lvlText w:val="(%1)"/>
      <w:numFmt w:val="lowerLetter"/>
      <w:start w:val="2"/>
    </w:lvl>
  </w:abstractNum>
  <w:abstractNum w:abstractNumId="5">
    <w:nsid w:val="41B71EFB"/>
    <w:multiLevelType w:val="hybridMultilevel"/>
    <w:lvl w:ilvl="0">
      <w:lvlJc w:val="left"/>
      <w:lvlText w:val="(%1)"/>
      <w:numFmt w:val="lowerRoman"/>
      <w:start w:val="1"/>
    </w:lvl>
  </w:abstractNum>
  <w:abstractNum w:abstractNumId="6">
    <w:nsid w:val="79E2A9E3"/>
    <w:multiLevelType w:val="hybridMultilevel"/>
    <w:lvl w:ilvl="0">
      <w:lvlJc w:val="left"/>
      <w:lvlText w:val="(%1)"/>
      <w:numFmt w:val="lowerLetter"/>
      <w:start w:val="3"/>
    </w:lvl>
  </w:abstractNum>
  <w:abstractNum w:abstractNumId="7">
    <w:nsid w:val="7545E146"/>
    <w:multiLevelType w:val="hybridMultilevel"/>
    <w:lvl w:ilvl="0">
      <w:lvlJc w:val="left"/>
      <w:lvlText w:val="(%1)"/>
      <w:numFmt w:val="lowerRoman"/>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jpeg"/><Relationship Id="rId37" Type="http://schemas.openxmlformats.org/officeDocument/2006/relationships/image" Target="media/image30.jpeg"/><Relationship Id="rId38" Type="http://schemas.openxmlformats.org/officeDocument/2006/relationships/image" Target="media/image31.jpeg"/><Relationship Id="rId39" Type="http://schemas.openxmlformats.org/officeDocument/2006/relationships/image" Target="media/image32.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2026-05-15T07:41:50Z</dcterms:created>
  <dcterms:modified xsi:type="dcterms:W3CDTF">2026-05-15T07:41:50Z</dcterms:modified>
</cp:coreProperties>
</file>