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41680ds8.htm"/>
      <w:bookmarkStart w:id="1" w:name="ksd141680ds8"/>
      <w:bookmarkEnd w:id="0"/>
      <w:bookmarkEnd w:id="1"/>
      <w:r>
        <w:rPr>
          <w:rFonts w:ascii="Times New Roman" w:hAnsi="Times New Roman"/>
          <w:b/>
          <w:sz w:val="20"/>
        </w:rPr>
        <w:t xml:space="preserve">As filed with the Securities and Exchange Commission on August 5, 2026 </w:t>
      </w:r>
    </w:p>
    <w:p>
      <w:pPr>
        <w:pStyle w:val="TextBody"/>
        <w:bidi w:val="0"/>
        <w:spacing w:before="8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GERON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5"/>
        <w:gridCol w:w="101"/>
        <w:gridCol w:w="4949"/>
      </w:tblGrid>
      <w:tr>
        <w:trPr/>
        <w:tc>
          <w:tcPr>
            <w:tcW w:w="51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5"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75-2287752</w:t>
            </w:r>
          </w:p>
        </w:tc>
      </w:tr>
      <w:tr>
        <w:trPr/>
        <w:tc>
          <w:tcPr>
            <w:tcW w:w="5155"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1"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 Identification No.)</w:t>
            </w:r>
          </w:p>
        </w:tc>
      </w:tr>
      <w:tr>
        <w:trPr>
          <w:trHeight w:val="240" w:hRule="atLeast"/>
        </w:trPr>
        <w:tc>
          <w:tcPr>
            <w:tcW w:w="5155" w:type="dxa"/>
            <w:tcBorders/>
            <w:vAlign w:val="center"/>
          </w:tcPr>
          <w:p>
            <w:pPr>
              <w:pStyle w:val="TableContents"/>
              <w:bidi w:val="0"/>
              <w:spacing w:before="0" w:after="283"/>
              <w:jc w:val="left"/>
              <w:rPr>
                <w:sz w:val="4"/>
                <w:szCs w:val="4"/>
              </w:rPr>
            </w:pPr>
            <w:r>
              <w:rPr>
                <w:sz w:val="4"/>
                <w:szCs w:val="4"/>
              </w:rPr>
            </w:r>
          </w:p>
        </w:tc>
        <w:tc>
          <w:tcPr>
            <w:tcW w:w="5050" w:type="dxa"/>
            <w:gridSpan w:val="2"/>
            <w:tcBorders/>
            <w:vAlign w:val="center"/>
          </w:tcPr>
          <w:p>
            <w:pPr>
              <w:pStyle w:val="TableContents"/>
              <w:bidi w:val="0"/>
              <w:spacing w:before="0" w:after="283"/>
              <w:jc w:val="left"/>
              <w:rPr>
                <w:sz w:val="4"/>
                <w:szCs w:val="4"/>
              </w:rPr>
            </w:pPr>
            <w:r>
              <w:rPr>
                <w:sz w:val="4"/>
                <w:szCs w:val="4"/>
              </w:rPr>
            </w:r>
          </w:p>
        </w:tc>
      </w:tr>
      <w:tr>
        <w:trPr/>
        <w:tc>
          <w:tcPr>
            <w:tcW w:w="5155" w:type="dxa"/>
            <w:tcBorders/>
          </w:tcPr>
          <w:p>
            <w:pPr>
              <w:pStyle w:val="TableContents"/>
              <w:bidi w:val="0"/>
              <w:spacing w:before="0" w:after="0"/>
              <w:jc w:val="center"/>
              <w:rPr>
                <w:rFonts w:ascii="Times New Roman" w:hAnsi="Times New Roman"/>
                <w:b/>
                <w:sz w:val="20"/>
              </w:rPr>
            </w:pPr>
            <w:r>
              <w:rPr>
                <w:rFonts w:ascii="Times New Roman" w:hAnsi="Times New Roman"/>
                <w:b/>
                <w:sz w:val="20"/>
              </w:rPr>
              <w:t>919 E. Hillsdale Blvd, Suite 250</w:t>
            </w:r>
          </w:p>
          <w:p>
            <w:pPr>
              <w:pStyle w:val="TableContents"/>
              <w:bidi w:val="0"/>
              <w:spacing w:before="0" w:after="20"/>
              <w:jc w:val="center"/>
              <w:rPr>
                <w:rFonts w:ascii="Times New Roman" w:hAnsi="Times New Roman"/>
                <w:b/>
                <w:sz w:val="20"/>
              </w:rPr>
            </w:pPr>
            <w:r>
              <w:rPr>
                <w:rFonts w:ascii="Times New Roman" w:hAnsi="Times New Roman"/>
                <w:b/>
                <w:sz w:val="20"/>
              </w:rPr>
              <w:t>Foster City, California</w:t>
            </w:r>
          </w:p>
        </w:tc>
        <w:tc>
          <w:tcPr>
            <w:tcW w:w="101"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94404</w:t>
            </w:r>
          </w:p>
        </w:tc>
      </w:tr>
      <w:tr>
        <w:trPr/>
        <w:tc>
          <w:tcPr>
            <w:tcW w:w="5155" w:type="dxa"/>
            <w:tcBorders/>
          </w:tcPr>
          <w:p>
            <w:pPr>
              <w:pStyle w:val="TableContents"/>
              <w:bidi w:val="0"/>
              <w:spacing w:before="0" w:after="283"/>
              <w:jc w:val="center"/>
              <w:rPr>
                <w:b/>
              </w:rPr>
            </w:pPr>
            <w:r>
              <w:rPr>
                <w:b/>
              </w:rPr>
              <w:t>(Addresses of Principal Executive Offices)</w:t>
            </w:r>
          </w:p>
        </w:tc>
        <w:tc>
          <w:tcPr>
            <w:tcW w:w="101"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Geron Corporation 2018 Equity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plans) </w:t>
      </w:r>
    </w:p>
    <w:p>
      <w:pPr>
        <w:pStyle w:val="TextBody"/>
        <w:bidi w:val="0"/>
        <w:spacing w:before="480" w:after="0"/>
        <w:jc w:val="center"/>
        <w:rPr>
          <w:rFonts w:ascii="Times New Roman" w:hAnsi="Times New Roman"/>
          <w:b/>
          <w:sz w:val="20"/>
        </w:rPr>
      </w:pPr>
      <w:r>
        <w:rPr>
          <w:rFonts w:ascii="Times New Roman" w:hAnsi="Times New Roman"/>
          <w:b/>
          <w:sz w:val="20"/>
        </w:rPr>
        <w:t xml:space="preserve">Harout Semerjian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Geron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919 E. Hillsdale Blvd, Suite 250 </w:t>
      </w:r>
    </w:p>
    <w:p>
      <w:pPr>
        <w:pStyle w:val="TextBody"/>
        <w:bidi w:val="0"/>
        <w:spacing w:before="0" w:after="0"/>
        <w:jc w:val="center"/>
        <w:rPr>
          <w:rFonts w:ascii="Times New Roman" w:hAnsi="Times New Roman"/>
          <w:b/>
          <w:sz w:val="20"/>
        </w:rPr>
      </w:pPr>
      <w:r>
        <w:rPr>
          <w:rFonts w:ascii="Times New Roman" w:hAnsi="Times New Roman"/>
          <w:b/>
          <w:sz w:val="20"/>
        </w:rPr>
        <w:t xml:space="preserve">Foster City, California 94404 </w:t>
      </w:r>
    </w:p>
    <w:p>
      <w:pPr>
        <w:pStyle w:val="TextBody"/>
        <w:bidi w:val="0"/>
        <w:spacing w:before="0" w:after="0"/>
        <w:jc w:val="center"/>
        <w:rPr>
          <w:rFonts w:ascii="Times New Roman" w:hAnsi="Times New Roman"/>
          <w:b/>
          <w:sz w:val="20"/>
        </w:rPr>
      </w:pPr>
      <w:r>
        <w:rPr>
          <w:rFonts w:ascii="Times New Roman" w:hAnsi="Times New Roman"/>
          <w:b/>
          <w:sz w:val="20"/>
        </w:rPr>
        <w:t xml:space="preserve">(650) 473-7700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Copies to:</w:t>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Timothy Williams</w:t>
            </w:r>
          </w:p>
          <w:p>
            <w:pPr>
              <w:pStyle w:val="TableContents"/>
              <w:bidi w:val="0"/>
              <w:spacing w:before="0" w:after="0"/>
              <w:jc w:val="center"/>
              <w:rPr>
                <w:rFonts w:ascii="Times New Roman" w:hAnsi="Times New Roman"/>
                <w:b/>
                <w:sz w:val="20"/>
              </w:rPr>
            </w:pPr>
            <w:r>
              <w:rPr>
                <w:rFonts w:ascii="Times New Roman" w:hAnsi="Times New Roman"/>
                <w:b/>
                <w:sz w:val="20"/>
              </w:rPr>
              <w:t>Executive Vice President, Chief Legal Officer and Corporate Secretary</w:t>
            </w:r>
          </w:p>
          <w:p>
            <w:pPr>
              <w:pStyle w:val="TableContents"/>
              <w:bidi w:val="0"/>
              <w:spacing w:before="0" w:after="0"/>
              <w:jc w:val="center"/>
              <w:rPr>
                <w:rFonts w:ascii="Times New Roman" w:hAnsi="Times New Roman"/>
                <w:b/>
                <w:sz w:val="20"/>
              </w:rPr>
            </w:pPr>
            <w:r>
              <w:rPr>
                <w:rFonts w:ascii="Times New Roman" w:hAnsi="Times New Roman"/>
                <w:b/>
                <w:sz w:val="20"/>
              </w:rPr>
              <w:t>Geron Corporation</w:t>
            </w:r>
          </w:p>
          <w:p>
            <w:pPr>
              <w:pStyle w:val="TableContents"/>
              <w:bidi w:val="0"/>
              <w:spacing w:before="0" w:after="0"/>
              <w:jc w:val="center"/>
              <w:rPr>
                <w:rFonts w:ascii="Times New Roman" w:hAnsi="Times New Roman"/>
                <w:b/>
                <w:sz w:val="20"/>
              </w:rPr>
            </w:pPr>
            <w:r>
              <w:rPr>
                <w:rFonts w:ascii="Times New Roman" w:hAnsi="Times New Roman"/>
                <w:b/>
                <w:sz w:val="20"/>
              </w:rPr>
              <w:t>919 E. Hillsdale Blvd, Suite 250</w:t>
            </w:r>
          </w:p>
          <w:p>
            <w:pPr>
              <w:pStyle w:val="TableContents"/>
              <w:bidi w:val="0"/>
              <w:spacing w:before="0" w:after="0"/>
              <w:jc w:val="center"/>
              <w:rPr>
                <w:rFonts w:ascii="Times New Roman" w:hAnsi="Times New Roman"/>
                <w:b/>
                <w:sz w:val="20"/>
              </w:rPr>
            </w:pPr>
            <w:r>
              <w:rPr>
                <w:rFonts w:ascii="Times New Roman" w:hAnsi="Times New Roman"/>
                <w:b/>
                <w:sz w:val="20"/>
              </w:rPr>
              <w:t>Foster City, California 94404</w:t>
            </w:r>
          </w:p>
          <w:p>
            <w:pPr>
              <w:pStyle w:val="TableContents"/>
              <w:bidi w:val="0"/>
              <w:spacing w:before="0" w:after="20"/>
              <w:jc w:val="center"/>
              <w:rPr>
                <w:rFonts w:ascii="Times New Roman" w:hAnsi="Times New Roman"/>
                <w:b/>
                <w:sz w:val="20"/>
              </w:rPr>
            </w:pPr>
            <w:r>
              <w:rPr>
                <w:rFonts w:ascii="Times New Roman" w:hAnsi="Times New Roman"/>
                <w:b/>
                <w:sz w:val="20"/>
              </w:rPr>
              <w:t>(650) 473-7700</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Chadwick L. Mills</w:t>
            </w:r>
          </w:p>
          <w:p>
            <w:pPr>
              <w:pStyle w:val="TableContents"/>
              <w:bidi w:val="0"/>
              <w:spacing w:before="0" w:after="0"/>
              <w:jc w:val="center"/>
              <w:rPr>
                <w:rFonts w:ascii="Times New Roman" w:hAnsi="Times New Roman"/>
                <w:b/>
                <w:sz w:val="20"/>
              </w:rPr>
            </w:pPr>
            <w:r>
              <w:rPr>
                <w:rFonts w:ascii="Times New Roman" w:hAnsi="Times New Roman"/>
                <w:b/>
                <w:sz w:val="20"/>
              </w:rPr>
              <w:t>Cooley LLP</w:t>
            </w:r>
          </w:p>
          <w:p>
            <w:pPr>
              <w:pStyle w:val="TableContents"/>
              <w:bidi w:val="0"/>
              <w:spacing w:before="0" w:after="0"/>
              <w:jc w:val="center"/>
              <w:rPr>
                <w:rFonts w:ascii="Times New Roman" w:hAnsi="Times New Roman"/>
                <w:b/>
                <w:sz w:val="20"/>
              </w:rPr>
            </w:pPr>
            <w:r>
              <w:rPr>
                <w:rFonts w:ascii="Times New Roman" w:hAnsi="Times New Roman"/>
                <w:b/>
                <w:sz w:val="20"/>
              </w:rPr>
              <w:t>3 Embarcadero Center, 20th Floor</w:t>
            </w:r>
          </w:p>
          <w:p>
            <w:pPr>
              <w:pStyle w:val="TableContents"/>
              <w:bidi w:val="0"/>
              <w:spacing w:before="0" w:after="0"/>
              <w:jc w:val="center"/>
              <w:rPr>
                <w:rFonts w:ascii="Times New Roman" w:hAnsi="Times New Roman"/>
                <w:b/>
                <w:sz w:val="20"/>
              </w:rPr>
            </w:pPr>
            <w:r>
              <w:rPr>
                <w:rFonts w:ascii="Times New Roman" w:hAnsi="Times New Roman"/>
                <w:b/>
                <w:sz w:val="20"/>
              </w:rPr>
              <w:t>San Francisco, California 94111</w:t>
            </w:r>
          </w:p>
          <w:p>
            <w:pPr>
              <w:pStyle w:val="TableContents"/>
              <w:bidi w:val="0"/>
              <w:spacing w:before="0" w:after="20"/>
              <w:jc w:val="center"/>
              <w:rPr>
                <w:rFonts w:ascii="Times New Roman" w:hAnsi="Times New Roman"/>
                <w:b/>
                <w:sz w:val="20"/>
              </w:rPr>
            </w:pPr>
            <w:r>
              <w:rPr>
                <w:rFonts w:ascii="Times New Roman" w:hAnsi="Times New Roman"/>
                <w:b/>
                <w:sz w:val="20"/>
              </w:rPr>
              <w:t>(415) 693-2000</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AND GENERAL INSTRUCTION 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on Form S-8 is being filed by Geron Corporation (the “Registrant”) for the purpose of registering an additional 4,500,000 shares of the Registrant’s common stock, par value $0.001 per share (the “Common Stock”) issuable under the Registrant’s 2018 Equity Incentive Plan, as amended (the “2018 Incentive Plan”). </w:t>
      </w:r>
    </w:p>
    <w:p>
      <w:pPr>
        <w:pStyle w:val="TextBody"/>
        <w:bidi w:val="0"/>
        <w:spacing w:before="240" w:after="0"/>
        <w:jc w:val="left"/>
        <w:rPr/>
      </w:pPr>
      <w:r>
        <w:rPr>
          <w:rFonts w:ascii="Times New Roman" w:hAnsi="Times New Roman"/>
          <w:sz w:val="20"/>
        </w:rPr>
        <w:t xml:space="preserve">The additional shares of Common Stock registered hereunder for issuance under the Registrant’s 2018 Incentive Plan are of the same class as other securities for which a Registration Statement on Form S-8 has previously been filed by the Registrant and is effective. Accordingly, in accordance with General Instruction E of Form S-8, this Registration Statement incorporates by reference the contents of the following Registration Statements on Form S-8 previously filed by the Registrant: (i) File no. </w:t>
      </w:r>
      <w:hyperlink r:id="rId2">
        <w:r>
          <w:rPr>
            <w:rStyle w:val="InternetLink"/>
            <w:rFonts w:ascii="Times New Roman" w:hAnsi="Times New Roman"/>
            <w:sz w:val="20"/>
          </w:rPr>
          <w:t>333-225190</w:t>
        </w:r>
      </w:hyperlink>
      <w:r>
        <w:rPr>
          <w:rFonts w:ascii="Times New Roman" w:hAnsi="Times New Roman"/>
          <w:sz w:val="20"/>
        </w:rPr>
        <w:t xml:space="preserve">, filed with the Securities and Exchange Commission (the “Commission”) on May 24, 2018; (ii) File no. </w:t>
      </w:r>
      <w:hyperlink r:id="rId3">
        <w:r>
          <w:rPr>
            <w:rStyle w:val="InternetLink"/>
            <w:rFonts w:ascii="Times New Roman" w:hAnsi="Times New Roman"/>
            <w:sz w:val="20"/>
          </w:rPr>
          <w:t>333-239324</w:t>
        </w:r>
      </w:hyperlink>
      <w:r>
        <w:rPr>
          <w:rFonts w:ascii="Times New Roman" w:hAnsi="Times New Roman"/>
          <w:sz w:val="20"/>
        </w:rPr>
        <w:t xml:space="preserve">, filed with the Commission on June 19, 2020; (iii) File no. </w:t>
      </w:r>
      <w:hyperlink r:id="rId4">
        <w:r>
          <w:rPr>
            <w:rStyle w:val="InternetLink"/>
            <w:rFonts w:ascii="Times New Roman" w:hAnsi="Times New Roman"/>
            <w:sz w:val="20"/>
          </w:rPr>
          <w:t>333-258864</w:t>
        </w:r>
      </w:hyperlink>
      <w:r>
        <w:rPr>
          <w:rFonts w:ascii="Times New Roman" w:hAnsi="Times New Roman"/>
          <w:sz w:val="20"/>
        </w:rPr>
        <w:t xml:space="preserve">, filed with the Commission on August  16, 2021; (iv) File no. </w:t>
      </w:r>
      <w:hyperlink r:id="rId5">
        <w:r>
          <w:rPr>
            <w:rStyle w:val="InternetLink"/>
            <w:rFonts w:ascii="Times New Roman" w:hAnsi="Times New Roman"/>
            <w:sz w:val="20"/>
          </w:rPr>
          <w:t>333-266795</w:t>
        </w:r>
      </w:hyperlink>
      <w:r>
        <w:rPr>
          <w:rFonts w:ascii="Times New Roman" w:hAnsi="Times New Roman"/>
          <w:sz w:val="20"/>
        </w:rPr>
        <w:t xml:space="preserve">, filed with the Commission on August  11, 2022; (v) File no. </w:t>
      </w:r>
      <w:hyperlink r:id="rId6">
        <w:r>
          <w:rPr>
            <w:rStyle w:val="InternetLink"/>
            <w:rFonts w:ascii="Times New Roman" w:hAnsi="Times New Roman"/>
            <w:sz w:val="20"/>
          </w:rPr>
          <w:t>333-273669</w:t>
        </w:r>
      </w:hyperlink>
      <w:r>
        <w:rPr>
          <w:rFonts w:ascii="Times New Roman" w:hAnsi="Times New Roman"/>
          <w:sz w:val="20"/>
        </w:rPr>
        <w:t xml:space="preserve">, filed with the Commission on August  3, 2023; and File no. </w:t>
      </w:r>
      <w:hyperlink r:id="rId7">
        <w:r>
          <w:rPr>
            <w:rStyle w:val="InternetLink"/>
            <w:rFonts w:ascii="Times New Roman" w:hAnsi="Times New Roman"/>
            <w:sz w:val="20"/>
          </w:rPr>
          <w:t>333-288433</w:t>
        </w:r>
      </w:hyperlink>
      <w:r>
        <w:rPr>
          <w:rFonts w:ascii="Times New Roman" w:hAnsi="Times New Roman"/>
          <w:sz w:val="20"/>
        </w:rPr>
        <w:t xml:space="preserve">, filed with the Commission on June 30, 2025.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filed by the Registrant with the Commission are incorporated by reference into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Registrant’s Annual Report on Form 10-K for the year ended December 31, 2025, filed with the Commission on </w:t>
            </w:r>
            <w:hyperlink r:id="rId8">
              <w:r>
                <w:rPr>
                  <w:rStyle w:val="InternetLink"/>
                  <w:rFonts w:ascii="Times New Roman" w:hAnsi="Times New Roman"/>
                  <w:sz w:val="20"/>
                </w:rPr>
                <w:t>March 2,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Registrant’s Quarterly Reports on Form 10-Q for the quarterly periods ended March 31, 2026 and June 30, 2026, filed with the Commission on </w:t>
            </w:r>
            <w:hyperlink r:id="rId9">
              <w:r>
                <w:rPr>
                  <w:rStyle w:val="InternetLink"/>
                  <w:rFonts w:ascii="Times New Roman" w:hAnsi="Times New Roman"/>
                  <w:sz w:val="20"/>
                </w:rPr>
                <w:t>May 6, 2026</w:t>
              </w:r>
            </w:hyperlink>
            <w:r>
              <w:rPr>
                <w:rFonts w:ascii="Times New Roman" w:hAnsi="Times New Roman"/>
                <w:sz w:val="20"/>
              </w:rPr>
              <w:t xml:space="preserve"> and </w:t>
            </w:r>
            <w:hyperlink r:id="rId10">
              <w:r>
                <w:rPr>
                  <w:rStyle w:val="InternetLink"/>
                  <w:rFonts w:ascii="Times New Roman" w:hAnsi="Times New Roman"/>
                  <w:sz w:val="20"/>
                </w:rPr>
                <w:t>August 5,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Registrant’s Current Reports on Form 8-K, filed with the Commission on </w:t>
            </w:r>
            <w:hyperlink r:id="rId11">
              <w:r>
                <w:rPr>
                  <w:rStyle w:val="InternetLink"/>
                  <w:rFonts w:ascii="Times New Roman" w:hAnsi="Times New Roman"/>
                  <w:sz w:val="20"/>
                </w:rPr>
                <w:t>January  6, 2026</w:t>
              </w:r>
            </w:hyperlink>
            <w:r>
              <w:rPr>
                <w:rFonts w:ascii="Times New Roman" w:hAnsi="Times New Roman"/>
                <w:sz w:val="20"/>
              </w:rPr>
              <w:t xml:space="preserve">, </w:t>
            </w:r>
            <w:hyperlink r:id="rId12">
              <w:r>
                <w:rPr>
                  <w:rStyle w:val="InternetLink"/>
                  <w:rFonts w:ascii="Times New Roman" w:hAnsi="Times New Roman"/>
                  <w:sz w:val="20"/>
                </w:rPr>
                <w:t>March  26, 2026</w:t>
              </w:r>
            </w:hyperlink>
            <w:r>
              <w:rPr>
                <w:rFonts w:ascii="Times New Roman" w:hAnsi="Times New Roman"/>
                <w:sz w:val="20"/>
              </w:rPr>
              <w:t xml:space="preserve"> and </w:t>
            </w:r>
            <w:hyperlink r:id="rId13">
              <w:r>
                <w:rPr>
                  <w:rStyle w:val="InternetLink"/>
                  <w:rFonts w:ascii="Times New Roman" w:hAnsi="Times New Roman"/>
                  <w:sz w:val="20"/>
                </w:rPr>
                <w:t>May 27,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the Registrant’s Annual Report on Form 10-K referred to above from the Registrant’s definitive proxy statement relating to the Registrant’s 2026 annual meeting of stockholders, filed with the Commission on </w:t>
            </w:r>
            <w:hyperlink r:id="rId14">
              <w:r>
                <w:rPr>
                  <w:rStyle w:val="InternetLink"/>
                  <w:rFonts w:ascii="Times New Roman" w:hAnsi="Times New Roman"/>
                  <w:sz w:val="20"/>
                </w:rPr>
                <w:t>April  7,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the Registrant’s common stock set forth in the Registrant’s registration statement on Form 8-A, filed with the Commission on </w:t>
            </w:r>
            <w:hyperlink r:id="rId15">
              <w:r>
                <w:rPr>
                  <w:rStyle w:val="InternetLink"/>
                  <w:rFonts w:ascii="Times New Roman" w:hAnsi="Times New Roman"/>
                  <w:sz w:val="20"/>
                </w:rPr>
                <w:t>June 13, 1996</w:t>
              </w:r>
            </w:hyperlink>
            <w:r>
              <w:rPr>
                <w:rFonts w:ascii="Times New Roman" w:hAnsi="Times New Roman"/>
                <w:sz w:val="20"/>
              </w:rPr>
              <w:t xml:space="preserve">, including any amendments or reports filed for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filed by the Registrant pursuant to Section 13(a), 13(c), 14 or 15(d) of the Securities Exchange Act of 1934, as amended (the “Exchange Act”), other than Current Reports furnished under Item 2.02 or Item 7.01 of Form 8-K and exhibits furnished on such form that relate to such items, after the date of this Registration Statement and prior to the filing of a post-effective amendment which indicates that all securities offered hereby have been sold or which deregisters all securities then remaining unsold, shall be deemed to be incorporated by reference herein and to be a part of this Registration Statement from the date of filing such reports and documents. Any statement contained in a document incorporated or deemed to be incorporated herein by reference shall be deemed to be modified or superseded for purposes of this Registration Statement to the extent that a statement herein or in any other subsequently filed document which also is or is deemed to be incorporated by reference herein modifies or supersedes that statement. Any such statement so modified or superseded shall not constitute a part of this Registration Statement, except as so modified or superseded.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1"/>
        <w:gridCol w:w="244"/>
        <w:gridCol w:w="4207"/>
        <w:gridCol w:w="141"/>
        <w:gridCol w:w="912"/>
        <w:gridCol w:w="141"/>
        <w:gridCol w:w="606"/>
        <w:gridCol w:w="141"/>
        <w:gridCol w:w="1983"/>
        <w:gridCol w:w="141"/>
        <w:gridCol w:w="778"/>
      </w:tblGrid>
      <w:tr>
        <w:trPr/>
        <w:tc>
          <w:tcPr>
            <w:tcW w:w="911"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4207"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911"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420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4702" w:type="dxa"/>
            <w:gridSpan w:val="7"/>
            <w:tcBorders>
              <w:bottom w:val="single" w:sz="8" w:space="0" w:color="000000"/>
            </w:tcBorders>
            <w:tcMar>
              <w:bottom w:w="28" w:type="dxa"/>
            </w:tcMar>
            <w:vAlign w:val="bottom"/>
          </w:tcPr>
          <w:p>
            <w:pPr>
              <w:pStyle w:val="TableContents"/>
              <w:bidi w:val="0"/>
              <w:spacing w:before="0" w:after="283"/>
              <w:jc w:val="center"/>
              <w:rPr>
                <w:b/>
              </w:rPr>
            </w:pPr>
            <w:r>
              <w:rPr>
                <w:b/>
              </w:rPr>
              <w:t>Incorporation by Reference</w:t>
            </w:r>
          </w:p>
        </w:tc>
      </w:tr>
      <w:tr>
        <w:trPr/>
        <w:tc>
          <w:tcPr>
            <w:tcW w:w="911"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244" w:type="dxa"/>
            <w:tcBorders/>
            <w:vAlign w:val="bottom"/>
          </w:tcPr>
          <w:p>
            <w:pPr>
              <w:pStyle w:val="TableContents"/>
              <w:bidi w:val="0"/>
              <w:spacing w:before="0" w:after="283"/>
              <w:jc w:val="left"/>
              <w:rPr/>
            </w:pPr>
            <w:r>
              <w:rPr/>
              <w:t>  </w:t>
            </w:r>
          </w:p>
        </w:tc>
        <w:tc>
          <w:tcPr>
            <w:tcW w:w="420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41" w:type="dxa"/>
            <w:tcBorders/>
            <w:vAlign w:val="bottom"/>
          </w:tcPr>
          <w:p>
            <w:pPr>
              <w:pStyle w:val="TableContents"/>
              <w:bidi w:val="0"/>
              <w:spacing w:before="0" w:after="283"/>
              <w:jc w:val="left"/>
              <w:rPr/>
            </w:pPr>
            <w:r>
              <w:rPr/>
              <w:t>  </w:t>
            </w:r>
          </w:p>
        </w:tc>
        <w:tc>
          <w:tcPr>
            <w:tcW w:w="912"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141" w:type="dxa"/>
            <w:tcBorders/>
            <w:vAlign w:val="bottom"/>
          </w:tcPr>
          <w:p>
            <w:pPr>
              <w:pStyle w:val="TableContents"/>
              <w:bidi w:val="0"/>
              <w:spacing w:before="0" w:after="283"/>
              <w:jc w:val="left"/>
              <w:rPr/>
            </w:pPr>
            <w:r>
              <w:rPr/>
              <w:t>  </w:t>
            </w:r>
          </w:p>
        </w:tc>
        <w:tc>
          <w:tcPr>
            <w:tcW w:w="606" w:type="dxa"/>
            <w:tcBorders>
              <w:bottom w:val="single" w:sz="8" w:space="0" w:color="000000"/>
            </w:tcBorders>
            <w:tcMar>
              <w:bottom w:w="28" w:type="dxa"/>
            </w:tcMar>
            <w:vAlign w:val="bottom"/>
          </w:tcPr>
          <w:p>
            <w:pPr>
              <w:pStyle w:val="TableContents"/>
              <w:bidi w:val="0"/>
              <w:spacing w:before="0" w:after="283"/>
              <w:jc w:val="center"/>
              <w:rPr>
                <w:b/>
              </w:rPr>
            </w:pPr>
            <w:r>
              <w:rPr>
                <w:b/>
              </w:rPr>
              <w:t>Filing</w:t>
            </w:r>
          </w:p>
        </w:tc>
        <w:tc>
          <w:tcPr>
            <w:tcW w:w="141" w:type="dxa"/>
            <w:tcBorders/>
            <w:vAlign w:val="bottom"/>
          </w:tcPr>
          <w:p>
            <w:pPr>
              <w:pStyle w:val="TableContents"/>
              <w:bidi w:val="0"/>
              <w:spacing w:before="0" w:after="283"/>
              <w:jc w:val="left"/>
              <w:rPr/>
            </w:pPr>
            <w:r>
              <w:rPr/>
              <w:t>  </w:t>
            </w:r>
          </w:p>
        </w:tc>
        <w:tc>
          <w:tcPr>
            <w:tcW w:w="1983" w:type="dxa"/>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141" w:type="dxa"/>
            <w:tcBorders/>
            <w:vAlign w:val="bottom"/>
          </w:tcPr>
          <w:p>
            <w:pPr>
              <w:pStyle w:val="TableContents"/>
              <w:bidi w:val="0"/>
              <w:spacing w:before="0" w:after="283"/>
              <w:jc w:val="left"/>
              <w:rPr/>
            </w:pPr>
            <w:r>
              <w:rPr/>
              <w:t>  </w:t>
            </w:r>
          </w:p>
        </w:tc>
        <w:tc>
          <w:tcPr>
            <w:tcW w:w="778" w:type="dxa"/>
            <w:tcBorders>
              <w:bottom w:val="single" w:sz="8" w:space="0" w:color="000000"/>
            </w:tcBorders>
            <w:tcMar>
              <w:bottom w:w="28" w:type="dxa"/>
            </w:tcMar>
            <w:vAlign w:val="bottom"/>
          </w:tcPr>
          <w:p>
            <w:pPr>
              <w:pStyle w:val="TableContents"/>
              <w:bidi w:val="0"/>
              <w:spacing w:before="0" w:after="283"/>
              <w:jc w:val="center"/>
              <w:rPr>
                <w:b/>
              </w:rPr>
            </w:pPr>
            <w:r>
              <w:rPr>
                <w:b/>
              </w:rPr>
              <w:t>File No.</w:t>
            </w:r>
          </w:p>
        </w:tc>
      </w:tr>
      <w:tr>
        <w:trPr>
          <w:trHeight w:val="120" w:hRule="atLeast"/>
        </w:trPr>
        <w:tc>
          <w:tcPr>
            <w:tcW w:w="911" w:type="dxa"/>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c>
          <w:tcPr>
            <w:tcW w:w="1053" w:type="dxa"/>
            <w:gridSpan w:val="2"/>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2124" w:type="dxa"/>
            <w:gridSpan w:val="2"/>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4.1</w:t>
            </w:r>
          </w:p>
        </w:tc>
        <w:tc>
          <w:tcPr>
            <w:tcW w:w="244" w:type="dxa"/>
            <w:tcBorders/>
            <w:vAlign w:val="bottom"/>
          </w:tcPr>
          <w:p>
            <w:pPr>
              <w:pStyle w:val="TableContents"/>
              <w:bidi w:val="0"/>
              <w:spacing w:before="0" w:after="283"/>
              <w:jc w:val="left"/>
              <w:rPr/>
            </w:pPr>
            <w:r>
              <w:rPr/>
              <w:t>  </w:t>
            </w:r>
          </w:p>
        </w:tc>
        <w:tc>
          <w:tcPr>
            <w:tcW w:w="4207" w:type="dxa"/>
            <w:tcBorders/>
          </w:tcPr>
          <w:p>
            <w:pPr>
              <w:pStyle w:val="TableContents"/>
              <w:bidi w:val="0"/>
              <w:spacing w:before="0" w:after="283"/>
              <w:jc w:val="left"/>
              <w:rPr/>
            </w:pPr>
            <w:hyperlink r:id="rId16">
              <w:r>
                <w:rPr>
                  <w:rStyle w:val="InternetLink"/>
                </w:rPr>
                <w:t>Restated Certificate of Incorporation</w:t>
              </w:r>
            </w:hyperlink>
          </w:p>
        </w:tc>
        <w:tc>
          <w:tcPr>
            <w:tcW w:w="141"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center"/>
              <w:rPr/>
            </w:pPr>
            <w:r>
              <w:rPr/>
              <w:t>3.3</w:t>
            </w:r>
          </w:p>
        </w:tc>
        <w:tc>
          <w:tcPr>
            <w:tcW w:w="14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center"/>
              <w:rPr/>
            </w:pPr>
            <w:r>
              <w:rPr/>
              <w:t>8-K</w:t>
            </w:r>
          </w:p>
        </w:tc>
        <w:tc>
          <w:tcPr>
            <w:tcW w:w="141" w:type="dxa"/>
            <w:tcBorders/>
            <w:vAlign w:val="bottom"/>
          </w:tcPr>
          <w:p>
            <w:pPr>
              <w:pStyle w:val="TableContents"/>
              <w:bidi w:val="0"/>
              <w:spacing w:before="0" w:after="283"/>
              <w:jc w:val="left"/>
              <w:rPr/>
            </w:pPr>
            <w:r>
              <w:rPr/>
              <w:t>  </w:t>
            </w:r>
          </w:p>
        </w:tc>
        <w:tc>
          <w:tcPr>
            <w:tcW w:w="1983" w:type="dxa"/>
            <w:tcBorders/>
            <w:vAlign w:val="bottom"/>
          </w:tcPr>
          <w:p>
            <w:pPr>
              <w:pStyle w:val="TableContents"/>
              <w:bidi w:val="0"/>
              <w:spacing w:before="0" w:after="283"/>
              <w:jc w:val="center"/>
              <w:rPr/>
            </w:pPr>
            <w:r>
              <w:rPr/>
              <w:t>May 18, 2012</w:t>
            </w:r>
          </w:p>
        </w:tc>
        <w:tc>
          <w:tcPr>
            <w:tcW w:w="14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center"/>
              <w:rPr/>
            </w:pPr>
            <w:r>
              <w:rPr/>
              <w:t>000-20859</w:t>
            </w:r>
          </w:p>
        </w:tc>
      </w:tr>
      <w:tr>
        <w:trPr>
          <w:trHeight w:val="120" w:hRule="atLeast"/>
        </w:trPr>
        <w:tc>
          <w:tcPr>
            <w:tcW w:w="911" w:type="dxa"/>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c>
          <w:tcPr>
            <w:tcW w:w="1053" w:type="dxa"/>
            <w:gridSpan w:val="2"/>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2124" w:type="dxa"/>
            <w:gridSpan w:val="2"/>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4.2</w:t>
            </w:r>
          </w:p>
        </w:tc>
        <w:tc>
          <w:tcPr>
            <w:tcW w:w="244" w:type="dxa"/>
            <w:tcBorders/>
            <w:vAlign w:val="bottom"/>
          </w:tcPr>
          <w:p>
            <w:pPr>
              <w:pStyle w:val="TableContents"/>
              <w:bidi w:val="0"/>
              <w:spacing w:before="0" w:after="283"/>
              <w:jc w:val="left"/>
              <w:rPr/>
            </w:pPr>
            <w:r>
              <w:rPr/>
              <w:t>  </w:t>
            </w:r>
          </w:p>
        </w:tc>
        <w:tc>
          <w:tcPr>
            <w:tcW w:w="4207" w:type="dxa"/>
            <w:tcBorders/>
          </w:tcPr>
          <w:p>
            <w:pPr>
              <w:pStyle w:val="TableContents"/>
              <w:bidi w:val="0"/>
              <w:spacing w:before="0" w:after="283"/>
              <w:jc w:val="left"/>
              <w:rPr/>
            </w:pPr>
            <w:hyperlink r:id="rId17">
              <w:r>
                <w:rPr>
                  <w:rStyle w:val="InternetLink"/>
                </w:rPr>
                <w:t>Certificate of Amendment of the Restated Certificate of Incorporation</w:t>
              </w:r>
            </w:hyperlink>
          </w:p>
        </w:tc>
        <w:tc>
          <w:tcPr>
            <w:tcW w:w="141"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center"/>
              <w:rPr/>
            </w:pPr>
            <w:r>
              <w:rPr/>
              <w:t>3.1</w:t>
            </w:r>
          </w:p>
        </w:tc>
        <w:tc>
          <w:tcPr>
            <w:tcW w:w="14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center"/>
              <w:rPr/>
            </w:pPr>
            <w:r>
              <w:rPr/>
              <w:t>8-K</w:t>
            </w:r>
          </w:p>
        </w:tc>
        <w:tc>
          <w:tcPr>
            <w:tcW w:w="141" w:type="dxa"/>
            <w:tcBorders/>
            <w:vAlign w:val="bottom"/>
          </w:tcPr>
          <w:p>
            <w:pPr>
              <w:pStyle w:val="TableContents"/>
              <w:bidi w:val="0"/>
              <w:spacing w:before="0" w:after="283"/>
              <w:jc w:val="left"/>
              <w:rPr/>
            </w:pPr>
            <w:r>
              <w:rPr/>
              <w:t>  </w:t>
            </w:r>
          </w:p>
        </w:tc>
        <w:tc>
          <w:tcPr>
            <w:tcW w:w="1983" w:type="dxa"/>
            <w:tcBorders/>
            <w:vAlign w:val="bottom"/>
          </w:tcPr>
          <w:p>
            <w:pPr>
              <w:pStyle w:val="TableContents"/>
              <w:bidi w:val="0"/>
              <w:spacing w:before="0" w:after="283"/>
              <w:jc w:val="center"/>
              <w:rPr/>
            </w:pPr>
            <w:r>
              <w:rPr/>
              <w:t>May 18, 2012</w:t>
            </w:r>
          </w:p>
        </w:tc>
        <w:tc>
          <w:tcPr>
            <w:tcW w:w="14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center"/>
              <w:rPr/>
            </w:pPr>
            <w:r>
              <w:rPr/>
              <w:t>000-20859</w:t>
            </w:r>
          </w:p>
        </w:tc>
      </w:tr>
      <w:tr>
        <w:trPr>
          <w:trHeight w:val="120" w:hRule="atLeast"/>
        </w:trPr>
        <w:tc>
          <w:tcPr>
            <w:tcW w:w="911" w:type="dxa"/>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c>
          <w:tcPr>
            <w:tcW w:w="1053" w:type="dxa"/>
            <w:gridSpan w:val="2"/>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2124" w:type="dxa"/>
            <w:gridSpan w:val="2"/>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4.3</w:t>
            </w:r>
          </w:p>
        </w:tc>
        <w:tc>
          <w:tcPr>
            <w:tcW w:w="244" w:type="dxa"/>
            <w:tcBorders/>
            <w:vAlign w:val="bottom"/>
          </w:tcPr>
          <w:p>
            <w:pPr>
              <w:pStyle w:val="TableContents"/>
              <w:bidi w:val="0"/>
              <w:spacing w:before="0" w:after="283"/>
              <w:jc w:val="left"/>
              <w:rPr/>
            </w:pPr>
            <w:r>
              <w:rPr/>
              <w:t>  </w:t>
            </w:r>
          </w:p>
        </w:tc>
        <w:tc>
          <w:tcPr>
            <w:tcW w:w="4207" w:type="dxa"/>
            <w:tcBorders/>
          </w:tcPr>
          <w:p>
            <w:pPr>
              <w:pStyle w:val="TableContents"/>
              <w:bidi w:val="0"/>
              <w:spacing w:before="0" w:after="283"/>
              <w:jc w:val="left"/>
              <w:rPr/>
            </w:pPr>
            <w:hyperlink r:id="rId18">
              <w:r>
                <w:rPr>
                  <w:rStyle w:val="InternetLink"/>
                </w:rPr>
                <w:t>Certificate of Amendment of the Restated Certificate of Incorporation</w:t>
              </w:r>
            </w:hyperlink>
          </w:p>
        </w:tc>
        <w:tc>
          <w:tcPr>
            <w:tcW w:w="141"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center"/>
              <w:rPr/>
            </w:pPr>
            <w:r>
              <w:rPr/>
              <w:t>3.1</w:t>
            </w:r>
          </w:p>
        </w:tc>
        <w:tc>
          <w:tcPr>
            <w:tcW w:w="14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center"/>
              <w:rPr/>
            </w:pPr>
            <w:r>
              <w:rPr/>
              <w:t>8-K</w:t>
            </w:r>
          </w:p>
        </w:tc>
        <w:tc>
          <w:tcPr>
            <w:tcW w:w="141" w:type="dxa"/>
            <w:tcBorders/>
            <w:vAlign w:val="bottom"/>
          </w:tcPr>
          <w:p>
            <w:pPr>
              <w:pStyle w:val="TableContents"/>
              <w:bidi w:val="0"/>
              <w:spacing w:before="0" w:after="283"/>
              <w:jc w:val="left"/>
              <w:rPr/>
            </w:pPr>
            <w:r>
              <w:rPr/>
              <w:t>  </w:t>
            </w:r>
          </w:p>
        </w:tc>
        <w:tc>
          <w:tcPr>
            <w:tcW w:w="1983" w:type="dxa"/>
            <w:tcBorders/>
            <w:vAlign w:val="bottom"/>
          </w:tcPr>
          <w:p>
            <w:pPr>
              <w:pStyle w:val="TableContents"/>
              <w:bidi w:val="0"/>
              <w:spacing w:before="0" w:after="283"/>
              <w:jc w:val="center"/>
              <w:rPr/>
            </w:pPr>
            <w:r>
              <w:rPr/>
              <w:t>June 7, 2019</w:t>
            </w:r>
          </w:p>
        </w:tc>
        <w:tc>
          <w:tcPr>
            <w:tcW w:w="14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center"/>
              <w:rPr/>
            </w:pPr>
            <w:r>
              <w:rPr/>
              <w:t>000-20859</w:t>
            </w:r>
          </w:p>
        </w:tc>
      </w:tr>
      <w:tr>
        <w:trPr>
          <w:trHeight w:val="120" w:hRule="atLeast"/>
        </w:trPr>
        <w:tc>
          <w:tcPr>
            <w:tcW w:w="911" w:type="dxa"/>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c>
          <w:tcPr>
            <w:tcW w:w="1053" w:type="dxa"/>
            <w:gridSpan w:val="2"/>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2124" w:type="dxa"/>
            <w:gridSpan w:val="2"/>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4.4</w:t>
            </w:r>
          </w:p>
        </w:tc>
        <w:tc>
          <w:tcPr>
            <w:tcW w:w="244" w:type="dxa"/>
            <w:tcBorders/>
            <w:vAlign w:val="bottom"/>
          </w:tcPr>
          <w:p>
            <w:pPr>
              <w:pStyle w:val="TableContents"/>
              <w:bidi w:val="0"/>
              <w:spacing w:before="0" w:after="283"/>
              <w:jc w:val="left"/>
              <w:rPr/>
            </w:pPr>
            <w:r>
              <w:rPr/>
              <w:t>  </w:t>
            </w:r>
          </w:p>
        </w:tc>
        <w:tc>
          <w:tcPr>
            <w:tcW w:w="4207" w:type="dxa"/>
            <w:tcBorders/>
          </w:tcPr>
          <w:p>
            <w:pPr>
              <w:pStyle w:val="TableContents"/>
              <w:bidi w:val="0"/>
              <w:spacing w:before="0" w:after="283"/>
              <w:jc w:val="left"/>
              <w:rPr/>
            </w:pPr>
            <w:hyperlink r:id="rId19">
              <w:r>
                <w:rPr>
                  <w:rStyle w:val="InternetLink"/>
                </w:rPr>
                <w:t>Certificate of Amendment of the Restated Certificate of Incorporation</w:t>
              </w:r>
            </w:hyperlink>
          </w:p>
        </w:tc>
        <w:tc>
          <w:tcPr>
            <w:tcW w:w="141"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center"/>
              <w:rPr/>
            </w:pPr>
            <w:r>
              <w:rPr/>
              <w:t>3.1</w:t>
            </w:r>
          </w:p>
        </w:tc>
        <w:tc>
          <w:tcPr>
            <w:tcW w:w="14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center"/>
              <w:rPr/>
            </w:pPr>
            <w:r>
              <w:rPr/>
              <w:t>8-K</w:t>
            </w:r>
          </w:p>
        </w:tc>
        <w:tc>
          <w:tcPr>
            <w:tcW w:w="141" w:type="dxa"/>
            <w:tcBorders/>
            <w:vAlign w:val="bottom"/>
          </w:tcPr>
          <w:p>
            <w:pPr>
              <w:pStyle w:val="TableContents"/>
              <w:bidi w:val="0"/>
              <w:spacing w:before="0" w:after="283"/>
              <w:jc w:val="left"/>
              <w:rPr/>
            </w:pPr>
            <w:r>
              <w:rPr/>
              <w:t>  </w:t>
            </w:r>
          </w:p>
        </w:tc>
        <w:tc>
          <w:tcPr>
            <w:tcW w:w="1983" w:type="dxa"/>
            <w:tcBorders/>
            <w:vAlign w:val="bottom"/>
          </w:tcPr>
          <w:p>
            <w:pPr>
              <w:pStyle w:val="TableContents"/>
              <w:bidi w:val="0"/>
              <w:spacing w:before="0" w:after="283"/>
              <w:jc w:val="center"/>
              <w:rPr/>
            </w:pPr>
            <w:r>
              <w:rPr/>
              <w:t>May 13, 2021</w:t>
            </w:r>
          </w:p>
        </w:tc>
        <w:tc>
          <w:tcPr>
            <w:tcW w:w="14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center"/>
              <w:rPr/>
            </w:pPr>
            <w:r>
              <w:rPr/>
              <w:t>000-20859</w:t>
            </w:r>
          </w:p>
        </w:tc>
      </w:tr>
      <w:tr>
        <w:trPr>
          <w:trHeight w:val="120" w:hRule="atLeast"/>
        </w:trPr>
        <w:tc>
          <w:tcPr>
            <w:tcW w:w="911" w:type="dxa"/>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c>
          <w:tcPr>
            <w:tcW w:w="1053" w:type="dxa"/>
            <w:gridSpan w:val="2"/>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2124" w:type="dxa"/>
            <w:gridSpan w:val="2"/>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4.5</w:t>
            </w:r>
          </w:p>
        </w:tc>
        <w:tc>
          <w:tcPr>
            <w:tcW w:w="244" w:type="dxa"/>
            <w:tcBorders/>
            <w:vAlign w:val="bottom"/>
          </w:tcPr>
          <w:p>
            <w:pPr>
              <w:pStyle w:val="TableContents"/>
              <w:bidi w:val="0"/>
              <w:spacing w:before="0" w:after="283"/>
              <w:jc w:val="left"/>
              <w:rPr/>
            </w:pPr>
            <w:r>
              <w:rPr/>
              <w:t>  </w:t>
            </w:r>
          </w:p>
        </w:tc>
        <w:tc>
          <w:tcPr>
            <w:tcW w:w="4207" w:type="dxa"/>
            <w:tcBorders/>
          </w:tcPr>
          <w:p>
            <w:pPr>
              <w:pStyle w:val="TableContents"/>
              <w:bidi w:val="0"/>
              <w:spacing w:before="0" w:after="283"/>
              <w:jc w:val="left"/>
              <w:rPr/>
            </w:pPr>
            <w:hyperlink r:id="rId20">
              <w:r>
                <w:rPr>
                  <w:rStyle w:val="InternetLink"/>
                </w:rPr>
                <w:t>Certificate of Amendment of the Restated Certificate of Incorporation</w:t>
              </w:r>
            </w:hyperlink>
          </w:p>
        </w:tc>
        <w:tc>
          <w:tcPr>
            <w:tcW w:w="141"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center"/>
              <w:rPr/>
            </w:pPr>
            <w:r>
              <w:rPr/>
              <w:t>3.1</w:t>
            </w:r>
          </w:p>
        </w:tc>
        <w:tc>
          <w:tcPr>
            <w:tcW w:w="14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center"/>
              <w:rPr/>
            </w:pPr>
            <w:r>
              <w:rPr/>
              <w:t>8-K</w:t>
            </w:r>
          </w:p>
        </w:tc>
        <w:tc>
          <w:tcPr>
            <w:tcW w:w="141" w:type="dxa"/>
            <w:tcBorders/>
            <w:vAlign w:val="bottom"/>
          </w:tcPr>
          <w:p>
            <w:pPr>
              <w:pStyle w:val="TableContents"/>
              <w:bidi w:val="0"/>
              <w:spacing w:before="0" w:after="283"/>
              <w:jc w:val="left"/>
              <w:rPr/>
            </w:pPr>
            <w:r>
              <w:rPr/>
              <w:t>  </w:t>
            </w:r>
          </w:p>
        </w:tc>
        <w:tc>
          <w:tcPr>
            <w:tcW w:w="1983" w:type="dxa"/>
            <w:tcBorders/>
            <w:vAlign w:val="bottom"/>
          </w:tcPr>
          <w:p>
            <w:pPr>
              <w:pStyle w:val="TableContents"/>
              <w:bidi w:val="0"/>
              <w:spacing w:before="0" w:after="283"/>
              <w:jc w:val="center"/>
              <w:rPr/>
            </w:pPr>
            <w:r>
              <w:rPr/>
              <w:t>June 2, 2023</w:t>
            </w:r>
          </w:p>
        </w:tc>
        <w:tc>
          <w:tcPr>
            <w:tcW w:w="14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center"/>
              <w:rPr/>
            </w:pPr>
            <w:r>
              <w:rPr/>
              <w:t>000-20859</w:t>
            </w:r>
          </w:p>
        </w:tc>
      </w:tr>
      <w:tr>
        <w:trPr>
          <w:trHeight w:val="120" w:hRule="atLeast"/>
        </w:trPr>
        <w:tc>
          <w:tcPr>
            <w:tcW w:w="911" w:type="dxa"/>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c>
          <w:tcPr>
            <w:tcW w:w="1053" w:type="dxa"/>
            <w:gridSpan w:val="2"/>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2124" w:type="dxa"/>
            <w:gridSpan w:val="2"/>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4.6</w:t>
            </w:r>
          </w:p>
        </w:tc>
        <w:tc>
          <w:tcPr>
            <w:tcW w:w="244" w:type="dxa"/>
            <w:tcBorders/>
            <w:vAlign w:val="bottom"/>
          </w:tcPr>
          <w:p>
            <w:pPr>
              <w:pStyle w:val="TableContents"/>
              <w:bidi w:val="0"/>
              <w:spacing w:before="0" w:after="283"/>
              <w:jc w:val="left"/>
              <w:rPr/>
            </w:pPr>
            <w:r>
              <w:rPr/>
              <w:t>  </w:t>
            </w:r>
          </w:p>
        </w:tc>
        <w:tc>
          <w:tcPr>
            <w:tcW w:w="4207" w:type="dxa"/>
            <w:tcBorders/>
          </w:tcPr>
          <w:p>
            <w:pPr>
              <w:pStyle w:val="TableContents"/>
              <w:bidi w:val="0"/>
              <w:spacing w:before="0" w:after="283"/>
              <w:jc w:val="left"/>
              <w:rPr/>
            </w:pPr>
            <w:hyperlink r:id="rId21">
              <w:r>
                <w:rPr>
                  <w:rStyle w:val="InternetLink"/>
                </w:rPr>
                <w:t>Amended and Restated Bylaws</w:t>
              </w:r>
            </w:hyperlink>
          </w:p>
        </w:tc>
        <w:tc>
          <w:tcPr>
            <w:tcW w:w="141"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center"/>
              <w:rPr/>
            </w:pPr>
            <w:r>
              <w:rPr/>
              <w:t>3.1</w:t>
            </w:r>
          </w:p>
        </w:tc>
        <w:tc>
          <w:tcPr>
            <w:tcW w:w="14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center"/>
              <w:rPr/>
            </w:pPr>
            <w:r>
              <w:rPr/>
              <w:t>8-K</w:t>
            </w:r>
          </w:p>
        </w:tc>
        <w:tc>
          <w:tcPr>
            <w:tcW w:w="141" w:type="dxa"/>
            <w:tcBorders/>
            <w:vAlign w:val="bottom"/>
          </w:tcPr>
          <w:p>
            <w:pPr>
              <w:pStyle w:val="TableContents"/>
              <w:bidi w:val="0"/>
              <w:spacing w:before="0" w:after="283"/>
              <w:jc w:val="left"/>
              <w:rPr/>
            </w:pPr>
            <w:r>
              <w:rPr/>
              <w:t>  </w:t>
            </w:r>
          </w:p>
        </w:tc>
        <w:tc>
          <w:tcPr>
            <w:tcW w:w="1983" w:type="dxa"/>
            <w:tcBorders/>
            <w:vAlign w:val="bottom"/>
          </w:tcPr>
          <w:p>
            <w:pPr>
              <w:pStyle w:val="TableContents"/>
              <w:bidi w:val="0"/>
              <w:spacing w:before="0" w:after="283"/>
              <w:jc w:val="center"/>
              <w:rPr/>
            </w:pPr>
            <w:r>
              <w:rPr/>
              <w:t>December 15, 2023</w:t>
            </w:r>
          </w:p>
        </w:tc>
        <w:tc>
          <w:tcPr>
            <w:tcW w:w="14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center"/>
              <w:rPr/>
            </w:pPr>
            <w:r>
              <w:rPr/>
              <w:t>000-20859</w:t>
            </w:r>
          </w:p>
        </w:tc>
      </w:tr>
      <w:tr>
        <w:trPr>
          <w:trHeight w:val="120" w:hRule="atLeast"/>
        </w:trPr>
        <w:tc>
          <w:tcPr>
            <w:tcW w:w="911" w:type="dxa"/>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c>
          <w:tcPr>
            <w:tcW w:w="1053" w:type="dxa"/>
            <w:gridSpan w:val="2"/>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2124" w:type="dxa"/>
            <w:gridSpan w:val="2"/>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4.7</w:t>
            </w:r>
          </w:p>
        </w:tc>
        <w:tc>
          <w:tcPr>
            <w:tcW w:w="244" w:type="dxa"/>
            <w:tcBorders/>
            <w:vAlign w:val="bottom"/>
          </w:tcPr>
          <w:p>
            <w:pPr>
              <w:pStyle w:val="TableContents"/>
              <w:bidi w:val="0"/>
              <w:spacing w:before="0" w:after="283"/>
              <w:jc w:val="left"/>
              <w:rPr/>
            </w:pPr>
            <w:r>
              <w:rPr/>
              <w:t>  </w:t>
            </w:r>
          </w:p>
        </w:tc>
        <w:tc>
          <w:tcPr>
            <w:tcW w:w="4207" w:type="dxa"/>
            <w:tcBorders/>
          </w:tcPr>
          <w:p>
            <w:pPr>
              <w:pStyle w:val="TableContents"/>
              <w:bidi w:val="0"/>
              <w:spacing w:before="0" w:after="283"/>
              <w:jc w:val="left"/>
              <w:rPr/>
            </w:pPr>
            <w:hyperlink r:id="rId22">
              <w:r>
                <w:rPr>
                  <w:rStyle w:val="InternetLink"/>
                </w:rPr>
                <w:t>Form of Common Stock Certificate</w:t>
              </w:r>
            </w:hyperlink>
          </w:p>
        </w:tc>
        <w:tc>
          <w:tcPr>
            <w:tcW w:w="141"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center"/>
              <w:rPr/>
            </w:pPr>
            <w:r>
              <w:rPr/>
              <w:t>4.1</w:t>
            </w:r>
          </w:p>
        </w:tc>
        <w:tc>
          <w:tcPr>
            <w:tcW w:w="14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center"/>
              <w:rPr/>
            </w:pPr>
            <w:r>
              <w:rPr/>
              <w:t>10-K</w:t>
            </w:r>
          </w:p>
        </w:tc>
        <w:tc>
          <w:tcPr>
            <w:tcW w:w="141" w:type="dxa"/>
            <w:tcBorders/>
            <w:vAlign w:val="bottom"/>
          </w:tcPr>
          <w:p>
            <w:pPr>
              <w:pStyle w:val="TableContents"/>
              <w:bidi w:val="0"/>
              <w:spacing w:before="0" w:after="283"/>
              <w:jc w:val="left"/>
              <w:rPr/>
            </w:pPr>
            <w:r>
              <w:rPr/>
              <w:t>  </w:t>
            </w:r>
          </w:p>
        </w:tc>
        <w:tc>
          <w:tcPr>
            <w:tcW w:w="1983" w:type="dxa"/>
            <w:tcBorders/>
            <w:vAlign w:val="bottom"/>
          </w:tcPr>
          <w:p>
            <w:pPr>
              <w:pStyle w:val="TableContents"/>
              <w:bidi w:val="0"/>
              <w:spacing w:before="0" w:after="283"/>
              <w:jc w:val="center"/>
              <w:rPr/>
            </w:pPr>
            <w:r>
              <w:rPr/>
              <w:t>March 15, 2013</w:t>
            </w:r>
          </w:p>
        </w:tc>
        <w:tc>
          <w:tcPr>
            <w:tcW w:w="14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center"/>
              <w:rPr/>
            </w:pPr>
            <w:r>
              <w:rPr/>
              <w:t>000-20859</w:t>
            </w:r>
          </w:p>
        </w:tc>
      </w:tr>
      <w:tr>
        <w:trPr>
          <w:trHeight w:val="120" w:hRule="atLeast"/>
        </w:trPr>
        <w:tc>
          <w:tcPr>
            <w:tcW w:w="911" w:type="dxa"/>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c>
          <w:tcPr>
            <w:tcW w:w="1053" w:type="dxa"/>
            <w:gridSpan w:val="2"/>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2124" w:type="dxa"/>
            <w:gridSpan w:val="2"/>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5.1</w:t>
            </w:r>
          </w:p>
        </w:tc>
        <w:tc>
          <w:tcPr>
            <w:tcW w:w="244" w:type="dxa"/>
            <w:tcBorders/>
            <w:vAlign w:val="bottom"/>
          </w:tcPr>
          <w:p>
            <w:pPr>
              <w:pStyle w:val="TableContents"/>
              <w:bidi w:val="0"/>
              <w:spacing w:before="0" w:after="283"/>
              <w:jc w:val="left"/>
              <w:rPr/>
            </w:pPr>
            <w:r>
              <w:rPr/>
              <w:t>  </w:t>
            </w:r>
          </w:p>
        </w:tc>
        <w:tc>
          <w:tcPr>
            <w:tcW w:w="4207" w:type="dxa"/>
            <w:tcBorders/>
          </w:tcPr>
          <w:p>
            <w:pPr>
              <w:pStyle w:val="TableContents"/>
              <w:bidi w:val="0"/>
              <w:spacing w:before="0" w:after="283"/>
              <w:jc w:val="left"/>
              <w:rPr/>
            </w:pPr>
            <w:hyperlink w:anchor="d141680dex51.htm">
              <w:r>
                <w:rPr>
                  <w:rStyle w:val="InternetLink"/>
                </w:rPr>
                <w:t xml:space="preserve">Opinion of Cooley LLP* </w:t>
              </w:r>
            </w:hyperlink>
          </w:p>
        </w:tc>
        <w:tc>
          <w:tcPr>
            <w:tcW w:w="141"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center"/>
              <w:rPr/>
            </w:pPr>
            <w:r>
              <w:rPr/>
              <w:t>—</w:t>
            </w:r>
          </w:p>
        </w:tc>
        <w:tc>
          <w:tcPr>
            <w:tcW w:w="14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center"/>
              <w:rPr/>
            </w:pPr>
            <w:r>
              <w:rPr/>
              <w:t>—</w:t>
            </w:r>
          </w:p>
        </w:tc>
        <w:tc>
          <w:tcPr>
            <w:tcW w:w="141" w:type="dxa"/>
            <w:tcBorders/>
            <w:vAlign w:val="bottom"/>
          </w:tcPr>
          <w:p>
            <w:pPr>
              <w:pStyle w:val="TableContents"/>
              <w:bidi w:val="0"/>
              <w:spacing w:before="0" w:after="283"/>
              <w:jc w:val="left"/>
              <w:rPr/>
            </w:pPr>
            <w:r>
              <w:rPr/>
              <w:t>  </w:t>
            </w:r>
          </w:p>
        </w:tc>
        <w:tc>
          <w:tcPr>
            <w:tcW w:w="1983" w:type="dxa"/>
            <w:tcBorders/>
            <w:vAlign w:val="bottom"/>
          </w:tcPr>
          <w:p>
            <w:pPr>
              <w:pStyle w:val="TableContents"/>
              <w:bidi w:val="0"/>
              <w:spacing w:before="0" w:after="283"/>
              <w:jc w:val="center"/>
              <w:rPr/>
            </w:pPr>
            <w:r>
              <w:rPr/>
              <w:t>—</w:t>
            </w:r>
          </w:p>
        </w:tc>
        <w:tc>
          <w:tcPr>
            <w:tcW w:w="14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center"/>
              <w:rPr/>
            </w:pPr>
            <w:r>
              <w:rPr/>
              <w:t>—</w:t>
            </w:r>
          </w:p>
        </w:tc>
      </w:tr>
      <w:tr>
        <w:trPr>
          <w:trHeight w:val="120" w:hRule="atLeast"/>
        </w:trPr>
        <w:tc>
          <w:tcPr>
            <w:tcW w:w="911" w:type="dxa"/>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c>
          <w:tcPr>
            <w:tcW w:w="1053" w:type="dxa"/>
            <w:gridSpan w:val="2"/>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2124" w:type="dxa"/>
            <w:gridSpan w:val="2"/>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23.1</w:t>
            </w:r>
          </w:p>
        </w:tc>
        <w:tc>
          <w:tcPr>
            <w:tcW w:w="244" w:type="dxa"/>
            <w:tcBorders/>
            <w:vAlign w:val="bottom"/>
          </w:tcPr>
          <w:p>
            <w:pPr>
              <w:pStyle w:val="TableContents"/>
              <w:bidi w:val="0"/>
              <w:spacing w:before="0" w:after="283"/>
              <w:jc w:val="left"/>
              <w:rPr/>
            </w:pPr>
            <w:r>
              <w:rPr/>
              <w:t>  </w:t>
            </w:r>
          </w:p>
        </w:tc>
        <w:tc>
          <w:tcPr>
            <w:tcW w:w="4207" w:type="dxa"/>
            <w:tcBorders/>
          </w:tcPr>
          <w:p>
            <w:pPr>
              <w:pStyle w:val="TableContents"/>
              <w:bidi w:val="0"/>
              <w:spacing w:before="0" w:after="283"/>
              <w:jc w:val="left"/>
              <w:rPr/>
            </w:pPr>
            <w:hyperlink w:anchor="d141680dex231.htm">
              <w:r>
                <w:rPr>
                  <w:rStyle w:val="InternetLink"/>
                </w:rPr>
                <w:t>Consent of Ernst &amp; Young LLP, independent registered public accounting firm*</w:t>
              </w:r>
            </w:hyperlink>
          </w:p>
        </w:tc>
        <w:tc>
          <w:tcPr>
            <w:tcW w:w="141"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center"/>
              <w:rPr/>
            </w:pPr>
            <w:r>
              <w:rPr/>
              <w:t>—</w:t>
            </w:r>
          </w:p>
        </w:tc>
        <w:tc>
          <w:tcPr>
            <w:tcW w:w="14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center"/>
              <w:rPr/>
            </w:pPr>
            <w:r>
              <w:rPr/>
              <w:t>—</w:t>
            </w:r>
          </w:p>
        </w:tc>
        <w:tc>
          <w:tcPr>
            <w:tcW w:w="141" w:type="dxa"/>
            <w:tcBorders/>
            <w:vAlign w:val="bottom"/>
          </w:tcPr>
          <w:p>
            <w:pPr>
              <w:pStyle w:val="TableContents"/>
              <w:bidi w:val="0"/>
              <w:spacing w:before="0" w:after="283"/>
              <w:jc w:val="left"/>
              <w:rPr/>
            </w:pPr>
            <w:r>
              <w:rPr/>
              <w:t>  </w:t>
            </w:r>
          </w:p>
        </w:tc>
        <w:tc>
          <w:tcPr>
            <w:tcW w:w="1983" w:type="dxa"/>
            <w:tcBorders/>
            <w:vAlign w:val="bottom"/>
          </w:tcPr>
          <w:p>
            <w:pPr>
              <w:pStyle w:val="TableContents"/>
              <w:bidi w:val="0"/>
              <w:spacing w:before="0" w:after="283"/>
              <w:jc w:val="center"/>
              <w:rPr/>
            </w:pPr>
            <w:r>
              <w:rPr/>
              <w:t>—</w:t>
            </w:r>
          </w:p>
        </w:tc>
        <w:tc>
          <w:tcPr>
            <w:tcW w:w="14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center"/>
              <w:rPr/>
            </w:pPr>
            <w:r>
              <w:rPr/>
              <w:t>—</w:t>
            </w:r>
          </w:p>
        </w:tc>
      </w:tr>
      <w:tr>
        <w:trPr>
          <w:trHeight w:val="120" w:hRule="atLeast"/>
        </w:trPr>
        <w:tc>
          <w:tcPr>
            <w:tcW w:w="911" w:type="dxa"/>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c>
          <w:tcPr>
            <w:tcW w:w="1053" w:type="dxa"/>
            <w:gridSpan w:val="2"/>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2124" w:type="dxa"/>
            <w:gridSpan w:val="2"/>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23.2</w:t>
            </w:r>
          </w:p>
        </w:tc>
        <w:tc>
          <w:tcPr>
            <w:tcW w:w="244" w:type="dxa"/>
            <w:tcBorders/>
            <w:vAlign w:val="bottom"/>
          </w:tcPr>
          <w:p>
            <w:pPr>
              <w:pStyle w:val="TableContents"/>
              <w:bidi w:val="0"/>
              <w:spacing w:before="0" w:after="283"/>
              <w:jc w:val="left"/>
              <w:rPr/>
            </w:pPr>
            <w:r>
              <w:rPr/>
              <w:t>  </w:t>
            </w:r>
          </w:p>
        </w:tc>
        <w:tc>
          <w:tcPr>
            <w:tcW w:w="4207" w:type="dxa"/>
            <w:tcBorders/>
          </w:tcPr>
          <w:p>
            <w:pPr>
              <w:pStyle w:val="TableContents"/>
              <w:bidi w:val="0"/>
              <w:spacing w:before="0" w:after="283"/>
              <w:jc w:val="left"/>
              <w:rPr/>
            </w:pPr>
            <w:hyperlink w:anchor="d141680dex51.htm">
              <w:r>
                <w:rPr>
                  <w:rStyle w:val="InternetLink"/>
                </w:rPr>
                <w:t>Consent of Cooley LLP (included in Exhibit 5.1)*</w:t>
              </w:r>
            </w:hyperlink>
          </w:p>
        </w:tc>
        <w:tc>
          <w:tcPr>
            <w:tcW w:w="141"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center"/>
              <w:rPr/>
            </w:pPr>
            <w:r>
              <w:rPr/>
              <w:t>—</w:t>
            </w:r>
          </w:p>
        </w:tc>
        <w:tc>
          <w:tcPr>
            <w:tcW w:w="14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center"/>
              <w:rPr/>
            </w:pPr>
            <w:r>
              <w:rPr/>
              <w:t>—</w:t>
            </w:r>
          </w:p>
        </w:tc>
        <w:tc>
          <w:tcPr>
            <w:tcW w:w="141" w:type="dxa"/>
            <w:tcBorders/>
            <w:vAlign w:val="bottom"/>
          </w:tcPr>
          <w:p>
            <w:pPr>
              <w:pStyle w:val="TableContents"/>
              <w:bidi w:val="0"/>
              <w:spacing w:before="0" w:after="283"/>
              <w:jc w:val="left"/>
              <w:rPr/>
            </w:pPr>
            <w:r>
              <w:rPr/>
              <w:t>  </w:t>
            </w:r>
          </w:p>
        </w:tc>
        <w:tc>
          <w:tcPr>
            <w:tcW w:w="1983" w:type="dxa"/>
            <w:tcBorders/>
            <w:vAlign w:val="bottom"/>
          </w:tcPr>
          <w:p>
            <w:pPr>
              <w:pStyle w:val="TableContents"/>
              <w:bidi w:val="0"/>
              <w:spacing w:before="0" w:after="283"/>
              <w:jc w:val="center"/>
              <w:rPr/>
            </w:pPr>
            <w:r>
              <w:rPr/>
              <w:t>—</w:t>
            </w:r>
          </w:p>
        </w:tc>
        <w:tc>
          <w:tcPr>
            <w:tcW w:w="14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center"/>
              <w:rPr/>
            </w:pPr>
            <w:r>
              <w:rPr/>
              <w:t>—</w:t>
            </w:r>
          </w:p>
        </w:tc>
      </w:tr>
      <w:tr>
        <w:trPr>
          <w:trHeight w:val="120" w:hRule="atLeast"/>
        </w:trPr>
        <w:tc>
          <w:tcPr>
            <w:tcW w:w="911" w:type="dxa"/>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c>
          <w:tcPr>
            <w:tcW w:w="1053" w:type="dxa"/>
            <w:gridSpan w:val="2"/>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2124" w:type="dxa"/>
            <w:gridSpan w:val="2"/>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24.1</w:t>
            </w:r>
          </w:p>
        </w:tc>
        <w:tc>
          <w:tcPr>
            <w:tcW w:w="244" w:type="dxa"/>
            <w:tcBorders/>
            <w:vAlign w:val="bottom"/>
          </w:tcPr>
          <w:p>
            <w:pPr>
              <w:pStyle w:val="TableContents"/>
              <w:bidi w:val="0"/>
              <w:spacing w:before="0" w:after="283"/>
              <w:jc w:val="left"/>
              <w:rPr/>
            </w:pPr>
            <w:r>
              <w:rPr/>
              <w:t>  </w:t>
            </w:r>
          </w:p>
        </w:tc>
        <w:tc>
          <w:tcPr>
            <w:tcW w:w="4207" w:type="dxa"/>
            <w:tcBorders/>
          </w:tcPr>
          <w:p>
            <w:pPr>
              <w:pStyle w:val="TableContents"/>
              <w:bidi w:val="0"/>
              <w:spacing w:before="0" w:after="283"/>
              <w:jc w:val="left"/>
              <w:rPr/>
            </w:pPr>
            <w:hyperlink w:anchor="sig">
              <w:r>
                <w:rPr>
                  <w:rStyle w:val="InternetLink"/>
                </w:rPr>
                <w:t>Power of Attorney (included on the signature page to this Registration Statement)*</w:t>
              </w:r>
            </w:hyperlink>
          </w:p>
        </w:tc>
        <w:tc>
          <w:tcPr>
            <w:tcW w:w="141"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center"/>
              <w:rPr/>
            </w:pPr>
            <w:r>
              <w:rPr/>
              <w:t>—</w:t>
            </w:r>
          </w:p>
        </w:tc>
        <w:tc>
          <w:tcPr>
            <w:tcW w:w="14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center"/>
              <w:rPr/>
            </w:pPr>
            <w:r>
              <w:rPr/>
              <w:t>—</w:t>
            </w:r>
          </w:p>
        </w:tc>
        <w:tc>
          <w:tcPr>
            <w:tcW w:w="141" w:type="dxa"/>
            <w:tcBorders/>
            <w:vAlign w:val="bottom"/>
          </w:tcPr>
          <w:p>
            <w:pPr>
              <w:pStyle w:val="TableContents"/>
              <w:bidi w:val="0"/>
              <w:spacing w:before="0" w:after="283"/>
              <w:jc w:val="left"/>
              <w:rPr/>
            </w:pPr>
            <w:r>
              <w:rPr/>
              <w:t>  </w:t>
            </w:r>
          </w:p>
        </w:tc>
        <w:tc>
          <w:tcPr>
            <w:tcW w:w="1983" w:type="dxa"/>
            <w:tcBorders/>
            <w:vAlign w:val="bottom"/>
          </w:tcPr>
          <w:p>
            <w:pPr>
              <w:pStyle w:val="TableContents"/>
              <w:bidi w:val="0"/>
              <w:spacing w:before="0" w:after="283"/>
              <w:jc w:val="center"/>
              <w:rPr/>
            </w:pPr>
            <w:r>
              <w:rPr/>
              <w:t>—</w:t>
            </w:r>
          </w:p>
        </w:tc>
        <w:tc>
          <w:tcPr>
            <w:tcW w:w="14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center"/>
              <w:rPr/>
            </w:pPr>
            <w:r>
              <w:rPr/>
              <w:t>—</w:t>
            </w:r>
          </w:p>
        </w:tc>
      </w:tr>
      <w:tr>
        <w:trPr>
          <w:trHeight w:val="120" w:hRule="atLeast"/>
        </w:trPr>
        <w:tc>
          <w:tcPr>
            <w:tcW w:w="911" w:type="dxa"/>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c>
          <w:tcPr>
            <w:tcW w:w="1053" w:type="dxa"/>
            <w:gridSpan w:val="2"/>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2124" w:type="dxa"/>
            <w:gridSpan w:val="2"/>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99.1</w:t>
            </w:r>
          </w:p>
        </w:tc>
        <w:tc>
          <w:tcPr>
            <w:tcW w:w="244" w:type="dxa"/>
            <w:tcBorders/>
            <w:vAlign w:val="bottom"/>
          </w:tcPr>
          <w:p>
            <w:pPr>
              <w:pStyle w:val="TableContents"/>
              <w:bidi w:val="0"/>
              <w:spacing w:before="0" w:after="283"/>
              <w:jc w:val="left"/>
              <w:rPr/>
            </w:pPr>
            <w:r>
              <w:rPr/>
              <w:t>  </w:t>
            </w:r>
          </w:p>
        </w:tc>
        <w:tc>
          <w:tcPr>
            <w:tcW w:w="4207" w:type="dxa"/>
            <w:tcBorders/>
          </w:tcPr>
          <w:p>
            <w:pPr>
              <w:pStyle w:val="TableContents"/>
              <w:bidi w:val="0"/>
              <w:spacing w:before="0" w:after="283"/>
              <w:jc w:val="left"/>
              <w:rPr/>
            </w:pPr>
            <w:hyperlink r:id="rId23">
              <w:r>
                <w:rPr>
                  <w:rStyle w:val="InternetLink"/>
                </w:rPr>
                <w:t xml:space="preserve">Geron Corporation 2018 Equity Incentive Plan, as amended </w:t>
              </w:r>
            </w:hyperlink>
          </w:p>
        </w:tc>
        <w:tc>
          <w:tcPr>
            <w:tcW w:w="141"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center"/>
              <w:rPr/>
            </w:pPr>
            <w:r>
              <w:rPr/>
              <w:t>10.1</w:t>
            </w:r>
          </w:p>
        </w:tc>
        <w:tc>
          <w:tcPr>
            <w:tcW w:w="14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center"/>
              <w:rPr/>
            </w:pPr>
            <w:r>
              <w:rPr/>
              <w:t>8-K</w:t>
            </w:r>
          </w:p>
        </w:tc>
        <w:tc>
          <w:tcPr>
            <w:tcW w:w="141" w:type="dxa"/>
            <w:tcBorders/>
            <w:vAlign w:val="bottom"/>
          </w:tcPr>
          <w:p>
            <w:pPr>
              <w:pStyle w:val="TableContents"/>
              <w:bidi w:val="0"/>
              <w:spacing w:before="0" w:after="283"/>
              <w:jc w:val="left"/>
              <w:rPr/>
            </w:pPr>
            <w:r>
              <w:rPr/>
              <w:t>  </w:t>
            </w:r>
          </w:p>
        </w:tc>
        <w:tc>
          <w:tcPr>
            <w:tcW w:w="1983" w:type="dxa"/>
            <w:tcBorders/>
            <w:vAlign w:val="bottom"/>
          </w:tcPr>
          <w:p>
            <w:pPr>
              <w:pStyle w:val="TableContents"/>
              <w:bidi w:val="0"/>
              <w:spacing w:before="0" w:after="283"/>
              <w:jc w:val="center"/>
              <w:rPr/>
            </w:pPr>
            <w:r>
              <w:rPr/>
              <w:t>May 27, 2026</w:t>
            </w:r>
          </w:p>
        </w:tc>
        <w:tc>
          <w:tcPr>
            <w:tcW w:w="14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center"/>
              <w:rPr/>
            </w:pPr>
            <w:r>
              <w:rPr/>
              <w:t>000-20859</w:t>
            </w:r>
          </w:p>
        </w:tc>
      </w:tr>
      <w:tr>
        <w:trPr>
          <w:trHeight w:val="120" w:hRule="atLeast"/>
        </w:trPr>
        <w:tc>
          <w:tcPr>
            <w:tcW w:w="911" w:type="dxa"/>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c>
          <w:tcPr>
            <w:tcW w:w="1053" w:type="dxa"/>
            <w:gridSpan w:val="2"/>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2124" w:type="dxa"/>
            <w:gridSpan w:val="2"/>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tcPr>
          <w:p>
            <w:pPr>
              <w:pStyle w:val="TableContents"/>
              <w:bidi w:val="0"/>
              <w:spacing w:before="0" w:after="283"/>
              <w:jc w:val="left"/>
              <w:rPr/>
            </w:pPr>
            <w:r>
              <w:rPr/>
              <w:t>107</w:t>
            </w:r>
          </w:p>
        </w:tc>
        <w:tc>
          <w:tcPr>
            <w:tcW w:w="244" w:type="dxa"/>
            <w:tcBorders/>
            <w:vAlign w:val="bottom"/>
          </w:tcPr>
          <w:p>
            <w:pPr>
              <w:pStyle w:val="TableContents"/>
              <w:bidi w:val="0"/>
              <w:spacing w:before="0" w:after="283"/>
              <w:jc w:val="left"/>
              <w:rPr/>
            </w:pPr>
            <w:r>
              <w:rPr/>
              <w:t>  </w:t>
            </w:r>
          </w:p>
        </w:tc>
        <w:tc>
          <w:tcPr>
            <w:tcW w:w="4207" w:type="dxa"/>
            <w:tcBorders/>
          </w:tcPr>
          <w:p>
            <w:pPr>
              <w:pStyle w:val="TableContents"/>
              <w:bidi w:val="0"/>
              <w:spacing w:before="0" w:after="283"/>
              <w:jc w:val="left"/>
              <w:rPr/>
            </w:pPr>
            <w:hyperlink w:anchor="d141680dexfilingfees.htm">
              <w:r>
                <w:rPr>
                  <w:rStyle w:val="InternetLink"/>
                </w:rPr>
                <w:t>Filing Fee Table*</w:t>
              </w:r>
            </w:hyperlink>
          </w:p>
        </w:tc>
        <w:tc>
          <w:tcPr>
            <w:tcW w:w="141"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center"/>
              <w:rPr/>
            </w:pPr>
            <w:r>
              <w:rPr/>
              <w:t>—</w:t>
            </w:r>
          </w:p>
        </w:tc>
        <w:tc>
          <w:tcPr>
            <w:tcW w:w="14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center"/>
              <w:rPr/>
            </w:pPr>
            <w:r>
              <w:rPr/>
              <w:t>—</w:t>
            </w:r>
          </w:p>
        </w:tc>
        <w:tc>
          <w:tcPr>
            <w:tcW w:w="141" w:type="dxa"/>
            <w:tcBorders/>
            <w:vAlign w:val="bottom"/>
          </w:tcPr>
          <w:p>
            <w:pPr>
              <w:pStyle w:val="TableContents"/>
              <w:bidi w:val="0"/>
              <w:spacing w:before="0" w:after="283"/>
              <w:jc w:val="left"/>
              <w:rPr/>
            </w:pPr>
            <w:r>
              <w:rPr/>
              <w:t>  </w:t>
            </w:r>
          </w:p>
        </w:tc>
        <w:tc>
          <w:tcPr>
            <w:tcW w:w="1983" w:type="dxa"/>
            <w:tcBorders/>
            <w:vAlign w:val="bottom"/>
          </w:tcPr>
          <w:p>
            <w:pPr>
              <w:pStyle w:val="TableContents"/>
              <w:bidi w:val="0"/>
              <w:spacing w:before="0" w:after="283"/>
              <w:jc w:val="center"/>
              <w:rPr/>
            </w:pPr>
            <w:r>
              <w:rPr/>
              <w:t>—</w:t>
            </w:r>
          </w:p>
        </w:tc>
        <w:tc>
          <w:tcPr>
            <w:tcW w:w="14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center"/>
              <w:rPr/>
            </w:pPr>
            <w:r>
              <w:rPr/>
              <w:t>—</w:t>
            </w:r>
          </w:p>
        </w:tc>
      </w:tr>
    </w:tbl>
    <w:p>
      <w:pPr>
        <w:pStyle w:val="TextBody"/>
        <w:bidi w:val="0"/>
        <w:spacing w:before="0" w:after="0"/>
        <w:jc w:val="left"/>
        <w:rPr>
          <w:rFonts w:ascii="Times New Roman" w:hAnsi="Times New Roman"/>
          <w:sz w:val="20"/>
        </w:rPr>
      </w:pPr>
      <w:r>
        <w:rPr>
          <w:rFonts w:ascii="Times New Roman" w:hAnsi="Times New Roman"/>
          <w:sz w:val="20"/>
        </w:rPr>
        <w:t xml:space="preserve">_____________________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Foster City, State of California, on August 5, 2026. </w:t>
      </w:r>
    </w:p>
    <w:p>
      <w:pPr>
        <w:pStyle w:val="TextBody"/>
        <w:bidi w:val="0"/>
        <w:spacing w:before="360" w:after="0"/>
        <w:jc w:val="left"/>
        <w:rPr>
          <w:rFonts w:ascii="Times New Roman" w:hAnsi="Times New Roman"/>
          <w:b/>
          <w:sz w:val="20"/>
        </w:rPr>
      </w:pPr>
      <w:r>
        <w:rPr>
          <w:rFonts w:ascii="Times New Roman" w:hAnsi="Times New Roman"/>
          <w:b/>
          <w:sz w:val="20"/>
        </w:rPr>
        <w:t xml:space="preserve">GERON CORPORATION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Michelle Robertson</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Michelle Robertson</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i/>
              </w:rPr>
            </w:pPr>
            <w:r>
              <w:rPr>
                <w:i/>
              </w:rPr>
              <w:t>Executive Vice President, Finance, Chief Financial Officer and Treasurer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b/>
          <w:sz w:val="20"/>
        </w:rPr>
        <w:t>KNOW ALL PERSONS BY THESE PRESENT</w:t>
      </w:r>
      <w:r>
        <w:rPr>
          <w:rFonts w:ascii="Times New Roman" w:hAnsi="Times New Roman"/>
          <w:sz w:val="20"/>
        </w:rPr>
        <w:t xml:space="preserve">, that each person whose signature appears below constitutes and appoints Harout Semerjian, Michelle Robertson and Timothy Williams,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in order to effectuate the same as fully, to all intents and purposes, as he or she might or could do in person, hereby ratifying and confirming all that each of said attorneys-in-fact and agents, or any of them, or their or his substitutes or substitute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 indicated.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37"/>
        <w:gridCol w:w="120"/>
        <w:gridCol w:w="4305"/>
        <w:gridCol w:w="106"/>
        <w:gridCol w:w="1837"/>
      </w:tblGrid>
      <w:tr>
        <w:trPr/>
        <w:tc>
          <w:tcPr>
            <w:tcW w:w="383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0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r>
      <w:tr>
        <w:trPr/>
        <w:tc>
          <w:tcPr>
            <w:tcW w:w="383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3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6" w:type="dxa"/>
            <w:tcBorders/>
            <w:vAlign w:val="bottom"/>
          </w:tcPr>
          <w:p>
            <w:pPr>
              <w:pStyle w:val="TableContents"/>
              <w:bidi w:val="0"/>
              <w:spacing w:before="0" w:after="283"/>
              <w:jc w:val="left"/>
              <w:rPr/>
            </w:pPr>
            <w:r>
              <w:rPr/>
              <w:t> </w:t>
            </w:r>
          </w:p>
        </w:tc>
        <w:tc>
          <w:tcPr>
            <w:tcW w:w="18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837" w:type="dxa"/>
            <w:tcBorders/>
            <w:vAlign w:val="center"/>
          </w:tcPr>
          <w:p>
            <w:pPr>
              <w:pStyle w:val="TableContents"/>
              <w:bidi w:val="0"/>
              <w:spacing w:before="0" w:after="283"/>
              <w:jc w:val="left"/>
              <w:rPr>
                <w:sz w:val="4"/>
                <w:szCs w:val="4"/>
              </w:rPr>
            </w:pPr>
            <w:r>
              <w:rPr>
                <w:sz w:val="4"/>
                <w:szCs w:val="4"/>
              </w:rPr>
            </w:r>
          </w:p>
        </w:tc>
        <w:tc>
          <w:tcPr>
            <w:tcW w:w="4425" w:type="dxa"/>
            <w:gridSpan w:val="2"/>
            <w:tcBorders/>
            <w:vAlign w:val="center"/>
          </w:tcPr>
          <w:p>
            <w:pPr>
              <w:pStyle w:val="TableContents"/>
              <w:bidi w:val="0"/>
              <w:spacing w:before="0" w:after="283"/>
              <w:jc w:val="left"/>
              <w:rPr>
                <w:sz w:val="4"/>
                <w:szCs w:val="4"/>
              </w:rPr>
            </w:pPr>
            <w:r>
              <w:rPr>
                <w:sz w:val="4"/>
                <w:szCs w:val="4"/>
              </w:rPr>
            </w:r>
          </w:p>
        </w:tc>
        <w:tc>
          <w:tcPr>
            <w:tcW w:w="1943" w:type="dxa"/>
            <w:gridSpan w:val="2"/>
            <w:tcBorders/>
            <w:vAlign w:val="center"/>
          </w:tcPr>
          <w:p>
            <w:pPr>
              <w:pStyle w:val="TableContents"/>
              <w:bidi w:val="0"/>
              <w:spacing w:before="0" w:after="283"/>
              <w:jc w:val="left"/>
              <w:rPr>
                <w:sz w:val="4"/>
                <w:szCs w:val="4"/>
              </w:rPr>
            </w:pPr>
            <w:r>
              <w:rPr>
                <w:sz w:val="4"/>
                <w:szCs w:val="4"/>
              </w:rPr>
            </w:r>
          </w:p>
        </w:tc>
      </w:tr>
      <w:tr>
        <w:trPr/>
        <w:tc>
          <w:tcPr>
            <w:tcW w:w="383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Harout Semerjian</w:t>
            </w:r>
          </w:p>
          <w:p>
            <w:pPr>
              <w:pStyle w:val="TableContents"/>
              <w:bidi w:val="0"/>
              <w:spacing w:before="0" w:after="20"/>
              <w:jc w:val="left"/>
              <w:rPr>
                <w:rFonts w:ascii="Times New Roman" w:hAnsi="Times New Roman"/>
                <w:sz w:val="20"/>
              </w:rPr>
            </w:pPr>
            <w:r>
              <w:rPr>
                <w:rFonts w:ascii="Times New Roman" w:hAnsi="Times New Roman"/>
                <w:sz w:val="20"/>
              </w:rPr>
              <w:t>HAROUT SEMERJIAN</w:t>
            </w:r>
          </w:p>
        </w:tc>
        <w:tc>
          <w:tcPr>
            <w:tcW w:w="120" w:type="dxa"/>
            <w:tcBorders/>
            <w:vAlign w:val="bottom"/>
          </w:tcPr>
          <w:p>
            <w:pPr>
              <w:pStyle w:val="TableContents"/>
              <w:bidi w:val="0"/>
              <w:spacing w:before="0" w:after="283"/>
              <w:jc w:val="left"/>
              <w:rPr/>
            </w:pPr>
            <w:r>
              <w:rPr/>
              <w:t>  </w:t>
            </w:r>
          </w:p>
        </w:tc>
        <w:tc>
          <w:tcPr>
            <w:tcW w:w="4305"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and Chief Executive Officer and</w:t>
            </w:r>
          </w:p>
          <w:p>
            <w:pPr>
              <w:pStyle w:val="TableContents"/>
              <w:bidi w:val="0"/>
              <w:spacing w:before="0" w:after="20"/>
              <w:jc w:val="center"/>
              <w:rPr>
                <w:rFonts w:ascii="Times New Roman" w:hAnsi="Times New Roman"/>
                <w:sz w:val="20"/>
              </w:rPr>
            </w:pPr>
            <w:r>
              <w:rPr>
                <w:rFonts w:ascii="Times New Roman" w:hAnsi="Times New Roman"/>
                <w:sz w:val="20"/>
              </w:rPr>
              <w:t>Director (Principal Executive Officer)</w:t>
            </w:r>
          </w:p>
        </w:tc>
        <w:tc>
          <w:tcPr>
            <w:tcW w:w="106"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August 5, 2026</w:t>
            </w:r>
          </w:p>
        </w:tc>
      </w:tr>
      <w:tr>
        <w:trPr>
          <w:trHeight w:val="240" w:hRule="atLeast"/>
        </w:trPr>
        <w:tc>
          <w:tcPr>
            <w:tcW w:w="3837" w:type="dxa"/>
            <w:tcBorders/>
            <w:vAlign w:val="center"/>
          </w:tcPr>
          <w:p>
            <w:pPr>
              <w:pStyle w:val="TableContents"/>
              <w:bidi w:val="0"/>
              <w:spacing w:before="0" w:after="283"/>
              <w:jc w:val="left"/>
              <w:rPr>
                <w:sz w:val="4"/>
                <w:szCs w:val="4"/>
              </w:rPr>
            </w:pPr>
            <w:r>
              <w:rPr>
                <w:sz w:val="4"/>
                <w:szCs w:val="4"/>
              </w:rPr>
            </w:r>
          </w:p>
        </w:tc>
        <w:tc>
          <w:tcPr>
            <w:tcW w:w="4425" w:type="dxa"/>
            <w:gridSpan w:val="2"/>
            <w:tcBorders/>
            <w:vAlign w:val="center"/>
          </w:tcPr>
          <w:p>
            <w:pPr>
              <w:pStyle w:val="TableContents"/>
              <w:bidi w:val="0"/>
              <w:spacing w:before="0" w:after="283"/>
              <w:jc w:val="left"/>
              <w:rPr>
                <w:sz w:val="4"/>
                <w:szCs w:val="4"/>
              </w:rPr>
            </w:pPr>
            <w:r>
              <w:rPr>
                <w:sz w:val="4"/>
                <w:szCs w:val="4"/>
              </w:rPr>
            </w:r>
          </w:p>
        </w:tc>
        <w:tc>
          <w:tcPr>
            <w:tcW w:w="1943" w:type="dxa"/>
            <w:gridSpan w:val="2"/>
            <w:tcBorders/>
            <w:vAlign w:val="center"/>
          </w:tcPr>
          <w:p>
            <w:pPr>
              <w:pStyle w:val="TableContents"/>
              <w:bidi w:val="0"/>
              <w:spacing w:before="0" w:after="283"/>
              <w:jc w:val="left"/>
              <w:rPr>
                <w:sz w:val="4"/>
                <w:szCs w:val="4"/>
              </w:rPr>
            </w:pPr>
            <w:r>
              <w:rPr>
                <w:sz w:val="4"/>
                <w:szCs w:val="4"/>
              </w:rPr>
            </w:r>
          </w:p>
        </w:tc>
      </w:tr>
      <w:tr>
        <w:trPr/>
        <w:tc>
          <w:tcPr>
            <w:tcW w:w="383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Michelle Robertson</w:t>
            </w:r>
          </w:p>
          <w:p>
            <w:pPr>
              <w:pStyle w:val="TableContents"/>
              <w:bidi w:val="0"/>
              <w:spacing w:before="0" w:after="20"/>
              <w:jc w:val="left"/>
              <w:rPr>
                <w:rFonts w:ascii="Times New Roman" w:hAnsi="Times New Roman"/>
                <w:sz w:val="20"/>
              </w:rPr>
            </w:pPr>
            <w:r>
              <w:rPr>
                <w:rFonts w:ascii="Times New Roman" w:hAnsi="Times New Roman"/>
                <w:sz w:val="20"/>
              </w:rPr>
              <w:t>MICHELLE ROBERTSON</w:t>
            </w:r>
          </w:p>
        </w:tc>
        <w:tc>
          <w:tcPr>
            <w:tcW w:w="120" w:type="dxa"/>
            <w:tcBorders/>
            <w:vAlign w:val="bottom"/>
          </w:tcPr>
          <w:p>
            <w:pPr>
              <w:pStyle w:val="TableContents"/>
              <w:bidi w:val="0"/>
              <w:spacing w:before="0" w:after="283"/>
              <w:jc w:val="left"/>
              <w:rPr/>
            </w:pPr>
            <w:r>
              <w:rPr/>
              <w:t>  </w:t>
            </w:r>
          </w:p>
        </w:tc>
        <w:tc>
          <w:tcPr>
            <w:tcW w:w="4305" w:type="dxa"/>
            <w:tcBorders/>
          </w:tcPr>
          <w:p>
            <w:pPr>
              <w:pStyle w:val="TableContents"/>
              <w:bidi w:val="0"/>
              <w:spacing w:before="0" w:after="0"/>
              <w:jc w:val="center"/>
              <w:rPr>
                <w:rFonts w:ascii="Times New Roman" w:hAnsi="Times New Roman"/>
                <w:sz w:val="20"/>
              </w:rPr>
            </w:pPr>
            <w:r>
              <w:rPr>
                <w:rFonts w:ascii="Times New Roman" w:hAnsi="Times New Roman"/>
                <w:sz w:val="20"/>
              </w:rPr>
              <w:t>Executive Vice President, Finance, Chief Financial Officer and Treasurer</w:t>
            </w:r>
          </w:p>
          <w:p>
            <w:pPr>
              <w:pStyle w:val="TableContents"/>
              <w:bidi w:val="0"/>
              <w:spacing w:before="0" w:after="20"/>
              <w:jc w:val="center"/>
              <w:rPr>
                <w:rFonts w:ascii="Times New Roman" w:hAnsi="Times New Roman"/>
                <w:sz w:val="20"/>
              </w:rPr>
            </w:pPr>
            <w:r>
              <w:rPr>
                <w:rFonts w:ascii="Times New Roman" w:hAnsi="Times New Roman"/>
                <w:sz w:val="20"/>
              </w:rPr>
              <w:t>(Principal Financial and Accounting Officer)</w:t>
            </w:r>
          </w:p>
        </w:tc>
        <w:tc>
          <w:tcPr>
            <w:tcW w:w="106"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August 5, 2026</w:t>
            </w:r>
          </w:p>
        </w:tc>
      </w:tr>
      <w:tr>
        <w:trPr>
          <w:trHeight w:val="240" w:hRule="atLeast"/>
        </w:trPr>
        <w:tc>
          <w:tcPr>
            <w:tcW w:w="3837" w:type="dxa"/>
            <w:tcBorders/>
            <w:vAlign w:val="center"/>
          </w:tcPr>
          <w:p>
            <w:pPr>
              <w:pStyle w:val="TableContents"/>
              <w:bidi w:val="0"/>
              <w:spacing w:before="0" w:after="283"/>
              <w:jc w:val="left"/>
              <w:rPr>
                <w:sz w:val="4"/>
                <w:szCs w:val="4"/>
              </w:rPr>
            </w:pPr>
            <w:r>
              <w:rPr>
                <w:sz w:val="4"/>
                <w:szCs w:val="4"/>
              </w:rPr>
            </w:r>
          </w:p>
        </w:tc>
        <w:tc>
          <w:tcPr>
            <w:tcW w:w="4425" w:type="dxa"/>
            <w:gridSpan w:val="2"/>
            <w:tcBorders/>
            <w:vAlign w:val="center"/>
          </w:tcPr>
          <w:p>
            <w:pPr>
              <w:pStyle w:val="TableContents"/>
              <w:bidi w:val="0"/>
              <w:spacing w:before="0" w:after="283"/>
              <w:jc w:val="left"/>
              <w:rPr>
                <w:sz w:val="4"/>
                <w:szCs w:val="4"/>
              </w:rPr>
            </w:pPr>
            <w:r>
              <w:rPr>
                <w:sz w:val="4"/>
                <w:szCs w:val="4"/>
              </w:rPr>
            </w:r>
          </w:p>
        </w:tc>
        <w:tc>
          <w:tcPr>
            <w:tcW w:w="1943" w:type="dxa"/>
            <w:gridSpan w:val="2"/>
            <w:tcBorders/>
            <w:vAlign w:val="center"/>
          </w:tcPr>
          <w:p>
            <w:pPr>
              <w:pStyle w:val="TableContents"/>
              <w:bidi w:val="0"/>
              <w:spacing w:before="0" w:after="283"/>
              <w:jc w:val="left"/>
              <w:rPr>
                <w:sz w:val="4"/>
                <w:szCs w:val="4"/>
              </w:rPr>
            </w:pPr>
            <w:r>
              <w:rPr>
                <w:sz w:val="4"/>
                <w:szCs w:val="4"/>
              </w:rPr>
            </w:r>
          </w:p>
        </w:tc>
      </w:tr>
      <w:tr>
        <w:trPr/>
        <w:tc>
          <w:tcPr>
            <w:tcW w:w="383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Patricia S. Andrews</w:t>
            </w:r>
          </w:p>
          <w:p>
            <w:pPr>
              <w:pStyle w:val="TableContents"/>
              <w:bidi w:val="0"/>
              <w:spacing w:before="0" w:after="20"/>
              <w:jc w:val="left"/>
              <w:rPr>
                <w:rFonts w:ascii="Times New Roman" w:hAnsi="Times New Roman"/>
                <w:sz w:val="20"/>
              </w:rPr>
            </w:pPr>
            <w:r>
              <w:rPr>
                <w:rFonts w:ascii="Times New Roman" w:hAnsi="Times New Roman"/>
                <w:sz w:val="20"/>
              </w:rPr>
              <w:t>PATRICIA S. ANDREWS</w:t>
            </w:r>
          </w:p>
        </w:tc>
        <w:tc>
          <w:tcPr>
            <w:tcW w:w="120" w:type="dxa"/>
            <w:tcBorders/>
            <w:vAlign w:val="bottom"/>
          </w:tcPr>
          <w:p>
            <w:pPr>
              <w:pStyle w:val="TableContents"/>
              <w:bidi w:val="0"/>
              <w:spacing w:before="0" w:after="283"/>
              <w:jc w:val="left"/>
              <w:rPr/>
            </w:pPr>
            <w:r>
              <w:rPr/>
              <w:t>  </w:t>
            </w:r>
          </w:p>
        </w:tc>
        <w:tc>
          <w:tcPr>
            <w:tcW w:w="4305"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August 5, 2026</w:t>
            </w:r>
          </w:p>
        </w:tc>
      </w:tr>
      <w:tr>
        <w:trPr>
          <w:trHeight w:val="240" w:hRule="atLeast"/>
        </w:trPr>
        <w:tc>
          <w:tcPr>
            <w:tcW w:w="3837" w:type="dxa"/>
            <w:tcBorders/>
            <w:vAlign w:val="center"/>
          </w:tcPr>
          <w:p>
            <w:pPr>
              <w:pStyle w:val="TableContents"/>
              <w:bidi w:val="0"/>
              <w:spacing w:before="0" w:after="283"/>
              <w:jc w:val="left"/>
              <w:rPr>
                <w:sz w:val="4"/>
                <w:szCs w:val="4"/>
              </w:rPr>
            </w:pPr>
            <w:r>
              <w:rPr>
                <w:sz w:val="4"/>
                <w:szCs w:val="4"/>
              </w:rPr>
            </w:r>
          </w:p>
        </w:tc>
        <w:tc>
          <w:tcPr>
            <w:tcW w:w="4425" w:type="dxa"/>
            <w:gridSpan w:val="2"/>
            <w:tcBorders/>
            <w:vAlign w:val="center"/>
          </w:tcPr>
          <w:p>
            <w:pPr>
              <w:pStyle w:val="TableContents"/>
              <w:bidi w:val="0"/>
              <w:spacing w:before="0" w:after="283"/>
              <w:jc w:val="left"/>
              <w:rPr>
                <w:sz w:val="4"/>
                <w:szCs w:val="4"/>
              </w:rPr>
            </w:pPr>
            <w:r>
              <w:rPr>
                <w:sz w:val="4"/>
                <w:szCs w:val="4"/>
              </w:rPr>
            </w:r>
          </w:p>
        </w:tc>
        <w:tc>
          <w:tcPr>
            <w:tcW w:w="1943" w:type="dxa"/>
            <w:gridSpan w:val="2"/>
            <w:tcBorders/>
            <w:vAlign w:val="center"/>
          </w:tcPr>
          <w:p>
            <w:pPr>
              <w:pStyle w:val="TableContents"/>
              <w:bidi w:val="0"/>
              <w:spacing w:before="0" w:after="283"/>
              <w:jc w:val="left"/>
              <w:rPr>
                <w:sz w:val="4"/>
                <w:szCs w:val="4"/>
              </w:rPr>
            </w:pPr>
            <w:r>
              <w:rPr>
                <w:sz w:val="4"/>
                <w:szCs w:val="4"/>
              </w:rPr>
            </w:r>
          </w:p>
        </w:tc>
      </w:tr>
      <w:tr>
        <w:trPr/>
        <w:tc>
          <w:tcPr>
            <w:tcW w:w="383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Dawn C. Bir</w:t>
            </w:r>
          </w:p>
          <w:p>
            <w:pPr>
              <w:pStyle w:val="TableContents"/>
              <w:bidi w:val="0"/>
              <w:spacing w:before="0" w:after="20"/>
              <w:jc w:val="left"/>
              <w:rPr>
                <w:rFonts w:ascii="Times New Roman" w:hAnsi="Times New Roman"/>
                <w:sz w:val="20"/>
              </w:rPr>
            </w:pPr>
            <w:r>
              <w:rPr>
                <w:rFonts w:ascii="Times New Roman" w:hAnsi="Times New Roman"/>
                <w:sz w:val="20"/>
              </w:rPr>
              <w:t>DAWN C. BIR</w:t>
            </w:r>
          </w:p>
        </w:tc>
        <w:tc>
          <w:tcPr>
            <w:tcW w:w="120" w:type="dxa"/>
            <w:tcBorders/>
            <w:vAlign w:val="bottom"/>
          </w:tcPr>
          <w:p>
            <w:pPr>
              <w:pStyle w:val="TableContents"/>
              <w:bidi w:val="0"/>
              <w:spacing w:before="0" w:after="283"/>
              <w:jc w:val="left"/>
              <w:rPr/>
            </w:pPr>
            <w:r>
              <w:rPr/>
              <w:t>  </w:t>
            </w:r>
          </w:p>
        </w:tc>
        <w:tc>
          <w:tcPr>
            <w:tcW w:w="4305"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August 5, 2026</w:t>
            </w:r>
          </w:p>
        </w:tc>
      </w:tr>
      <w:tr>
        <w:trPr>
          <w:trHeight w:val="240" w:hRule="atLeast"/>
        </w:trPr>
        <w:tc>
          <w:tcPr>
            <w:tcW w:w="3837" w:type="dxa"/>
            <w:tcBorders/>
            <w:vAlign w:val="center"/>
          </w:tcPr>
          <w:p>
            <w:pPr>
              <w:pStyle w:val="TableContents"/>
              <w:bidi w:val="0"/>
              <w:spacing w:before="0" w:after="283"/>
              <w:jc w:val="left"/>
              <w:rPr>
                <w:sz w:val="4"/>
                <w:szCs w:val="4"/>
              </w:rPr>
            </w:pPr>
            <w:r>
              <w:rPr>
                <w:sz w:val="4"/>
                <w:szCs w:val="4"/>
              </w:rPr>
            </w:r>
          </w:p>
        </w:tc>
        <w:tc>
          <w:tcPr>
            <w:tcW w:w="4425" w:type="dxa"/>
            <w:gridSpan w:val="2"/>
            <w:tcBorders/>
            <w:vAlign w:val="center"/>
          </w:tcPr>
          <w:p>
            <w:pPr>
              <w:pStyle w:val="TableContents"/>
              <w:bidi w:val="0"/>
              <w:spacing w:before="0" w:after="283"/>
              <w:jc w:val="left"/>
              <w:rPr>
                <w:sz w:val="4"/>
                <w:szCs w:val="4"/>
              </w:rPr>
            </w:pPr>
            <w:r>
              <w:rPr>
                <w:sz w:val="4"/>
                <w:szCs w:val="4"/>
              </w:rPr>
            </w:r>
          </w:p>
        </w:tc>
        <w:tc>
          <w:tcPr>
            <w:tcW w:w="1943" w:type="dxa"/>
            <w:gridSpan w:val="2"/>
            <w:tcBorders/>
            <w:vAlign w:val="center"/>
          </w:tcPr>
          <w:p>
            <w:pPr>
              <w:pStyle w:val="TableContents"/>
              <w:bidi w:val="0"/>
              <w:spacing w:before="0" w:after="283"/>
              <w:jc w:val="left"/>
              <w:rPr>
                <w:sz w:val="4"/>
                <w:szCs w:val="4"/>
              </w:rPr>
            </w:pPr>
            <w:r>
              <w:rPr>
                <w:sz w:val="4"/>
                <w:szCs w:val="4"/>
              </w:rPr>
            </w:r>
          </w:p>
        </w:tc>
      </w:tr>
      <w:tr>
        <w:trPr/>
        <w:tc>
          <w:tcPr>
            <w:tcW w:w="383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Constantine Chinoporos</w:t>
            </w:r>
          </w:p>
          <w:p>
            <w:pPr>
              <w:pStyle w:val="TableContents"/>
              <w:bidi w:val="0"/>
              <w:spacing w:before="0" w:after="20"/>
              <w:jc w:val="left"/>
              <w:rPr>
                <w:rFonts w:ascii="Times New Roman" w:hAnsi="Times New Roman"/>
                <w:sz w:val="20"/>
              </w:rPr>
            </w:pPr>
            <w:r>
              <w:rPr>
                <w:rFonts w:ascii="Times New Roman" w:hAnsi="Times New Roman"/>
                <w:sz w:val="20"/>
              </w:rPr>
              <w:t>CONSTANTINE CHINOPOROS</w:t>
            </w:r>
          </w:p>
        </w:tc>
        <w:tc>
          <w:tcPr>
            <w:tcW w:w="120" w:type="dxa"/>
            <w:tcBorders/>
            <w:vAlign w:val="bottom"/>
          </w:tcPr>
          <w:p>
            <w:pPr>
              <w:pStyle w:val="TableContents"/>
              <w:bidi w:val="0"/>
              <w:spacing w:before="0" w:after="283"/>
              <w:jc w:val="left"/>
              <w:rPr/>
            </w:pPr>
            <w:r>
              <w:rPr/>
              <w:t>  </w:t>
            </w:r>
          </w:p>
        </w:tc>
        <w:tc>
          <w:tcPr>
            <w:tcW w:w="4305"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August 5, 2026</w:t>
            </w:r>
          </w:p>
        </w:tc>
      </w:tr>
      <w:tr>
        <w:trPr>
          <w:trHeight w:val="240" w:hRule="atLeast"/>
        </w:trPr>
        <w:tc>
          <w:tcPr>
            <w:tcW w:w="3837" w:type="dxa"/>
            <w:tcBorders/>
            <w:vAlign w:val="center"/>
          </w:tcPr>
          <w:p>
            <w:pPr>
              <w:pStyle w:val="TableContents"/>
              <w:bidi w:val="0"/>
              <w:spacing w:before="0" w:after="283"/>
              <w:jc w:val="left"/>
              <w:rPr>
                <w:sz w:val="4"/>
                <w:szCs w:val="4"/>
              </w:rPr>
            </w:pPr>
            <w:r>
              <w:rPr>
                <w:sz w:val="4"/>
                <w:szCs w:val="4"/>
              </w:rPr>
            </w:r>
          </w:p>
        </w:tc>
        <w:tc>
          <w:tcPr>
            <w:tcW w:w="4425" w:type="dxa"/>
            <w:gridSpan w:val="2"/>
            <w:tcBorders/>
            <w:vAlign w:val="center"/>
          </w:tcPr>
          <w:p>
            <w:pPr>
              <w:pStyle w:val="TableContents"/>
              <w:bidi w:val="0"/>
              <w:spacing w:before="0" w:after="283"/>
              <w:jc w:val="left"/>
              <w:rPr>
                <w:sz w:val="4"/>
                <w:szCs w:val="4"/>
              </w:rPr>
            </w:pPr>
            <w:r>
              <w:rPr>
                <w:sz w:val="4"/>
                <w:szCs w:val="4"/>
              </w:rPr>
            </w:r>
          </w:p>
        </w:tc>
        <w:tc>
          <w:tcPr>
            <w:tcW w:w="1943" w:type="dxa"/>
            <w:gridSpan w:val="2"/>
            <w:tcBorders/>
            <w:vAlign w:val="center"/>
          </w:tcPr>
          <w:p>
            <w:pPr>
              <w:pStyle w:val="TableContents"/>
              <w:bidi w:val="0"/>
              <w:spacing w:before="0" w:after="283"/>
              <w:jc w:val="left"/>
              <w:rPr>
                <w:sz w:val="4"/>
                <w:szCs w:val="4"/>
              </w:rPr>
            </w:pPr>
            <w:r>
              <w:rPr>
                <w:sz w:val="4"/>
                <w:szCs w:val="4"/>
              </w:rPr>
            </w:r>
          </w:p>
        </w:tc>
      </w:tr>
      <w:tr>
        <w:trPr/>
        <w:tc>
          <w:tcPr>
            <w:tcW w:w="383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John F. McDonald</w:t>
            </w:r>
          </w:p>
          <w:p>
            <w:pPr>
              <w:pStyle w:val="TableContents"/>
              <w:bidi w:val="0"/>
              <w:spacing w:before="0" w:after="20"/>
              <w:jc w:val="left"/>
              <w:rPr>
                <w:rFonts w:ascii="Times New Roman" w:hAnsi="Times New Roman"/>
                <w:sz w:val="20"/>
              </w:rPr>
            </w:pPr>
            <w:r>
              <w:rPr>
                <w:rFonts w:ascii="Times New Roman" w:hAnsi="Times New Roman"/>
                <w:sz w:val="20"/>
              </w:rPr>
              <w:t>JOHN F. MCDONALD</w:t>
            </w:r>
          </w:p>
        </w:tc>
        <w:tc>
          <w:tcPr>
            <w:tcW w:w="120" w:type="dxa"/>
            <w:tcBorders/>
            <w:vAlign w:val="bottom"/>
          </w:tcPr>
          <w:p>
            <w:pPr>
              <w:pStyle w:val="TableContents"/>
              <w:bidi w:val="0"/>
              <w:spacing w:before="0" w:after="283"/>
              <w:jc w:val="left"/>
              <w:rPr/>
            </w:pPr>
            <w:r>
              <w:rPr/>
              <w:t>  </w:t>
            </w:r>
          </w:p>
        </w:tc>
        <w:tc>
          <w:tcPr>
            <w:tcW w:w="4305"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August 5, 2026</w:t>
            </w:r>
          </w:p>
        </w:tc>
      </w:tr>
      <w:tr>
        <w:trPr>
          <w:trHeight w:val="240" w:hRule="atLeast"/>
        </w:trPr>
        <w:tc>
          <w:tcPr>
            <w:tcW w:w="3837" w:type="dxa"/>
            <w:tcBorders/>
            <w:vAlign w:val="center"/>
          </w:tcPr>
          <w:p>
            <w:pPr>
              <w:pStyle w:val="TableContents"/>
              <w:bidi w:val="0"/>
              <w:spacing w:before="0" w:after="283"/>
              <w:jc w:val="left"/>
              <w:rPr>
                <w:sz w:val="4"/>
                <w:szCs w:val="4"/>
              </w:rPr>
            </w:pPr>
            <w:r>
              <w:rPr>
                <w:sz w:val="4"/>
                <w:szCs w:val="4"/>
              </w:rPr>
            </w:r>
          </w:p>
        </w:tc>
        <w:tc>
          <w:tcPr>
            <w:tcW w:w="4425" w:type="dxa"/>
            <w:gridSpan w:val="2"/>
            <w:tcBorders/>
            <w:vAlign w:val="center"/>
          </w:tcPr>
          <w:p>
            <w:pPr>
              <w:pStyle w:val="TableContents"/>
              <w:bidi w:val="0"/>
              <w:spacing w:before="0" w:after="283"/>
              <w:jc w:val="left"/>
              <w:rPr>
                <w:sz w:val="4"/>
                <w:szCs w:val="4"/>
              </w:rPr>
            </w:pPr>
            <w:r>
              <w:rPr>
                <w:sz w:val="4"/>
                <w:szCs w:val="4"/>
              </w:rPr>
            </w:r>
          </w:p>
        </w:tc>
        <w:tc>
          <w:tcPr>
            <w:tcW w:w="1943" w:type="dxa"/>
            <w:gridSpan w:val="2"/>
            <w:tcBorders/>
            <w:vAlign w:val="center"/>
          </w:tcPr>
          <w:p>
            <w:pPr>
              <w:pStyle w:val="TableContents"/>
              <w:bidi w:val="0"/>
              <w:spacing w:before="0" w:after="283"/>
              <w:jc w:val="left"/>
              <w:rPr>
                <w:sz w:val="4"/>
                <w:szCs w:val="4"/>
              </w:rPr>
            </w:pPr>
            <w:r>
              <w:rPr>
                <w:sz w:val="4"/>
                <w:szCs w:val="4"/>
              </w:rPr>
            </w:r>
          </w:p>
        </w:tc>
      </w:tr>
      <w:tr>
        <w:trPr/>
        <w:tc>
          <w:tcPr>
            <w:tcW w:w="383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Susan M. Molineaux</w:t>
            </w:r>
          </w:p>
          <w:p>
            <w:pPr>
              <w:pStyle w:val="TableContents"/>
              <w:bidi w:val="0"/>
              <w:spacing w:before="0" w:after="20"/>
              <w:jc w:val="left"/>
              <w:rPr>
                <w:rFonts w:ascii="Times New Roman" w:hAnsi="Times New Roman"/>
                <w:sz w:val="20"/>
              </w:rPr>
            </w:pPr>
            <w:r>
              <w:rPr>
                <w:rFonts w:ascii="Times New Roman" w:hAnsi="Times New Roman"/>
                <w:sz w:val="20"/>
              </w:rPr>
              <w:t>SUSAN M. MOLINEAUX</w:t>
            </w:r>
          </w:p>
        </w:tc>
        <w:tc>
          <w:tcPr>
            <w:tcW w:w="120" w:type="dxa"/>
            <w:tcBorders/>
            <w:vAlign w:val="bottom"/>
          </w:tcPr>
          <w:p>
            <w:pPr>
              <w:pStyle w:val="TableContents"/>
              <w:bidi w:val="0"/>
              <w:spacing w:before="0" w:after="283"/>
              <w:jc w:val="left"/>
              <w:rPr/>
            </w:pPr>
            <w:r>
              <w:rPr/>
              <w:t>  </w:t>
            </w:r>
          </w:p>
        </w:tc>
        <w:tc>
          <w:tcPr>
            <w:tcW w:w="4305"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August 5, 2026</w:t>
            </w:r>
          </w:p>
        </w:tc>
      </w:tr>
      <w:tr>
        <w:trPr>
          <w:trHeight w:val="240" w:hRule="atLeast"/>
        </w:trPr>
        <w:tc>
          <w:tcPr>
            <w:tcW w:w="3837" w:type="dxa"/>
            <w:tcBorders/>
            <w:vAlign w:val="center"/>
          </w:tcPr>
          <w:p>
            <w:pPr>
              <w:pStyle w:val="TableContents"/>
              <w:bidi w:val="0"/>
              <w:spacing w:before="0" w:after="283"/>
              <w:jc w:val="left"/>
              <w:rPr>
                <w:sz w:val="4"/>
                <w:szCs w:val="4"/>
              </w:rPr>
            </w:pPr>
            <w:r>
              <w:rPr>
                <w:sz w:val="4"/>
                <w:szCs w:val="4"/>
              </w:rPr>
            </w:r>
          </w:p>
        </w:tc>
        <w:tc>
          <w:tcPr>
            <w:tcW w:w="4425" w:type="dxa"/>
            <w:gridSpan w:val="2"/>
            <w:tcBorders/>
            <w:vAlign w:val="center"/>
          </w:tcPr>
          <w:p>
            <w:pPr>
              <w:pStyle w:val="TableContents"/>
              <w:bidi w:val="0"/>
              <w:spacing w:before="0" w:after="283"/>
              <w:jc w:val="left"/>
              <w:rPr>
                <w:sz w:val="4"/>
                <w:szCs w:val="4"/>
              </w:rPr>
            </w:pPr>
            <w:r>
              <w:rPr>
                <w:sz w:val="4"/>
                <w:szCs w:val="4"/>
              </w:rPr>
            </w:r>
          </w:p>
        </w:tc>
        <w:tc>
          <w:tcPr>
            <w:tcW w:w="1943" w:type="dxa"/>
            <w:gridSpan w:val="2"/>
            <w:tcBorders/>
            <w:vAlign w:val="center"/>
          </w:tcPr>
          <w:p>
            <w:pPr>
              <w:pStyle w:val="TableContents"/>
              <w:bidi w:val="0"/>
              <w:spacing w:before="0" w:after="283"/>
              <w:jc w:val="left"/>
              <w:rPr>
                <w:sz w:val="4"/>
                <w:szCs w:val="4"/>
              </w:rPr>
            </w:pPr>
            <w:r>
              <w:rPr>
                <w:sz w:val="4"/>
                <w:szCs w:val="4"/>
              </w:rPr>
            </w:r>
          </w:p>
        </w:tc>
      </w:tr>
      <w:tr>
        <w:trPr/>
        <w:tc>
          <w:tcPr>
            <w:tcW w:w="383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Elizabeth G. O’Farrell</w:t>
            </w:r>
          </w:p>
          <w:p>
            <w:pPr>
              <w:pStyle w:val="TableContents"/>
              <w:bidi w:val="0"/>
              <w:spacing w:before="0" w:after="20"/>
              <w:jc w:val="left"/>
              <w:rPr>
                <w:rFonts w:ascii="Times New Roman" w:hAnsi="Times New Roman"/>
                <w:sz w:val="20"/>
              </w:rPr>
            </w:pPr>
            <w:r>
              <w:rPr>
                <w:rFonts w:ascii="Times New Roman" w:hAnsi="Times New Roman"/>
                <w:sz w:val="20"/>
              </w:rPr>
              <w:t>ELIZABETH G. O’FARRELL</w:t>
            </w:r>
          </w:p>
        </w:tc>
        <w:tc>
          <w:tcPr>
            <w:tcW w:w="120" w:type="dxa"/>
            <w:tcBorders/>
            <w:vAlign w:val="bottom"/>
          </w:tcPr>
          <w:p>
            <w:pPr>
              <w:pStyle w:val="TableContents"/>
              <w:bidi w:val="0"/>
              <w:spacing w:before="0" w:after="283"/>
              <w:jc w:val="left"/>
              <w:rPr/>
            </w:pPr>
            <w:r>
              <w:rPr/>
              <w:t>  </w:t>
            </w:r>
          </w:p>
        </w:tc>
        <w:tc>
          <w:tcPr>
            <w:tcW w:w="4305"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August 5, 2026</w:t>
            </w:r>
          </w:p>
        </w:tc>
      </w:tr>
      <w:tr>
        <w:trPr>
          <w:trHeight w:val="240" w:hRule="atLeast"/>
        </w:trPr>
        <w:tc>
          <w:tcPr>
            <w:tcW w:w="3837" w:type="dxa"/>
            <w:tcBorders/>
            <w:vAlign w:val="center"/>
          </w:tcPr>
          <w:p>
            <w:pPr>
              <w:pStyle w:val="TableContents"/>
              <w:bidi w:val="0"/>
              <w:spacing w:before="0" w:after="283"/>
              <w:jc w:val="left"/>
              <w:rPr>
                <w:sz w:val="4"/>
                <w:szCs w:val="4"/>
              </w:rPr>
            </w:pPr>
            <w:r>
              <w:rPr>
                <w:sz w:val="4"/>
                <w:szCs w:val="4"/>
              </w:rPr>
            </w:r>
          </w:p>
        </w:tc>
        <w:tc>
          <w:tcPr>
            <w:tcW w:w="4425" w:type="dxa"/>
            <w:gridSpan w:val="2"/>
            <w:tcBorders/>
            <w:vAlign w:val="center"/>
          </w:tcPr>
          <w:p>
            <w:pPr>
              <w:pStyle w:val="TableContents"/>
              <w:bidi w:val="0"/>
              <w:spacing w:before="0" w:after="283"/>
              <w:jc w:val="left"/>
              <w:rPr>
                <w:sz w:val="4"/>
                <w:szCs w:val="4"/>
              </w:rPr>
            </w:pPr>
            <w:r>
              <w:rPr>
                <w:sz w:val="4"/>
                <w:szCs w:val="4"/>
              </w:rPr>
            </w:r>
          </w:p>
        </w:tc>
        <w:tc>
          <w:tcPr>
            <w:tcW w:w="1943" w:type="dxa"/>
            <w:gridSpan w:val="2"/>
            <w:tcBorders/>
            <w:vAlign w:val="center"/>
          </w:tcPr>
          <w:p>
            <w:pPr>
              <w:pStyle w:val="TableContents"/>
              <w:bidi w:val="0"/>
              <w:spacing w:before="0" w:after="283"/>
              <w:jc w:val="left"/>
              <w:rPr>
                <w:sz w:val="4"/>
                <w:szCs w:val="4"/>
              </w:rPr>
            </w:pPr>
            <w:r>
              <w:rPr>
                <w:sz w:val="4"/>
                <w:szCs w:val="4"/>
              </w:rPr>
            </w:r>
          </w:p>
        </w:tc>
      </w:tr>
      <w:tr>
        <w:trPr/>
        <w:tc>
          <w:tcPr>
            <w:tcW w:w="383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Robert J. Spiegel</w:t>
            </w:r>
          </w:p>
          <w:p>
            <w:pPr>
              <w:pStyle w:val="TableContents"/>
              <w:bidi w:val="0"/>
              <w:spacing w:before="0" w:after="20"/>
              <w:jc w:val="left"/>
              <w:rPr>
                <w:rFonts w:ascii="Times New Roman" w:hAnsi="Times New Roman"/>
                <w:sz w:val="20"/>
              </w:rPr>
            </w:pPr>
            <w:r>
              <w:rPr>
                <w:rFonts w:ascii="Times New Roman" w:hAnsi="Times New Roman"/>
                <w:sz w:val="20"/>
              </w:rPr>
              <w:t>ROBERT J. SPIEGEL</w:t>
            </w:r>
          </w:p>
        </w:tc>
        <w:tc>
          <w:tcPr>
            <w:tcW w:w="120" w:type="dxa"/>
            <w:tcBorders/>
            <w:vAlign w:val="bottom"/>
          </w:tcPr>
          <w:p>
            <w:pPr>
              <w:pStyle w:val="TableContents"/>
              <w:bidi w:val="0"/>
              <w:spacing w:before="0" w:after="283"/>
              <w:jc w:val="left"/>
              <w:rPr/>
            </w:pPr>
            <w:r>
              <w:rPr/>
              <w:t>  </w:t>
            </w:r>
          </w:p>
        </w:tc>
        <w:tc>
          <w:tcPr>
            <w:tcW w:w="4305"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August 5, 2026</w:t>
            </w:r>
          </w:p>
        </w:tc>
      </w:tr>
    </w:tbl>
    <w:p>
      <w:pPr>
        <w:pStyle w:val="TextBody"/>
        <w:bidi w:val="0"/>
        <w:spacing w:before="0" w:after="0"/>
        <w:jc w:val="right"/>
        <w:rPr>
          <w:rFonts w:ascii="Times New Roman" w:hAnsi="Times New Roman"/>
          <w:b/>
          <w:sz w:val="20"/>
        </w:rPr>
      </w:pPr>
      <w:bookmarkStart w:id="3" w:name="d141680dex51.htm"/>
      <w:bookmarkStart w:id="4" w:name="ksd141680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5811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4"/>
                    <a:stretch>
                      <a:fillRect/>
                    </a:stretch>
                  </pic:blipFill>
                  <pic:spPr bwMode="auto">
                    <a:xfrm>
                      <a:off x="0" y="0"/>
                      <a:ext cx="1581150" cy="6286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Chadwick L. Mills </w:t>
      </w:r>
    </w:p>
    <w:p>
      <w:pPr>
        <w:pStyle w:val="TextBody"/>
        <w:bidi w:val="0"/>
        <w:spacing w:before="0" w:after="0"/>
        <w:jc w:val="left"/>
        <w:rPr>
          <w:rFonts w:ascii="Times New Roman" w:hAnsi="Times New Roman"/>
          <w:sz w:val="20"/>
        </w:rPr>
      </w:pPr>
      <w:r>
        <w:rPr>
          <w:rFonts w:ascii="Times New Roman" w:hAnsi="Times New Roman"/>
          <w:sz w:val="20"/>
        </w:rPr>
        <w:t xml:space="preserve">+1 650 843 5654 </w:t>
      </w:r>
    </w:p>
    <w:p>
      <w:pPr>
        <w:pStyle w:val="TextBody"/>
        <w:bidi w:val="0"/>
        <w:spacing w:before="0" w:after="0"/>
        <w:jc w:val="left"/>
        <w:rPr>
          <w:rFonts w:ascii="Times New Roman" w:hAnsi="Times New Roman"/>
          <w:sz w:val="20"/>
        </w:rPr>
      </w:pPr>
      <w:r>
        <w:rPr>
          <w:rFonts w:ascii="Times New Roman" w:hAnsi="Times New Roman"/>
          <w:sz w:val="20"/>
        </w:rPr>
        <w:t xml:space="preserve">cmills@cooley.com </w:t>
      </w:r>
    </w:p>
    <w:p>
      <w:pPr>
        <w:pStyle w:val="TextBody"/>
        <w:bidi w:val="0"/>
        <w:spacing w:before="240" w:after="0"/>
        <w:jc w:val="left"/>
        <w:rPr>
          <w:rFonts w:ascii="Times New Roman" w:hAnsi="Times New Roman"/>
          <w:sz w:val="20"/>
        </w:rPr>
      </w:pPr>
      <w:r>
        <w:rPr>
          <w:rFonts w:ascii="Times New Roman" w:hAnsi="Times New Roman"/>
          <w:sz w:val="20"/>
        </w:rPr>
        <w:t xml:space="preserve">August 5, 2026 </w:t>
      </w:r>
    </w:p>
    <w:p>
      <w:pPr>
        <w:pStyle w:val="TextBody"/>
        <w:bidi w:val="0"/>
        <w:spacing w:before="240" w:after="0"/>
        <w:jc w:val="left"/>
        <w:rPr>
          <w:rFonts w:ascii="Times New Roman" w:hAnsi="Times New Roman"/>
          <w:sz w:val="20"/>
        </w:rPr>
      </w:pPr>
      <w:r>
        <w:rPr>
          <w:rFonts w:ascii="Times New Roman" w:hAnsi="Times New Roman"/>
          <w:sz w:val="20"/>
        </w:rPr>
        <w:t xml:space="preserve">Geron Corporation </w:t>
      </w:r>
    </w:p>
    <w:p>
      <w:pPr>
        <w:pStyle w:val="TextBody"/>
        <w:bidi w:val="0"/>
        <w:spacing w:before="0" w:after="0"/>
        <w:jc w:val="left"/>
        <w:rPr>
          <w:rFonts w:ascii="Times New Roman" w:hAnsi="Times New Roman"/>
          <w:sz w:val="20"/>
        </w:rPr>
      </w:pPr>
      <w:r>
        <w:rPr>
          <w:rFonts w:ascii="Times New Roman" w:hAnsi="Times New Roman"/>
          <w:sz w:val="20"/>
        </w:rPr>
        <w:t xml:space="preserve">919 East Hillsdale Boulevard, Suite 250 </w:t>
      </w:r>
    </w:p>
    <w:p>
      <w:pPr>
        <w:pStyle w:val="TextBody"/>
        <w:bidi w:val="0"/>
        <w:spacing w:before="0" w:after="0"/>
        <w:jc w:val="left"/>
        <w:rPr>
          <w:rFonts w:ascii="Times New Roman" w:hAnsi="Times New Roman"/>
          <w:sz w:val="20"/>
        </w:rPr>
      </w:pPr>
      <w:r>
        <w:rPr>
          <w:rFonts w:ascii="Times New Roman" w:hAnsi="Times New Roman"/>
          <w:sz w:val="20"/>
        </w:rPr>
        <w:t xml:space="preserve">Foster City, California 94404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Geron Corporation, a Delaware corporation (the “</w:t>
      </w:r>
      <w:r>
        <w:rPr>
          <w:rFonts w:ascii="Times New Roman" w:hAnsi="Times New Roman"/>
          <w:b/>
          <w:i/>
          <w:sz w:val="20"/>
        </w:rPr>
        <w:t>Company</w:t>
      </w:r>
      <w:r>
        <w:rPr>
          <w:rFonts w:ascii="Times New Roman" w:hAnsi="Times New Roman"/>
          <w:sz w:val="20"/>
        </w:rPr>
        <w:t>”) in connection with the filing of a Registration Statement on Form S-8 (the “</w:t>
      </w:r>
      <w:r>
        <w:rPr>
          <w:rFonts w:ascii="Times New Roman" w:hAnsi="Times New Roman"/>
          <w:b/>
          <w:i/>
          <w:sz w:val="20"/>
        </w:rPr>
        <w:t>Registration Statement</w:t>
      </w:r>
      <w:r>
        <w:rPr>
          <w:rFonts w:ascii="Times New Roman" w:hAnsi="Times New Roman"/>
          <w:sz w:val="20"/>
        </w:rPr>
        <w:t>”) with the Securities and Exchange Commission covering the offering of 4,500,000 shares (the “</w:t>
      </w:r>
      <w:r>
        <w:rPr>
          <w:rFonts w:ascii="Times New Roman" w:hAnsi="Times New Roman"/>
          <w:b/>
          <w:i/>
          <w:sz w:val="20"/>
        </w:rPr>
        <w:t>Shares</w:t>
      </w:r>
      <w:r>
        <w:rPr>
          <w:rFonts w:ascii="Times New Roman" w:hAnsi="Times New Roman"/>
          <w:sz w:val="20"/>
        </w:rPr>
        <w:t>”) of the Company’s Common Stock, par value $0.001 per share (the “</w:t>
      </w:r>
      <w:r>
        <w:rPr>
          <w:rFonts w:ascii="Times New Roman" w:hAnsi="Times New Roman"/>
          <w:b/>
          <w:i/>
          <w:sz w:val="20"/>
        </w:rPr>
        <w:t>Common Stock</w:t>
      </w:r>
      <w:r>
        <w:rPr>
          <w:rFonts w:ascii="Times New Roman" w:hAnsi="Times New Roman"/>
          <w:sz w:val="20"/>
        </w:rPr>
        <w:t>”), issuable pursuant to the Company’s 2018 Equity Incentive Plan (the “</w:t>
      </w:r>
      <w:r>
        <w:rPr>
          <w:rFonts w:ascii="Times New Roman" w:hAnsi="Times New Roman"/>
          <w:b/>
          <w:i/>
          <w:sz w:val="20"/>
        </w:rPr>
        <w:t>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(a) the Registration Statement and the related prospectuses, (b) the Plan, (c) the Company’s certificate of incorporation and bylaws, each as currently in effect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thereof, the accuracy, completeness and authenticity of certificates of public officials, and the due authorization, execution and delivery of all documents by all persons other than by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in reliance thereon, we are of the opinion that the Shares, when sold and issued in accordance with the Plan, the Registration Statement and related prospectuses, will be validly issued, fully paid, and nonassessable (except as to Shares issued pursuant to deferred payment arrangements, which will be fully paid and nonassessable when such deferred payments are made in full).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 </w:t>
      </w:r>
    </w:p>
    <w:p>
      <w:pPr>
        <w:pStyle w:val="TextBody"/>
        <w:bidi w:val="0"/>
        <w:spacing w:before="240" w:after="0"/>
        <w:jc w:val="center"/>
        <w:rPr>
          <w:rFonts w:ascii="Times New Roman" w:hAnsi="Times New Roman"/>
          <w:sz w:val="20"/>
        </w:rPr>
      </w:pPr>
      <w:r>
        <w:rPr>
          <w:rFonts w:ascii="Times New Roman" w:hAnsi="Times New Roman"/>
          <w:sz w:val="20"/>
        </w:rPr>
        <w:t xml:space="preserve">Cooley LLP 3 Embarcadero 20th Floor San Francisco, CA 94111-5800 </w:t>
      </w:r>
    </w:p>
    <w:p>
      <w:pPr>
        <w:pStyle w:val="TextBody"/>
        <w:bidi w:val="0"/>
        <w:spacing w:before="0" w:after="0"/>
        <w:jc w:val="center"/>
        <w:rPr>
          <w:rFonts w:ascii="Times New Roman" w:hAnsi="Times New Roman"/>
          <w:sz w:val="20"/>
        </w:rPr>
      </w:pPr>
      <w:r>
        <w:rPr>
          <w:rFonts w:ascii="Times New Roman" w:hAnsi="Times New Roman"/>
          <w:sz w:val="20"/>
        </w:rPr>
        <w:t xml:space="preserve">t: (415) 693-2000 f: (415) 693-2222 cooley.com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581150" cy="628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5"/>
                    <a:stretch>
                      <a:fillRect/>
                    </a:stretch>
                  </pic:blipFill>
                  <pic:spPr bwMode="auto">
                    <a:xfrm>
                      <a:off x="0" y="0"/>
                      <a:ext cx="1581150" cy="62865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w:t>
            </w:r>
            <w:r>
              <w:rPr>
                <w:b/>
                <w:sz w:val="20"/>
              </w:rPr>
              <w:t>OOLEY</w:t>
            </w:r>
            <w:r>
              <w:rPr>
                <w:b/>
              </w:rPr>
              <w:t xml:space="preserve"> LLP</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Chadwick L. Mills</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Chadwick L. Mills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LLP 3 Embarcadero 20th Floor San Francisco, CA 94111-5800 </w:t>
      </w:r>
    </w:p>
    <w:p>
      <w:pPr>
        <w:pStyle w:val="TextBody"/>
        <w:bidi w:val="0"/>
        <w:spacing w:before="0" w:after="0"/>
        <w:jc w:val="center"/>
        <w:rPr>
          <w:rFonts w:ascii="Times New Roman" w:hAnsi="Times New Roman"/>
          <w:sz w:val="20"/>
        </w:rPr>
      </w:pPr>
      <w:r>
        <w:rPr>
          <w:rFonts w:ascii="Times New Roman" w:hAnsi="Times New Roman"/>
          <w:sz w:val="20"/>
        </w:rPr>
        <w:t xml:space="preserve">t: (415) 693-2000 f: (415) 693-2222 cooley.com </w:t>
      </w:r>
    </w:p>
    <w:p>
      <w:pPr>
        <w:pStyle w:val="TextBody"/>
        <w:bidi w:val="0"/>
        <w:spacing w:before="0" w:after="0"/>
        <w:jc w:val="right"/>
        <w:rPr>
          <w:rFonts w:ascii="Times New Roman" w:hAnsi="Times New Roman"/>
          <w:b/>
          <w:sz w:val="20"/>
        </w:rPr>
      </w:pPr>
      <w:bookmarkStart w:id="5" w:name="d141680dex231.htm"/>
      <w:bookmarkStart w:id="6" w:name="ksd141680dex231"/>
      <w:bookmarkEnd w:id="5"/>
      <w:bookmarkEnd w:id="6"/>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2018 Equity Incentive Plan, as amended, of Geron Corporation of our reports dated March 2, 2026, with respect to the consolidated financial statements of Geron Corporation and the effectiveness of internal control over financial reporting of Geron Corporation included in its Annual Report (Form 10-K) for the year ended December 31, 2025,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Boston, MA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Normal"/>
        <w:bidi w:val="0"/>
        <w:spacing w:before="0" w:after="0"/>
        <w:jc w:val="left"/>
        <w:rPr>
          <w:sz w:val="4"/>
          <w:szCs w:val="4"/>
        </w:rPr>
      </w:pPr>
      <w:r>
        <w:rPr>
          <w:sz w:val="4"/>
          <w:szCs w:val="4"/>
        </w:rPr>
      </w:r>
      <w:bookmarkStart w:id="7" w:name="d141680dexfilingfees.htm"/>
      <w:bookmarkStart w:id="8" w:name="ksd141680dexfilingfees"/>
      <w:bookmarkStart w:id="9" w:name="d141680dexfilingfees.htm"/>
      <w:bookmarkStart w:id="10" w:name="ksd141680dexfilingfees"/>
      <w:bookmarkEnd w:id="9"/>
      <w:bookmarkEnd w:id="10"/>
      <w:r>
        <w:br w:type="page"/>
      </w:r>
    </w:p>
    <w:tbl>
      <w:tblPr>
        <w:tblW w:w="3561" w:type="dxa"/>
        <w:jc w:val="left"/>
        <w:tblInd w:w="0" w:type="dxa"/>
        <w:tblLayout w:type="fixed"/>
        <w:tblCellMar>
          <w:top w:w="28" w:type="dxa"/>
          <w:left w:w="28" w:type="dxa"/>
          <w:bottom w:w="28" w:type="dxa"/>
          <w:right w:w="28" w:type="dxa"/>
        </w:tblCellMar>
      </w:tblPr>
      <w:tblGrid>
        <w:gridCol w:w="3407"/>
        <w:gridCol w:w="154"/>
      </w:tblGrid>
      <w:tr>
        <w:trPr/>
        <w:tc>
          <w:tcPr>
            <w:tcW w:w="356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7"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7" w:type="dxa"/>
            <w:tcBorders/>
            <w:vAlign w:val="center"/>
          </w:tcPr>
          <w:p>
            <w:pPr>
              <w:pStyle w:val="TableContents"/>
              <w:bidi w:val="0"/>
              <w:spacing w:before="0" w:after="283"/>
              <w:jc w:val="left"/>
              <w:rPr>
                <w:b/>
              </w:rPr>
            </w:pPr>
            <w:r>
              <w:rPr>
                <w:b/>
              </w:rPr>
              <w:t xml:space="preserve">GERON CORP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7"/>
        <w:gridCol w:w="1155"/>
        <w:gridCol w:w="1293"/>
        <w:gridCol w:w="1202"/>
        <w:gridCol w:w="1216"/>
        <w:gridCol w:w="1585"/>
        <w:gridCol w:w="1127"/>
        <w:gridCol w:w="1428"/>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7"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5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2"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85"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8"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7" w:type="dxa"/>
            <w:tcBorders/>
            <w:shd w:fill="E7E7E2" w:val="clear"/>
            <w:vAlign w:val="center"/>
          </w:tcPr>
          <w:p>
            <w:pPr>
              <w:pStyle w:val="TableContents"/>
              <w:bidi w:val="0"/>
              <w:spacing w:before="0" w:after="283"/>
              <w:jc w:val="left"/>
              <w:rPr/>
            </w:pPr>
            <w:r>
              <w:rPr/>
              <w:t xml:space="preserve">Equity </w:t>
            </w:r>
          </w:p>
        </w:tc>
        <w:tc>
          <w:tcPr>
            <w:tcW w:w="1155" w:type="dxa"/>
            <w:tcBorders/>
            <w:shd w:fill="E7E7E2" w:val="clear"/>
            <w:vAlign w:val="center"/>
          </w:tcPr>
          <w:p>
            <w:pPr>
              <w:pStyle w:val="TableContents"/>
              <w:bidi w:val="0"/>
              <w:spacing w:before="0" w:after="283"/>
              <w:jc w:val="left"/>
              <w:rPr/>
            </w:pPr>
            <w:r>
              <w:rPr/>
              <w:t xml:space="preserve">Common Stock, par value $0.001 per share, reserved for issuance pursuant to the 2018 Equity Incentive Plan </w:t>
            </w:r>
          </w:p>
        </w:tc>
        <w:tc>
          <w:tcPr>
            <w:tcW w:w="1293" w:type="dxa"/>
            <w:tcBorders/>
            <w:shd w:fill="E7E7E2" w:val="clear"/>
            <w:vAlign w:val="center"/>
          </w:tcPr>
          <w:p>
            <w:pPr>
              <w:pStyle w:val="TableContents"/>
              <w:bidi w:val="0"/>
              <w:spacing w:before="0" w:after="283"/>
              <w:jc w:val="center"/>
              <w:rPr/>
            </w:pPr>
            <w:r>
              <w:rPr/>
              <w:t xml:space="preserve">Other </w:t>
            </w:r>
          </w:p>
        </w:tc>
        <w:tc>
          <w:tcPr>
            <w:tcW w:w="1202" w:type="dxa"/>
            <w:tcBorders/>
            <w:shd w:fill="E7E7E2" w:val="clear"/>
            <w:vAlign w:val="center"/>
          </w:tcPr>
          <w:p>
            <w:pPr>
              <w:pStyle w:val="TableContents"/>
              <w:bidi w:val="0"/>
              <w:spacing w:before="0" w:after="283"/>
              <w:jc w:val="right"/>
              <w:rPr/>
            </w:pPr>
            <w:r>
              <w:rPr/>
              <w:t xml:space="preserve">4,500,000 </w:t>
            </w:r>
          </w:p>
        </w:tc>
        <w:tc>
          <w:tcPr>
            <w:tcW w:w="1216" w:type="dxa"/>
            <w:tcBorders/>
            <w:shd w:fill="E7E7E2" w:val="clear"/>
            <w:vAlign w:val="center"/>
          </w:tcPr>
          <w:p>
            <w:pPr>
              <w:pStyle w:val="TableContents"/>
              <w:bidi w:val="0"/>
              <w:spacing w:before="0" w:after="283"/>
              <w:jc w:val="right"/>
              <w:rPr/>
            </w:pPr>
            <w:r>
              <w:rPr/>
              <w:t xml:space="preserve">$ 1.43 </w:t>
            </w:r>
          </w:p>
        </w:tc>
        <w:tc>
          <w:tcPr>
            <w:tcW w:w="1585" w:type="dxa"/>
            <w:tcBorders/>
            <w:shd w:fill="E7E7E2" w:val="clear"/>
            <w:vAlign w:val="center"/>
          </w:tcPr>
          <w:p>
            <w:pPr>
              <w:pStyle w:val="TableContents"/>
              <w:bidi w:val="0"/>
              <w:spacing w:before="0" w:after="283"/>
              <w:jc w:val="right"/>
              <w:rPr/>
            </w:pPr>
            <w:r>
              <w:rPr/>
              <w:t xml:space="preserve">$ 6,435,000.00 </w:t>
            </w:r>
          </w:p>
        </w:tc>
        <w:tc>
          <w:tcPr>
            <w:tcW w:w="1127" w:type="dxa"/>
            <w:tcBorders/>
            <w:shd w:fill="E7E7E2" w:val="clear"/>
            <w:vAlign w:val="center"/>
          </w:tcPr>
          <w:p>
            <w:pPr>
              <w:pStyle w:val="TableContents"/>
              <w:bidi w:val="0"/>
              <w:spacing w:before="0" w:after="283"/>
              <w:jc w:val="right"/>
              <w:rPr/>
            </w:pPr>
            <w:r>
              <w:rPr/>
              <w:t xml:space="preserve">0.0001381 </w:t>
            </w:r>
          </w:p>
        </w:tc>
        <w:tc>
          <w:tcPr>
            <w:tcW w:w="1428" w:type="dxa"/>
            <w:tcBorders/>
            <w:shd w:fill="E7E7E2" w:val="clear"/>
            <w:vAlign w:val="center"/>
          </w:tcPr>
          <w:p>
            <w:pPr>
              <w:pStyle w:val="TableContents"/>
              <w:bidi w:val="0"/>
              <w:spacing w:before="0" w:after="283"/>
              <w:jc w:val="right"/>
              <w:rPr/>
            </w:pPr>
            <w:r>
              <w:rPr/>
              <w:t xml:space="preserve">$ 888.68 </w:t>
            </w:r>
          </w:p>
        </w:tc>
      </w:tr>
      <w:tr>
        <w:trPr/>
        <w:tc>
          <w:tcPr>
            <w:tcW w:w="4849" w:type="dxa"/>
            <w:gridSpan w:val="5"/>
            <w:tcBorders/>
            <w:vAlign w:val="center"/>
          </w:tcPr>
          <w:p>
            <w:pPr>
              <w:pStyle w:val="TableContents"/>
              <w:bidi w:val="0"/>
              <w:spacing w:before="0" w:after="0"/>
              <w:ind w:left="0" w:right="0" w:hanging="0"/>
              <w:jc w:val="right"/>
              <w:rPr/>
            </w:pPr>
            <w:r>
              <w:rPr/>
              <w:t>Total Offering Amounts:</w:t>
            </w:r>
          </w:p>
        </w:tc>
        <w:tc>
          <w:tcPr>
            <w:tcW w:w="1216"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0"/>
              <w:ind w:left="0" w:right="0" w:hanging="0"/>
              <w:jc w:val="right"/>
              <w:rPr/>
            </w:pPr>
            <w:bookmarkStart w:id="11" w:name="MaxAggtOfferingPrice"/>
            <w:bookmarkEnd w:id="11"/>
            <w:r>
              <w:rPr/>
              <w:t xml:space="preserve">$ 6,435,000.00 </w:t>
            </w:r>
          </w:p>
        </w:tc>
        <w:tc>
          <w:tcPr>
            <w:tcW w:w="1127" w:type="dxa"/>
            <w:tcBorders/>
            <w:vAlign w:val="center"/>
          </w:tcPr>
          <w:p>
            <w:pPr>
              <w:pStyle w:val="TableContents"/>
              <w:bidi w:val="0"/>
              <w:spacing w:before="0" w:after="283"/>
              <w:jc w:val="left"/>
              <w:rPr>
                <w:sz w:val="4"/>
                <w:szCs w:val="4"/>
              </w:rPr>
            </w:pPr>
            <w:r>
              <w:rPr>
                <w:sz w:val="4"/>
                <w:szCs w:val="4"/>
              </w:rPr>
            </w:r>
          </w:p>
        </w:tc>
        <w:tc>
          <w:tcPr>
            <w:tcW w:w="1428"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$ 888.68 </w:t>
            </w:r>
          </w:p>
        </w:tc>
      </w:tr>
      <w:tr>
        <w:trPr/>
        <w:tc>
          <w:tcPr>
            <w:tcW w:w="4849" w:type="dxa"/>
            <w:gridSpan w:val="5"/>
            <w:tcBorders/>
            <w:vAlign w:val="center"/>
          </w:tcPr>
          <w:p>
            <w:pPr>
              <w:pStyle w:val="TableContents"/>
              <w:bidi w:val="0"/>
              <w:spacing w:before="0" w:after="0"/>
              <w:ind w:left="0" w:right="0" w:hanging="0"/>
              <w:jc w:val="right"/>
              <w:rPr/>
            </w:pPr>
            <w:r>
              <w:rPr/>
              <w:t xml:space="preserve">Total Fee Offsets: </w:t>
            </w:r>
          </w:p>
        </w:tc>
        <w:tc>
          <w:tcPr>
            <w:tcW w:w="1216"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849" w:type="dxa"/>
            <w:gridSpan w:val="5"/>
            <w:tcBorders/>
            <w:vAlign w:val="center"/>
          </w:tcPr>
          <w:p>
            <w:pPr>
              <w:pStyle w:val="TableContents"/>
              <w:bidi w:val="0"/>
              <w:spacing w:before="0" w:after="0"/>
              <w:ind w:left="0" w:right="0" w:hanging="0"/>
              <w:jc w:val="right"/>
              <w:rPr/>
            </w:pPr>
            <w:r>
              <w:rPr/>
              <w:t xml:space="preserve">Net Fee Due: </w:t>
            </w:r>
          </w:p>
        </w:tc>
        <w:tc>
          <w:tcPr>
            <w:tcW w:w="1216"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0"/>
              <w:ind w:left="0" w:right="0" w:hanging="0"/>
              <w:jc w:val="right"/>
              <w:rPr/>
            </w:pPr>
            <w:bookmarkStart w:id="14" w:name="NetFeeAmt"/>
            <w:bookmarkEnd w:id="14"/>
            <w:r>
              <w:rPr/>
              <w:t xml:space="preserve">$ 888.68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This Registration Statement registers the offer and sale of 4,500,000 shares of common stock of Geron Corporation (the "Registrant"), par value $0.001 (the "Common Stock") issuable under the Registrant's 2018 Equity Incentive Plan, as amended (the "2018 Incentive Plan"). Pursuant to Rule 416 promulgated under the Securities Act of 1933, as amended (the "Securities Act"), this Registration Statement shall also cover any additional shares of Common Stock that may from time to time be offered or issued under the 2018 Incentive Plan by reason of any stock dividend, stock split, recapitalization or other similar transaction effected without receipt of consideration that increases the number of the Registrant's outstanding shares of Common Stock. Estimated solely for the purposes of calculating the registration fee pursuant to Rule 457(c) and Rule 457(h) under the Securities Act. The offering price per share and the aggregate offering price are based on (a) the average of the high and low prices of the Common Stock as reported on the Nasdaq Global Select Market on July 29, 2026.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86744/000120677418001714/geron33139013_s-8.htm" TargetMode="External"/><Relationship Id="rId3" Type="http://schemas.openxmlformats.org/officeDocument/2006/relationships/hyperlink" Target="http://www.sec.gov/Archives/edgar/data/886744/000120677420001914/geron3773081-s8.htm" TargetMode="External"/><Relationship Id="rId4" Type="http://schemas.openxmlformats.org/officeDocument/2006/relationships/hyperlink" Target="http://www.sec.gov/Archives/edgar/data/886744/000120677421002189/geron3943351-s8.htm" TargetMode="External"/><Relationship Id="rId5" Type="http://schemas.openxmlformats.org/officeDocument/2006/relationships/hyperlink" Target="http://www.sec.gov/Archives/edgar/data/886744/000095017022016934/gern-s-8-aug-2022.htm" TargetMode="External"/><Relationship Id="rId6" Type="http://schemas.openxmlformats.org/officeDocument/2006/relationships/hyperlink" Target="http://www.sec.gov/Archives/edgar/data/886744/000095017023038134/gern-s-8-aug-2023.htm" TargetMode="External"/><Relationship Id="rId7" Type="http://schemas.openxmlformats.org/officeDocument/2006/relationships/hyperlink" Target="http://www.sec.gov/Archives/edgar/data/886744/000088674425000035/gern-sx8_june20252018eip20.htm" TargetMode="External"/><Relationship Id="rId8" Type="http://schemas.openxmlformats.org/officeDocument/2006/relationships/hyperlink" Target="http://www.sec.gov/Archives/edgar/data/../../../ix?doc=/Archives/edgar/data/0000886744/000088674426000008/gern-20251231.htm" TargetMode="External"/><Relationship Id="rId9" Type="http://schemas.openxmlformats.org/officeDocument/2006/relationships/hyperlink" Target="http://www.sec.gov/Archives/edgar/data/../../../ix?doc=/Archives/edgar/data/0000886744/000088674426000032/gern-20260331.htm" TargetMode="External"/><Relationship Id="rId10" Type="http://schemas.openxmlformats.org/officeDocument/2006/relationships/hyperlink" Target="http://www.sec.gov/Archives/edgar/data/../../../ix?doc=/Archives/edgar/data/886744/000088674426000037/gern-20260630.htm" TargetMode="External"/><Relationship Id="rId11" Type="http://schemas.openxmlformats.org/officeDocument/2006/relationships/hyperlink" Target="http://www.sec.gov/Archives/edgar/data/../../../ix?doc=/Archives/edgar/data/0000886744/000119312526003388/d88250d8k.htm" TargetMode="External"/><Relationship Id="rId12" Type="http://schemas.openxmlformats.org/officeDocument/2006/relationships/hyperlink" Target="http://www.sec.gov/Archives/edgar/data/../../../ix?doc=/Archives/edgar/data/0000886744/000119312526125151/d192220d8k.htm" TargetMode="External"/><Relationship Id="rId13" Type="http://schemas.openxmlformats.org/officeDocument/2006/relationships/hyperlink" Target="http://www.sec.gov/Archives/edgar/data/../../../ix?doc=/Archives/edgar/data/0000886744/000119312526241842/d76653d8k.htm" TargetMode="External"/><Relationship Id="rId14" Type="http://schemas.openxmlformats.org/officeDocument/2006/relationships/hyperlink" Target="http://www.sec.gov/Archives/edgar/data/../../../ix?doc=/Archives/edgar/data/0000886744/000088674426000024/gern-20260407.htm" TargetMode="External"/><Relationship Id="rId15" Type="http://schemas.openxmlformats.org/officeDocument/2006/relationships/hyperlink" Target="http://www.sec.gov/Archives/edgar/data/886744/0000891618-96-000872.txt" TargetMode="External"/><Relationship Id="rId16" Type="http://schemas.openxmlformats.org/officeDocument/2006/relationships/hyperlink" Target="http://www.sec.gov/Archives/edgar/data/886744/000120677412002137/exhibit3-3.htm" TargetMode="External"/><Relationship Id="rId17" Type="http://schemas.openxmlformats.org/officeDocument/2006/relationships/hyperlink" Target="http://www.sec.gov/Archives/edgar/data/886744/000120677412002137/exhibit3-1.htm" TargetMode="External"/><Relationship Id="rId18" Type="http://schemas.openxmlformats.org/officeDocument/2006/relationships/hyperlink" Target="http://www.sec.gov/Archives/edgar/data/886744/000120677419001851/geron3600721-ex31.htm" TargetMode="External"/><Relationship Id="rId19" Type="http://schemas.openxmlformats.org/officeDocument/2006/relationships/hyperlink" Target="http://www.sec.gov/Archives/edgar/data/886744/000120677421001453/geron3909221-ex31.htm" TargetMode="External"/><Relationship Id="rId20" Type="http://schemas.openxmlformats.org/officeDocument/2006/relationships/hyperlink" Target="http://www.sec.gov/Archives/edgar/data/886744/000095017023026166/gern-ex3_1.htm" TargetMode="External"/><Relationship Id="rId21" Type="http://schemas.openxmlformats.org/officeDocument/2006/relationships/hyperlink" Target="http://www.sec.gov/Archives/edgar/data/886744/000095017023070765/gern-ex3_1.htm" TargetMode="External"/><Relationship Id="rId22" Type="http://schemas.openxmlformats.org/officeDocument/2006/relationships/hyperlink" Target="http://www.sec.gov/Archives/edgar/data/886744/000104746913002849/a2213377zex-4_1.htm" TargetMode="External"/><Relationship Id="rId23" Type="http://schemas.openxmlformats.org/officeDocument/2006/relationships/hyperlink" Target="http://www.sec.gov/Archives/edgar/data/886744/000119312526241842/d76653dex101.htm" TargetMode="External"/><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2436</Words>
  <Characters>13149</Characters>
  <CharactersWithSpaces>15681</CharactersWithSpaces>
  <Paragraphs>443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