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46"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20"/>
          <w:szCs w:val="20"/>
          <w:b w:val="1"/>
          <w:bCs w:val="1"/>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2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02" w:lineRule="exact"/>
        <w:rPr>
          <w:sz w:val="24"/>
          <w:szCs w:val="24"/>
          <w:color w:val="auto"/>
        </w:rPr>
      </w:pPr>
    </w:p>
    <w:p>
      <w:pPr>
        <w:ind w:left="360" w:hanging="334"/>
        <w:spacing w:after="0"/>
        <w:tabs>
          <w:tab w:leader="none" w:pos="360" w:val="left"/>
        </w:tabs>
        <w:numPr>
          <w:ilvl w:val="0"/>
          <w:numId w:val="2"/>
        </w:numPr>
        <w:rPr>
          <w:rFonts w:ascii="Wingdings" w:cs="Wingdings" w:eastAsia="Wingdings" w:hAnsi="Wingdings"/>
          <w:sz w:val="20"/>
          <w:szCs w:val="20"/>
          <w:b w:val="1"/>
          <w:bCs w:val="1"/>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37" w:lineRule="exact"/>
        <w:rPr>
          <w:sz w:val="24"/>
          <w:szCs w:val="24"/>
          <w:color w:val="auto"/>
        </w:rPr>
      </w:pPr>
    </w:p>
    <w:p>
      <w:pPr>
        <w:ind w:left="4200"/>
        <w:spacing w:after="0"/>
        <w:tabs>
          <w:tab w:leader="none" w:pos="6500" w:val="left"/>
          <w:tab w:leader="none" w:pos="698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r>
        <w:rPr>
          <w:sz w:val="20"/>
          <w:szCs w:val="20"/>
          <w:color w:val="auto"/>
        </w:rPr>
        <w:tab/>
      </w:r>
      <w:r>
        <w:rPr>
          <w:rFonts w:ascii="Times New Roman" w:cs="Times New Roman" w:eastAsia="Times New Roman" w:hAnsi="Times New Roman"/>
          <w:sz w:val="14"/>
          <w:szCs w:val="14"/>
          <w:b w:val="1"/>
          <w:bCs w:val="1"/>
          <w:color w:val="auto"/>
        </w:rPr>
        <w:t>.</w:t>
      </w:r>
    </w:p>
    <w:p>
      <w:pPr>
        <w:spacing w:after="0" w:line="6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Commission File Number: 000-20859</w:t>
      </w:r>
    </w:p>
    <w:p>
      <w:pPr>
        <w:spacing w:after="0" w:line="29"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3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GERON CORPORATION</w:t>
      </w:r>
    </w:p>
    <w:p>
      <w:pPr>
        <w:spacing w:after="0" w:line="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91" w:lineRule="exact"/>
        <w:rPr>
          <w:sz w:val="24"/>
          <w:szCs w:val="24"/>
          <w:color w:val="auto"/>
        </w:rPr>
      </w:pPr>
    </w:p>
    <w:tbl>
      <w:tblPr>
        <w:tblLayout w:type="fixed"/>
        <w:tblInd w:w="560" w:type="dxa"/>
        <w:tblCellMar>
          <w:top w:w="0" w:type="dxa"/>
          <w:left w:w="0" w:type="dxa"/>
          <w:bottom w:w="0" w:type="dxa"/>
          <w:right w:w="0" w:type="dxa"/>
        </w:tblCellMar>
      </w:tblPr>
      <w:tr>
        <w:trPr>
          <w:trHeight w:val="190"/>
        </w:trPr>
        <w:tc>
          <w:tcPr>
            <w:tcW w:w="5900" w:type="dxa"/>
            <w:vAlign w:val="bottom"/>
          </w:tcPr>
          <w:p>
            <w:pPr>
              <w:jc w:val="center"/>
              <w:ind w:right="1328"/>
              <w:spacing w:after="0"/>
              <w:rPr>
                <w:sz w:val="20"/>
                <w:szCs w:val="20"/>
                <w:color w:val="auto"/>
              </w:rPr>
            </w:pPr>
            <w:r>
              <w:rPr>
                <w:rFonts w:ascii="Times New Roman" w:cs="Times New Roman" w:eastAsia="Times New Roman" w:hAnsi="Times New Roman"/>
                <w:sz w:val="14"/>
                <w:szCs w:val="14"/>
                <w:b w:val="1"/>
                <w:bCs w:val="1"/>
                <w:color w:val="auto"/>
                <w:w w:val="99"/>
              </w:rPr>
              <w:t>DELAWARE</w:t>
            </w:r>
          </w:p>
        </w:tc>
        <w:tc>
          <w:tcPr>
            <w:tcW w:w="25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75-2287752</w:t>
            </w:r>
          </w:p>
        </w:tc>
      </w:tr>
      <w:tr>
        <w:trPr>
          <w:trHeight w:val="229"/>
        </w:trPr>
        <w:tc>
          <w:tcPr>
            <w:tcW w:w="5900" w:type="dxa"/>
            <w:vAlign w:val="bottom"/>
          </w:tcPr>
          <w:p>
            <w:pPr>
              <w:jc w:val="center"/>
              <w:ind w:right="130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540" w:type="dxa"/>
            <w:vAlign w:val="bottom"/>
          </w:tcPr>
          <w:p>
            <w:pPr>
              <w:jc w:val="center"/>
              <w:ind w:left="134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30"/>
        </w:trPr>
        <w:tc>
          <w:tcPr>
            <w:tcW w:w="5900" w:type="dxa"/>
            <w:vAlign w:val="bottom"/>
          </w:tcPr>
          <w:p>
            <w:pPr>
              <w:jc w:val="center"/>
              <w:ind w:right="130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540" w:type="dxa"/>
            <w:vAlign w:val="bottom"/>
          </w:tcPr>
          <w:p>
            <w:pPr>
              <w:jc w:val="center"/>
              <w:ind w:left="132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4"/>
        </w:trPr>
        <w:tc>
          <w:tcPr>
            <w:tcW w:w="5900" w:type="dxa"/>
            <w:vAlign w:val="bottom"/>
          </w:tcPr>
          <w:p>
            <w:pPr>
              <w:jc w:val="center"/>
              <w:ind w:right="1328"/>
              <w:spacing w:after="0"/>
              <w:rPr>
                <w:sz w:val="20"/>
                <w:szCs w:val="20"/>
                <w:color w:val="auto"/>
              </w:rPr>
            </w:pPr>
            <w:r>
              <w:rPr>
                <w:rFonts w:ascii="Times New Roman" w:cs="Times New Roman" w:eastAsia="Times New Roman" w:hAnsi="Times New Roman"/>
                <w:sz w:val="14"/>
                <w:szCs w:val="14"/>
                <w:b w:val="1"/>
                <w:bCs w:val="1"/>
                <w:color w:val="auto"/>
              </w:rPr>
              <w:t>919 EAST HILLSDALE BOULEVARD, SUITE 250, FOSTER CITY, CA</w:t>
            </w:r>
          </w:p>
        </w:tc>
        <w:tc>
          <w:tcPr>
            <w:tcW w:w="25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94404</w:t>
            </w:r>
          </w:p>
        </w:tc>
      </w:tr>
      <w:tr>
        <w:trPr>
          <w:trHeight w:val="230"/>
        </w:trPr>
        <w:tc>
          <w:tcPr>
            <w:tcW w:w="5900" w:type="dxa"/>
            <w:vAlign w:val="bottom"/>
          </w:tcPr>
          <w:p>
            <w:pPr>
              <w:jc w:val="center"/>
              <w:ind w:right="132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40" w:type="dxa"/>
            <w:vAlign w:val="bottom"/>
          </w:tcPr>
          <w:p>
            <w:pPr>
              <w:jc w:val="center"/>
              <w:ind w:left="132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(650) 473-7700</w:t>
      </w:r>
    </w:p>
    <w:p>
      <w:pPr>
        <w:spacing w:after="0" w:line="1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5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3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69" w:lineRule="exact"/>
        <w:rPr>
          <w:sz w:val="24"/>
          <w:szCs w:val="24"/>
          <w:color w:val="auto"/>
        </w:rPr>
      </w:pPr>
    </w:p>
    <w:p>
      <w:pPr>
        <w:ind w:left="1300"/>
        <w:spacing w:after="0"/>
        <w:tabs>
          <w:tab w:leader="none" w:pos="5000" w:val="left"/>
          <w:tab w:leader="none" w:pos="7980" w:val="left"/>
        </w:tabs>
        <w:rPr>
          <w:sz w:val="20"/>
          <w:szCs w:val="20"/>
          <w:color w:val="auto"/>
        </w:rPr>
      </w:pPr>
      <w:r>
        <w:rPr>
          <w:rFonts w:ascii="Times New Roman" w:cs="Times New Roman" w:eastAsia="Times New Roman" w:hAnsi="Times New Roman"/>
          <w:sz w:val="14"/>
          <w:szCs w:val="14"/>
          <w:b w:val="1"/>
          <w:bCs w:val="1"/>
          <w:color w:val="auto"/>
        </w:rPr>
        <w:t>Title of each class:</w:t>
      </w:r>
      <w:r>
        <w:rPr>
          <w:sz w:val="20"/>
          <w:szCs w:val="20"/>
          <w:color w:val="auto"/>
        </w:rPr>
        <w:tab/>
      </w:r>
      <w:r>
        <w:rPr>
          <w:rFonts w:ascii="Times New Roman" w:cs="Times New Roman" w:eastAsia="Times New Roman" w:hAnsi="Times New Roman"/>
          <w:sz w:val="14"/>
          <w:szCs w:val="14"/>
          <w:b w:val="1"/>
          <w:bCs w:val="1"/>
          <w:color w:val="auto"/>
        </w:rPr>
        <w:t>Trading symbol(s):</w:t>
      </w:r>
      <w:r>
        <w:rPr>
          <w:sz w:val="20"/>
          <w:szCs w:val="20"/>
          <w:color w:val="auto"/>
        </w:rPr>
        <w:tab/>
      </w:r>
      <w:r>
        <w:rPr>
          <w:rFonts w:ascii="Times New Roman" w:cs="Times New Roman" w:eastAsia="Times New Roman" w:hAnsi="Times New Roman"/>
          <w:sz w:val="14"/>
          <w:szCs w:val="14"/>
          <w:b w:val="1"/>
          <w:bCs w:val="1"/>
          <w:color w:val="auto"/>
        </w:rPr>
        <w:t>Name of each exchange on which registered:</w:t>
      </w:r>
    </w:p>
    <w:p>
      <w:pPr>
        <w:spacing w:after="0" w:line="79" w:lineRule="exact"/>
        <w:rPr>
          <w:sz w:val="24"/>
          <w:szCs w:val="24"/>
          <w:color w:val="auto"/>
        </w:rPr>
      </w:pPr>
    </w:p>
    <w:p>
      <w:pPr>
        <w:ind w:left="780"/>
        <w:spacing w:after="0"/>
        <w:tabs>
          <w:tab w:leader="none" w:pos="5380" w:val="left"/>
          <w:tab w:leader="none" w:pos="8320" w:val="left"/>
        </w:tabs>
        <w:rPr>
          <w:sz w:val="20"/>
          <w:szCs w:val="20"/>
          <w:color w:val="auto"/>
        </w:rPr>
      </w:pPr>
      <w:r>
        <w:rPr>
          <w:rFonts w:ascii="Times New Roman" w:cs="Times New Roman" w:eastAsia="Times New Roman" w:hAnsi="Times New Roman"/>
          <w:sz w:val="16"/>
          <w:szCs w:val="16"/>
          <w:color w:val="auto"/>
        </w:rPr>
        <w:t>Common Stock, $0.001 par value</w:t>
      </w:r>
      <w:r>
        <w:rPr>
          <w:sz w:val="20"/>
          <w:szCs w:val="20"/>
          <w:color w:val="auto"/>
        </w:rPr>
        <w:tab/>
      </w:r>
      <w:r>
        <w:rPr>
          <w:rFonts w:ascii="Times New Roman" w:cs="Times New Roman" w:eastAsia="Times New Roman" w:hAnsi="Times New Roman"/>
          <w:sz w:val="16"/>
          <w:szCs w:val="16"/>
          <w:color w:val="auto"/>
        </w:rPr>
        <w:t>GERN</w:t>
      </w:r>
      <w:r>
        <w:rPr>
          <w:sz w:val="20"/>
          <w:szCs w:val="20"/>
          <w:color w:val="auto"/>
        </w:rPr>
        <w:tab/>
      </w:r>
      <w:r>
        <w:rPr>
          <w:rFonts w:ascii="Times New Roman" w:cs="Times New Roman" w:eastAsia="Times New Roman" w:hAnsi="Times New Roman"/>
          <w:sz w:val="16"/>
          <w:szCs w:val="16"/>
          <w:color w:val="auto"/>
        </w:rPr>
        <w:t>The Nasdaq Stock Market LLC</w:t>
      </w:r>
    </w:p>
    <w:p>
      <w:pPr>
        <w:spacing w:after="0" w:line="181" w:lineRule="exact"/>
        <w:rPr>
          <w:sz w:val="24"/>
          <w:szCs w:val="24"/>
          <w:color w:val="auto"/>
        </w:rPr>
      </w:pPr>
    </w:p>
    <w:p>
      <w:pPr>
        <w:jc w:val="both"/>
        <w:ind w:right="120" w:firstLine="1166"/>
        <w:spacing w:after="0" w:line="263"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highlight w:val="black"/>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highlight w:val="black"/>
        </w:rPr>
        <w:t>o</w:t>
      </w:r>
    </w:p>
    <w:p>
      <w:pPr>
        <w:spacing w:after="0" w:line="30" w:lineRule="exact"/>
        <w:rPr>
          <w:sz w:val="24"/>
          <w:szCs w:val="24"/>
          <w:color w:val="auto"/>
        </w:rPr>
      </w:pPr>
    </w:p>
    <w:p>
      <w:pPr>
        <w:ind w:right="220" w:firstLine="1166"/>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tabs>
          <w:tab w:leader="none" w:pos="560" w:val="left"/>
          <w:tab w:leader="none" w:pos="1240" w:val="left"/>
        </w:tabs>
        <w:rPr>
          <w:sz w:val="20"/>
          <w:szCs w:val="20"/>
          <w:color w:val="auto"/>
        </w:rPr>
      </w:pPr>
      <w:r>
        <w:rPr>
          <w:rFonts w:ascii="Times New Roman" w:cs="Times New Roman" w:eastAsia="Times New Roman" w:hAnsi="Times New Roman"/>
          <w:sz w:val="16"/>
          <w:szCs w:val="16"/>
          <w:color w:val="auto"/>
        </w:rPr>
        <w:t>files).</w:t>
        <w:tab/>
        <w:t xml:space="preserve">Yes </w:t>
      </w:r>
      <w:r>
        <w:rPr>
          <w:rFonts w:ascii="Wingdings" w:cs="Wingdings" w:eastAsia="Wingdings" w:hAnsi="Wingdings"/>
          <w:sz w:val="16"/>
          <w:szCs w:val="16"/>
          <w:b w:val="1"/>
          <w:bCs w:val="1"/>
          <w:color w:val="auto"/>
          <w:highlight w:val="black"/>
        </w:rPr>
        <w:t>x</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highlight w:val="black"/>
        </w:rPr>
        <w:t>o</w:t>
      </w:r>
    </w:p>
    <w:p>
      <w:pPr>
        <w:spacing w:after="0" w:line="51" w:lineRule="exact"/>
        <w:rPr>
          <w:sz w:val="24"/>
          <w:szCs w:val="24"/>
          <w:color w:val="auto"/>
        </w:rPr>
      </w:pPr>
    </w:p>
    <w:p>
      <w:pPr>
        <w:ind w:firstLine="1166"/>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1360" w:type="dxa"/>
        <w:tblCellMar>
          <w:top w:w="0" w:type="dxa"/>
          <w:left w:w="0" w:type="dxa"/>
          <w:bottom w:w="0" w:type="dxa"/>
          <w:right w:w="0" w:type="dxa"/>
        </w:tblCellMar>
      </w:tblPr>
      <w:tr>
        <w:trPr>
          <w:trHeight w:val="210"/>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520" w:type="dxa"/>
            <w:vAlign w:val="bottom"/>
          </w:tcPr>
          <w:p>
            <w:pPr>
              <w:ind w:left="540"/>
              <w:spacing w:after="0"/>
              <w:rPr>
                <w:sz w:val="20"/>
                <w:szCs w:val="20"/>
                <w:color w:val="auto"/>
              </w:rPr>
            </w:pPr>
            <w:r>
              <w:rPr>
                <w:rFonts w:ascii="Wingdings" w:cs="Wingdings" w:eastAsia="Wingdings" w:hAnsi="Wingdings"/>
                <w:sz w:val="16"/>
                <w:szCs w:val="16"/>
                <w:b w:val="1"/>
                <w:bCs w:val="1"/>
                <w:color w:val="auto"/>
                <w:highlight w:val="black"/>
              </w:rPr>
              <w:t>x</w:t>
            </w:r>
          </w:p>
        </w:tc>
        <w:tc>
          <w:tcPr>
            <w:tcW w:w="29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rPr>
                <w:sz w:val="20"/>
                <w:szCs w:val="20"/>
                <w:color w:val="auto"/>
              </w:rPr>
            </w:pPr>
            <w:r>
              <w:rPr>
                <w:rFonts w:ascii="Wingdings" w:cs="Wingdings" w:eastAsia="Wingdings" w:hAnsi="Wingdings"/>
                <w:sz w:val="16"/>
                <w:szCs w:val="16"/>
                <w:b w:val="1"/>
                <w:bCs w:val="1"/>
                <w:color w:val="auto"/>
                <w:highlight w:val="black"/>
                <w:w w:val="83"/>
              </w:rPr>
              <w:t>o</w:t>
            </w:r>
          </w:p>
        </w:tc>
      </w:tr>
      <w:tr>
        <w:trPr>
          <w:trHeight w:val="351"/>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520" w:type="dxa"/>
            <w:vAlign w:val="bottom"/>
          </w:tcPr>
          <w:p>
            <w:pPr>
              <w:ind w:left="560"/>
              <w:spacing w:after="0"/>
              <w:rPr>
                <w:sz w:val="20"/>
                <w:szCs w:val="20"/>
                <w:color w:val="auto"/>
              </w:rPr>
            </w:pPr>
            <w:r>
              <w:rPr>
                <w:rFonts w:ascii="Wingdings" w:cs="Wingdings" w:eastAsia="Wingdings" w:hAnsi="Wingdings"/>
                <w:sz w:val="16"/>
                <w:szCs w:val="16"/>
                <w:b w:val="1"/>
                <w:bCs w:val="1"/>
                <w:color w:val="auto"/>
                <w:highlight w:val="black"/>
              </w:rPr>
              <w:t>o</w:t>
            </w:r>
          </w:p>
        </w:tc>
        <w:tc>
          <w:tcPr>
            <w:tcW w:w="29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rPr>
                <w:sz w:val="20"/>
                <w:szCs w:val="20"/>
                <w:color w:val="auto"/>
              </w:rPr>
            </w:pPr>
            <w:r>
              <w:rPr>
                <w:rFonts w:ascii="Wingdings" w:cs="Wingdings" w:eastAsia="Wingdings" w:hAnsi="Wingdings"/>
                <w:sz w:val="16"/>
                <w:szCs w:val="16"/>
                <w:b w:val="1"/>
                <w:bCs w:val="1"/>
                <w:color w:val="auto"/>
                <w:highlight w:val="black"/>
                <w:w w:val="83"/>
              </w:rPr>
              <w:t>o</w:t>
            </w:r>
          </w:p>
        </w:tc>
      </w:tr>
      <w:tr>
        <w:trPr>
          <w:trHeight w:val="351"/>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520" w:type="dxa"/>
            <w:vAlign w:val="bottom"/>
          </w:tcPr>
          <w:p>
            <w:pPr>
              <w:ind w:left="560"/>
              <w:spacing w:after="0"/>
              <w:rPr>
                <w:sz w:val="20"/>
                <w:szCs w:val="20"/>
                <w:color w:val="auto"/>
              </w:rPr>
            </w:pPr>
            <w:r>
              <w:rPr>
                <w:rFonts w:ascii="Wingdings" w:cs="Wingdings" w:eastAsia="Wingdings" w:hAnsi="Wingdings"/>
                <w:sz w:val="16"/>
                <w:szCs w:val="16"/>
                <w:b w:val="1"/>
                <w:bCs w:val="1"/>
                <w:color w:val="auto"/>
                <w:highlight w:val="black"/>
              </w:rPr>
              <w:t>o</w:t>
            </w:r>
          </w:p>
        </w:tc>
        <w:tc>
          <w:tcPr>
            <w:tcW w:w="29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154" w:lineRule="exact"/>
        <w:rPr>
          <w:sz w:val="24"/>
          <w:szCs w:val="24"/>
          <w:color w:val="auto"/>
        </w:rPr>
      </w:pPr>
    </w:p>
    <w:p>
      <w:pPr>
        <w:ind w:right="40" w:firstLine="1166"/>
        <w:spacing w:after="0" w:line="26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highlight w:val="black"/>
        </w:rPr>
        <w:t>o</w:t>
      </w:r>
    </w:p>
    <w:p>
      <w:pPr>
        <w:spacing w:after="0" w:line="1" w:lineRule="exact"/>
        <w:rPr>
          <w:sz w:val="24"/>
          <w:szCs w:val="24"/>
          <w:color w:val="auto"/>
        </w:rPr>
      </w:pPr>
    </w:p>
    <w:p>
      <w:pPr>
        <w:ind w:left="1180" w:right="1340"/>
        <w:spacing w:after="0" w:line="37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highlight w:val="black"/>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highlight w:val="black"/>
        </w:rPr>
        <w:t>x</w:t>
      </w:r>
      <w:r>
        <w:rPr>
          <w:rFonts w:ascii="Times New Roman" w:cs="Times New Roman" w:eastAsia="Times New Roman" w:hAnsi="Times New Roman"/>
          <w:sz w:val="16"/>
          <w:szCs w:val="16"/>
          <w:color w:val="auto"/>
        </w:rPr>
        <w:t xml:space="preserve"> Indicate the number of shares outstanding of each of the issuer’s classes of common stock, as of the latest practicable date.</w:t>
      </w:r>
    </w:p>
    <w:p>
      <w:pPr>
        <w:ind w:left="2600"/>
        <w:spacing w:after="0"/>
        <w:tabs>
          <w:tab w:leader="none" w:pos="7560" w:val="left"/>
        </w:tabs>
        <w:rPr>
          <w:sz w:val="20"/>
          <w:szCs w:val="20"/>
          <w:color w:val="auto"/>
        </w:rPr>
      </w:pPr>
      <w:r>
        <w:rPr>
          <w:rFonts w:ascii="Times New Roman" w:cs="Times New Roman" w:eastAsia="Times New Roman" w:hAnsi="Times New Roman"/>
          <w:sz w:val="14"/>
          <w:szCs w:val="14"/>
          <w:b w:val="1"/>
          <w:bCs w:val="1"/>
          <w:color w:val="auto"/>
        </w:rPr>
        <w:t>Class:</w:t>
      </w:r>
      <w:r>
        <w:rPr>
          <w:sz w:val="20"/>
          <w:szCs w:val="20"/>
          <w:color w:val="auto"/>
        </w:rPr>
        <w:tab/>
      </w:r>
      <w:r>
        <w:rPr>
          <w:rFonts w:ascii="Times New Roman" w:cs="Times New Roman" w:eastAsia="Times New Roman" w:hAnsi="Times New Roman"/>
          <w:sz w:val="14"/>
          <w:szCs w:val="14"/>
          <w:b w:val="1"/>
          <w:bCs w:val="1"/>
          <w:color w:val="auto"/>
        </w:rPr>
        <w:t>Outstanding at May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p>
      <w:pPr>
        <w:spacing w:after="0" w:line="93" w:lineRule="exact"/>
        <w:rPr>
          <w:sz w:val="24"/>
          <w:szCs w:val="24"/>
          <w:color w:val="auto"/>
        </w:rPr>
      </w:pPr>
    </w:p>
    <w:p>
      <w:pPr>
        <w:ind w:left="1700"/>
        <w:spacing w:after="0"/>
        <w:tabs>
          <w:tab w:leader="none" w:pos="7800" w:val="left"/>
        </w:tabs>
        <w:rPr>
          <w:sz w:val="20"/>
          <w:szCs w:val="20"/>
          <w:color w:val="auto"/>
        </w:rPr>
      </w:pPr>
      <w:r>
        <w:rPr>
          <w:rFonts w:ascii="Times New Roman" w:cs="Times New Roman" w:eastAsia="Times New Roman" w:hAnsi="Times New Roman"/>
          <w:sz w:val="16"/>
          <w:szCs w:val="16"/>
          <w:color w:val="auto"/>
        </w:rPr>
        <w:t>Common Stock, $0.001 par value</w:t>
      </w:r>
      <w:r>
        <w:rPr>
          <w:sz w:val="20"/>
          <w:szCs w:val="20"/>
          <w:color w:val="auto"/>
        </w:rPr>
        <w:tab/>
      </w:r>
      <w:r>
        <w:rPr>
          <w:rFonts w:ascii="Times New Roman" w:cs="Times New Roman" w:eastAsia="Times New Roman" w:hAnsi="Times New Roman"/>
          <w:sz w:val="16"/>
          <w:szCs w:val="16"/>
          <w:color w:val="auto"/>
        </w:rPr>
        <w:t>641,520,974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822325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60" w:type="dxa"/>
            <w:vAlign w:val="bottom"/>
            <w:gridSpan w:val="9"/>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3180" w:type="dxa"/>
            <w:vAlign w:val="bottom"/>
            <w:gridSpan w:val="3"/>
            <w:vMerge w:val="restart"/>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1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60" w:type="dxa"/>
            <w:vAlign w:val="bottom"/>
            <w:tcBorders>
              <w:bottom w:val="single" w:sz="8" w:color="auto"/>
            </w:tcBorders>
            <w:gridSpan w:val="9"/>
            <w:vMerge w:val="continue"/>
          </w:tcPr>
          <w:p>
            <w:pPr>
              <w:spacing w:after="0"/>
              <w:rPr>
                <w:sz w:val="15"/>
                <w:szCs w:val="15"/>
                <w:color w:val="auto"/>
              </w:rPr>
            </w:pPr>
          </w:p>
        </w:tc>
        <w:tc>
          <w:tcPr>
            <w:tcW w:w="3180" w:type="dxa"/>
            <w:vAlign w:val="bottom"/>
            <w:gridSpan w:val="3"/>
            <w:vMerge w:val="continue"/>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680" w:type="dxa"/>
            <w:vAlign w:val="bottom"/>
            <w:gridSpan w:val="13"/>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1220" w:type="dxa"/>
            <w:vAlign w:val="bottom"/>
          </w:tcPr>
          <w:p>
            <w:pPr>
              <w:spacing w:after="0"/>
              <w:rPr>
                <w:sz w:val="21"/>
                <w:szCs w:val="21"/>
                <w:color w:val="auto"/>
              </w:rPr>
            </w:pPr>
          </w:p>
        </w:tc>
        <w:tc>
          <w:tcPr>
            <w:tcW w:w="29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6160" w:type="dxa"/>
            <w:vAlign w:val="bottom"/>
            <w:gridSpan w:val="11"/>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1220" w:type="dxa"/>
            <w:vAlign w:val="bottom"/>
          </w:tcPr>
          <w:p>
            <w:pPr>
              <w:spacing w:after="0"/>
              <w:rPr>
                <w:sz w:val="21"/>
                <w:szCs w:val="21"/>
                <w:color w:val="auto"/>
              </w:rPr>
            </w:pPr>
          </w:p>
        </w:tc>
        <w:tc>
          <w:tcPr>
            <w:tcW w:w="36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5440" w:type="dxa"/>
            <w:vAlign w:val="bottom"/>
            <w:gridSpan w:val="9"/>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1220" w:type="dxa"/>
            <w:vAlign w:val="bottom"/>
          </w:tcPr>
          <w:p>
            <w:pPr>
              <w:spacing w:after="0"/>
              <w:rPr>
                <w:sz w:val="21"/>
                <w:szCs w:val="21"/>
                <w:color w:val="auto"/>
              </w:rPr>
            </w:pPr>
          </w:p>
        </w:tc>
        <w:tc>
          <w:tcPr>
            <w:tcW w:w="9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tcPr>
          <w:p>
            <w:pPr>
              <w:spacing w:after="0"/>
              <w:rPr>
                <w:sz w:val="21"/>
                <w:szCs w:val="21"/>
                <w:color w:val="auto"/>
              </w:rPr>
            </w:pPr>
          </w:p>
        </w:tc>
        <w:tc>
          <w:tcPr>
            <w:tcW w:w="44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4700" w:type="dxa"/>
            <w:vAlign w:val="bottom"/>
            <w:gridSpan w:val="5"/>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1220" w:type="dxa"/>
            <w:vAlign w:val="bottom"/>
          </w:tcPr>
          <w:p>
            <w:pPr>
              <w:spacing w:after="0"/>
              <w:rPr>
                <w:sz w:val="21"/>
                <w:szCs w:val="21"/>
                <w:color w:val="auto"/>
              </w:rPr>
            </w:pPr>
          </w:p>
        </w:tc>
        <w:tc>
          <w:tcPr>
            <w:tcW w:w="37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5380" w:type="dxa"/>
            <w:vAlign w:val="bottom"/>
            <w:gridSpan w:val="8"/>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0"/>
        </w:trPr>
        <w:tc>
          <w:tcPr>
            <w:tcW w:w="1220" w:type="dxa"/>
            <w:vAlign w:val="bottom"/>
          </w:tcPr>
          <w:p>
            <w:pPr>
              <w:spacing w:after="0"/>
              <w:rPr>
                <w:sz w:val="21"/>
                <w:szCs w:val="21"/>
                <w:color w:val="auto"/>
              </w:rPr>
            </w:pPr>
          </w:p>
        </w:tc>
        <w:tc>
          <w:tcPr>
            <w:tcW w:w="40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100" w:type="dxa"/>
            <w:vAlign w:val="bottom"/>
            <w:gridSpan w:val="7"/>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0"/>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40" w:type="dxa"/>
            <w:vAlign w:val="bottom"/>
            <w:gridSpan w:val="2"/>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50"/>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20" w:type="dxa"/>
            <w:vAlign w:val="bottom"/>
            <w:gridSpan w:val="6"/>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50"/>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466"/>
        </w:trPr>
        <w:tc>
          <w:tcPr>
            <w:tcW w:w="12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00" w:type="dxa"/>
            <w:vAlign w:val="bottom"/>
            <w:gridSpan w:val="10"/>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1660" w:type="dxa"/>
            <w:vAlign w:val="bottom"/>
            <w:gridSpan w:val="6"/>
          </w:tcPr>
          <w:p>
            <w:pPr>
              <w:spacing w:after="0"/>
              <w:rPr>
                <w:sz w:val="24"/>
                <w:szCs w:val="24"/>
                <w:color w:val="auto"/>
              </w:rPr>
            </w:pPr>
          </w:p>
        </w:tc>
        <w:tc>
          <w:tcPr>
            <w:tcW w:w="2760" w:type="dxa"/>
            <w:vAlign w:val="bottom"/>
            <w:tcBorders>
              <w:top w:val="single" w:sz="8" w:color="auto"/>
            </w:tcBorders>
            <w:gridSpan w:val="6"/>
          </w:tcPr>
          <w:p>
            <w:pPr>
              <w:spacing w:after="0"/>
              <w:rPr>
                <w:sz w:val="24"/>
                <w:szCs w:val="24"/>
                <w:color w:val="auto"/>
              </w:rPr>
            </w:pPr>
          </w:p>
        </w:tc>
        <w:tc>
          <w:tcPr>
            <w:tcW w:w="3340" w:type="dxa"/>
            <w:vAlign w:val="bottom"/>
            <w:gridSpan w:val="4"/>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50"/>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840" w:type="dxa"/>
            <w:vAlign w:val="bottom"/>
            <w:gridSpan w:val="1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1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Use of Proceeds, and Issuer Purchases of Equity Securities</w:t>
            </w:r>
          </w:p>
        </w:tc>
        <w:tc>
          <w:tcPr>
            <w:tcW w:w="194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0" w:type="dxa"/>
            <w:vAlign w:val="bottom"/>
          </w:tcPr>
          <w:p>
            <w:pPr>
              <w:spacing w:after="0"/>
              <w:rPr>
                <w:sz w:val="1"/>
                <w:szCs w:val="1"/>
                <w:color w:val="auto"/>
              </w:rPr>
            </w:pPr>
          </w:p>
        </w:tc>
      </w:tr>
      <w:tr>
        <w:trPr>
          <w:trHeight w:val="250"/>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0" w:type="dxa"/>
            <w:vAlign w:val="bottom"/>
          </w:tcPr>
          <w:p>
            <w:pPr>
              <w:spacing w:after="0"/>
              <w:rPr>
                <w:sz w:val="1"/>
                <w:szCs w:val="1"/>
                <w:color w:val="auto"/>
              </w:rPr>
            </w:pPr>
          </w:p>
        </w:tc>
      </w:tr>
      <w:tr>
        <w:trPr>
          <w:trHeight w:val="250"/>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780" w:type="dxa"/>
            <w:vAlign w:val="bottom"/>
            <w:gridSpan w:val="14"/>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0" w:type="dxa"/>
            <w:vAlign w:val="bottom"/>
          </w:tcPr>
          <w:p>
            <w:pPr>
              <w:spacing w:after="0"/>
              <w:rPr>
                <w:sz w:val="1"/>
                <w:szCs w:val="1"/>
                <w:color w:val="auto"/>
              </w:rPr>
            </w:pPr>
          </w:p>
        </w:tc>
      </w:tr>
      <w:tr>
        <w:trPr>
          <w:trHeight w:val="250"/>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1"/>
                <w:szCs w:val="21"/>
                <w:color w:val="auto"/>
              </w:rPr>
            </w:pPr>
          </w:p>
        </w:tc>
        <w:tc>
          <w:tcPr>
            <w:tcW w:w="7340" w:type="dxa"/>
            <w:vAlign w:val="bottom"/>
            <w:gridSpan w:val="15"/>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0" w:type="dxa"/>
            <w:vAlign w:val="bottom"/>
          </w:tcPr>
          <w:p>
            <w:pPr>
              <w:spacing w:after="0"/>
              <w:rPr>
                <w:sz w:val="1"/>
                <w:szCs w:val="1"/>
                <w:color w:val="auto"/>
              </w:rPr>
            </w:pPr>
          </w:p>
        </w:tc>
      </w:tr>
      <w:tr>
        <w:trPr>
          <w:trHeight w:val="250"/>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00" w:type="dxa"/>
            <w:vAlign w:val="bottom"/>
            <w:gridSpan w:val="1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tcPr>
          <w:p>
            <w:pPr>
              <w:spacing w:after="0"/>
              <w:rPr>
                <w:sz w:val="21"/>
                <w:szCs w:val="21"/>
                <w:color w:val="auto"/>
              </w:rPr>
            </w:pPr>
          </w:p>
        </w:tc>
        <w:tc>
          <w:tcPr>
            <w:tcW w:w="9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3"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8"/>
          <w:szCs w:val="18"/>
          <w:color w:val="auto"/>
        </w:rPr>
        <w:t>RYTELO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other trademarks or service marks of Geron Corporation appearing in this Quarterly Report on Form 10-Q (this "Report") are the property of Geron Corporation. This Report contains additional trade names, trademarks and service marks of others, which are the property of their respective owners. We do not intend our use or display of other companies’ trade names, trademarks or service marks to imply a relationship with, or endorsement or sponsorship of us by, these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ind w:left="4100"/>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23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3"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7"/>
          <w:szCs w:val="17"/>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5"/>
                <w:szCs w:val="15"/>
                <w:color w:val="auto"/>
              </w:rPr>
            </w:pPr>
          </w:p>
        </w:tc>
        <w:tc>
          <w:tcPr>
            <w:tcW w:w="14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7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96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0"/>
        </w:trPr>
        <w:tc>
          <w:tcPr>
            <w:tcW w:w="7960" w:type="dxa"/>
            <w:vAlign w:val="bottom"/>
            <w:tcBorders>
              <w:bottom w:val="single" w:sz="8" w:color="CFF0FC"/>
            </w:tcBorders>
            <w:shd w:val="clear" w:color="auto" w:fill="CFF0FC"/>
          </w:tcPr>
          <w:p>
            <w:pPr>
              <w:ind w:left="36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shd w:val="clear" w:color="auto" w:fill="CFF0FC"/>
          </w:tcPr>
          <w:p>
            <w:pPr>
              <w:spacing w:after="0"/>
              <w:rPr>
                <w:sz w:val="20"/>
                <w:szCs w:val="20"/>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68,895</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77,560</w:t>
            </w: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243,506</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280,359</w:t>
            </w: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36,987</w:t>
            </w: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and other receivables</w:t>
            </w:r>
          </w:p>
        </w:tc>
        <w:tc>
          <w:tcPr>
            <w:tcW w:w="26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2,239</w:t>
            </w: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133,287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116,636</w:t>
            </w: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9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60" w:type="dxa"/>
            <w:vAlign w:val="bottom"/>
            <w:tcBorders>
              <w:bottom w:val="single" w:sz="8" w:color="CFF0FC"/>
            </w:tcBorders>
            <w:shd w:val="clear" w:color="auto" w:fill="CFF0FC"/>
          </w:tcPr>
          <w:p>
            <w:pPr>
              <w:spacing w:after="0"/>
              <w:rPr>
                <w:sz w:val="23"/>
                <w:szCs w:val="23"/>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6,864</w:t>
            </w:r>
          </w:p>
        </w:tc>
        <w:tc>
          <w:tcPr>
            <w:tcW w:w="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4,610</w:t>
            </w:r>
          </w:p>
        </w:tc>
      </w:tr>
      <w:tr>
        <w:trPr>
          <w:trHeight w:val="237"/>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498,531</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520,271</w:t>
            </w: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marketable securities</w:t>
            </w:r>
          </w:p>
        </w:tc>
        <w:tc>
          <w:tcPr>
            <w:tcW w:w="26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26,686</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41,289</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leases, right-of-use assets</w:t>
            </w:r>
          </w:p>
        </w:tc>
        <w:tc>
          <w:tcPr>
            <w:tcW w:w="26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5,945</w:t>
            </w:r>
          </w:p>
        </w:tc>
      </w:tr>
      <w:tr>
        <w:trPr>
          <w:trHeight w:val="27"/>
        </w:trPr>
        <w:tc>
          <w:tcPr>
            <w:tcW w:w="796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9"/>
        </w:trPr>
        <w:tc>
          <w:tcPr>
            <w:tcW w:w="79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534,120</w:t>
            </w: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570,540</w:t>
            </w:r>
          </w:p>
        </w:tc>
      </w:tr>
      <w:tr>
        <w:trPr>
          <w:trHeight w:val="20"/>
        </w:trPr>
        <w:tc>
          <w:tcPr>
            <w:tcW w:w="79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0"/>
        </w:trPr>
        <w:tc>
          <w:tcPr>
            <w:tcW w:w="7960" w:type="dxa"/>
            <w:vAlign w:val="bottom"/>
            <w:tcBorders>
              <w:bottom w:val="single" w:sz="8" w:color="CFF0FC"/>
            </w:tcBorders>
            <w:shd w:val="clear" w:color="auto" w:fill="CFF0FC"/>
          </w:tcPr>
          <w:p>
            <w:pPr>
              <w:ind w:left="20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spacing w:after="0"/>
              <w:rPr>
                <w:sz w:val="21"/>
                <w:szCs w:val="2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12,720</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11,257</w:t>
            </w: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30,497</w:t>
            </w: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 related to sale of future royalties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17,448</w:t>
            </w: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9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Borders>
              <w:bottom w:val="single" w:sz="8" w:color="CFF0FC"/>
            </w:tcBorders>
            <w:shd w:val="clear" w:color="auto" w:fill="CFF0FC"/>
          </w:tcPr>
          <w:p>
            <w:pPr>
              <w:spacing w:after="0"/>
              <w:rPr>
                <w:sz w:val="23"/>
                <w:szCs w:val="23"/>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30,965</w:t>
            </w:r>
          </w:p>
        </w:tc>
        <w:tc>
          <w:tcPr>
            <w:tcW w:w="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51,340</w:t>
            </w:r>
          </w:p>
        </w:tc>
      </w:tr>
      <w:tr>
        <w:trPr>
          <w:trHeight w:val="237"/>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73,570</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111,542</w:t>
            </w: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6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liability related to sale of future royalties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110,383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112,134</w:t>
            </w: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debt</w:t>
            </w:r>
          </w:p>
        </w:tc>
        <w:tc>
          <w:tcPr>
            <w:tcW w:w="260" w:type="dxa"/>
            <w:vAlign w:val="bottom"/>
            <w:tcBorders>
              <w:bottom w:val="single" w:sz="8" w:color="CFF0FC"/>
            </w:tcBorders>
            <w:shd w:val="clear" w:color="auto" w:fill="CFF0FC"/>
          </w:tcPr>
          <w:p>
            <w:pPr>
              <w:spacing w:after="0"/>
              <w:rPr>
                <w:sz w:val="23"/>
                <w:szCs w:val="23"/>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119,833</w:t>
            </w:r>
          </w:p>
        </w:tc>
        <w:tc>
          <w:tcPr>
            <w:tcW w:w="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119,547</w:t>
            </w:r>
          </w:p>
        </w:tc>
      </w:tr>
      <w:tr>
        <w:trPr>
          <w:trHeight w:val="237"/>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305,012</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344,668</w:t>
            </w: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spacing w:after="0"/>
              <w:rPr>
                <w:sz w:val="21"/>
                <w:szCs w:val="2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Preferred stock, $0.001 par value</w:t>
            </w:r>
          </w:p>
        </w:tc>
        <w:tc>
          <w:tcPr>
            <w:tcW w:w="2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2,088,141</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2,080,804</w:t>
            </w: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(1,859,483)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(1,855,841)</w:t>
            </w: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9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60" w:type="dxa"/>
            <w:vAlign w:val="bottom"/>
            <w:tcBorders>
              <w:bottom w:val="single" w:sz="8" w:color="CFF0FC"/>
            </w:tcBorders>
            <w:shd w:val="clear" w:color="auto" w:fill="CFF0FC"/>
          </w:tcPr>
          <w:p>
            <w:pPr>
              <w:spacing w:after="0"/>
              <w:rPr>
                <w:sz w:val="23"/>
                <w:szCs w:val="23"/>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36"/>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229,108</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225,872</w:t>
            </w:r>
          </w:p>
        </w:tc>
      </w:tr>
      <w:tr>
        <w:trPr>
          <w:trHeight w:val="27"/>
        </w:trPr>
        <w:tc>
          <w:tcPr>
            <w:tcW w:w="796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9"/>
        </w:trPr>
        <w:tc>
          <w:tcPr>
            <w:tcW w:w="79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534,120</w:t>
            </w: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570,540</w:t>
            </w:r>
          </w:p>
        </w:tc>
      </w:tr>
      <w:tr>
        <w:trPr>
          <w:trHeight w:val="20"/>
        </w:trPr>
        <w:tc>
          <w:tcPr>
            <w:tcW w:w="79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143" w:right="3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33020</wp:posOffset>
            </wp:positionV>
            <wp:extent cx="33007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17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900" w:type="dxa"/>
            <w:vAlign w:val="bottom"/>
          </w:tcPr>
          <w:p>
            <w:pPr>
              <w:jc w:val="right"/>
              <w:ind w:right="10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r>
      <w:tr>
        <w:trPr>
          <w:trHeight w:val="37"/>
        </w:trPr>
        <w:tc>
          <w:tcPr>
            <w:tcW w:w="5940" w:type="dxa"/>
            <w:vAlign w:val="bottom"/>
            <w:tcBorders>
              <w:bottom w:val="single" w:sz="8" w:color="CFF0FC"/>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r>
      <w:tr>
        <w:trPr>
          <w:trHeight w:val="230"/>
        </w:trPr>
        <w:tc>
          <w:tcPr>
            <w:tcW w:w="5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72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19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43"/>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 net</w:t>
            </w:r>
          </w:p>
        </w:tc>
        <w:tc>
          <w:tcPr>
            <w:tcW w:w="1720" w:type="dxa"/>
            <w:vAlign w:val="bottom"/>
          </w:tcPr>
          <w:p>
            <w:pPr>
              <w:jc w:val="right"/>
              <w:ind w:right="151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51,771</w:t>
            </w:r>
          </w:p>
        </w:tc>
        <w:tc>
          <w:tcPr>
            <w:tcW w:w="100" w:type="dxa"/>
            <w:vAlign w:val="bottom"/>
          </w:tcPr>
          <w:p>
            <w:pPr>
              <w:spacing w:after="0"/>
              <w:rPr>
                <w:sz w:val="21"/>
                <w:szCs w:val="21"/>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39,436</w:t>
            </w:r>
          </w:p>
        </w:tc>
        <w:tc>
          <w:tcPr>
            <w:tcW w:w="10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5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Royalties</w:t>
            </w:r>
          </w:p>
        </w:tc>
        <w:tc>
          <w:tcPr>
            <w:tcW w:w="172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CFF0FC"/>
            </w:tcBorders>
            <w:shd w:val="clear" w:color="auto" w:fill="CFF0FC"/>
          </w:tcPr>
          <w:p>
            <w:pPr>
              <w:spacing w:after="0"/>
              <w:rPr>
                <w:sz w:val="23"/>
                <w:szCs w:val="23"/>
                <w:color w:val="auto"/>
              </w:rPr>
            </w:pPr>
          </w:p>
        </w:tc>
        <w:tc>
          <w:tcPr>
            <w:tcW w:w="1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3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720" w:type="dxa"/>
            <w:vAlign w:val="bottom"/>
            <w:tcBorders>
              <w:top w:val="single" w:sz="8" w:color="auto"/>
            </w:tcBorders>
          </w:tcPr>
          <w:p>
            <w:pPr>
              <w:jc w:val="right"/>
              <w:ind w:right="151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51,837</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39,603</w:t>
            </w:r>
          </w:p>
        </w:tc>
        <w:tc>
          <w:tcPr>
            <w:tcW w:w="100" w:type="dxa"/>
            <w:vAlign w:val="bottom"/>
          </w:tcPr>
          <w:p>
            <w:pPr>
              <w:spacing w:after="0"/>
              <w:rPr>
                <w:sz w:val="20"/>
                <w:szCs w:val="20"/>
                <w:color w:val="auto"/>
              </w:rPr>
            </w:pPr>
          </w:p>
        </w:tc>
      </w:tr>
      <w:tr>
        <w:trPr>
          <w:trHeight w:val="27"/>
        </w:trPr>
        <w:tc>
          <w:tcPr>
            <w:tcW w:w="5940" w:type="dxa"/>
            <w:vAlign w:val="bottom"/>
            <w:tcBorders>
              <w:bottom w:val="single" w:sz="8" w:color="CFF0F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30"/>
        </w:trPr>
        <w:tc>
          <w:tcPr>
            <w:tcW w:w="5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172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19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43"/>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17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14,956</w:t>
            </w:r>
          </w:p>
        </w:tc>
        <w:tc>
          <w:tcPr>
            <w:tcW w:w="1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1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7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40,023</w:t>
            </w:r>
          </w:p>
        </w:tc>
        <w:tc>
          <w:tcPr>
            <w:tcW w:w="10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5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Restructuring charges</w:t>
            </w:r>
          </w:p>
        </w:tc>
        <w:tc>
          <w:tcPr>
            <w:tcW w:w="172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CFF0FC"/>
            </w:tcBorders>
            <w:shd w:val="clear" w:color="auto" w:fill="CFF0FC"/>
          </w:tcPr>
          <w:p>
            <w:pPr>
              <w:spacing w:after="0"/>
              <w:rPr>
                <w:sz w:val="23"/>
                <w:szCs w:val="23"/>
                <w:color w:val="auto"/>
              </w:rPr>
            </w:pPr>
          </w:p>
        </w:tc>
        <w:tc>
          <w:tcPr>
            <w:tcW w:w="20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1720" w:type="dxa"/>
            <w:vAlign w:val="bottom"/>
            <w:tcBorders>
              <w:top w:val="single" w:sz="8" w:color="auto"/>
            </w:tcBorders>
          </w:tcPr>
          <w:p>
            <w:pPr>
              <w:jc w:val="right"/>
              <w:ind w:right="151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51,679</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56,307</w:t>
            </w:r>
          </w:p>
        </w:tc>
        <w:tc>
          <w:tcPr>
            <w:tcW w:w="100" w:type="dxa"/>
            <w:vAlign w:val="bottom"/>
          </w:tcPr>
          <w:p>
            <w:pPr>
              <w:spacing w:after="0"/>
              <w:rPr>
                <w:sz w:val="20"/>
                <w:szCs w:val="20"/>
                <w:color w:val="auto"/>
              </w:rPr>
            </w:pPr>
          </w:p>
        </w:tc>
      </w:tr>
      <w:tr>
        <w:trPr>
          <w:trHeight w:val="27"/>
        </w:trPr>
        <w:tc>
          <w:tcPr>
            <w:tcW w:w="5940" w:type="dxa"/>
            <w:vAlign w:val="bottom"/>
            <w:tcBorders>
              <w:bottom w:val="single" w:sz="8" w:color="CFF0F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43"/>
        </w:trPr>
        <w:tc>
          <w:tcPr>
            <w:tcW w:w="5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7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1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7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10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7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1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1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7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r>
      <w:tr>
        <w:trPr>
          <w:trHeight w:val="27"/>
        </w:trPr>
        <w:tc>
          <w:tcPr>
            <w:tcW w:w="5940" w:type="dxa"/>
            <w:vAlign w:val="bottom"/>
            <w:tcBorders>
              <w:bottom w:val="single" w:sz="8" w:color="CFF0F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89"/>
        </w:trPr>
        <w:tc>
          <w:tcPr>
            <w:tcW w:w="5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720" w:type="dxa"/>
            <w:vAlign w:val="bottom"/>
            <w:tcBorders>
              <w:bottom w:val="single" w:sz="8" w:color="CFF0FC"/>
            </w:tcBorders>
            <w:shd w:val="clear" w:color="auto" w:fill="CFF0FC"/>
          </w:tcPr>
          <w:p>
            <w:pPr>
              <w:jc w:val="right"/>
              <w:ind w:right="151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0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0"/>
        </w:trPr>
        <w:tc>
          <w:tcPr>
            <w:tcW w:w="5940" w:type="dxa"/>
            <w:vAlign w:val="bottom"/>
            <w:tcBorders>
              <w:top w:val="single" w:sz="8" w:color="CFF0FC"/>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7"/>
        </w:trPr>
        <w:tc>
          <w:tcPr>
            <w:tcW w:w="5940" w:type="dxa"/>
            <w:vAlign w:val="bottom"/>
            <w:tcBorders>
              <w:bottom w:val="single" w:sz="8" w:color="CFF0FC"/>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89"/>
        </w:trPr>
        <w:tc>
          <w:tcPr>
            <w:tcW w:w="5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720" w:type="dxa"/>
            <w:vAlign w:val="bottom"/>
            <w:tcBorders>
              <w:bottom w:val="single" w:sz="8" w:color="CFF0FC"/>
            </w:tcBorders>
            <w:shd w:val="clear" w:color="auto" w:fill="CFF0FC"/>
          </w:tcPr>
          <w:p>
            <w:pPr>
              <w:jc w:val="right"/>
              <w:ind w:right="151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0"/>
        </w:trPr>
        <w:tc>
          <w:tcPr>
            <w:tcW w:w="5940" w:type="dxa"/>
            <w:vAlign w:val="bottom"/>
            <w:tcBorders>
              <w:top w:val="single" w:sz="8" w:color="CFF0FC"/>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7"/>
        </w:trPr>
        <w:tc>
          <w:tcPr>
            <w:tcW w:w="5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95"/>
        </w:trPr>
        <w:tc>
          <w:tcPr>
            <w:tcW w:w="5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calculating basic and diluted net loss per share</w:t>
            </w:r>
          </w:p>
        </w:tc>
        <w:tc>
          <w:tcPr>
            <w:tcW w:w="17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669,375</w:t>
            </w:r>
          </w:p>
        </w:tc>
        <w:tc>
          <w:tcPr>
            <w:tcW w:w="10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spacing w:after="0"/>
              <w:rPr>
                <w:sz w:val="24"/>
                <w:szCs w:val="24"/>
                <w:color w:val="auto"/>
              </w:rPr>
            </w:pPr>
          </w:p>
        </w:tc>
        <w:tc>
          <w:tcPr>
            <w:tcW w:w="1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665,905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0"/>
        </w:trPr>
        <w:tc>
          <w:tcPr>
            <w:tcW w:w="5940" w:type="dxa"/>
            <w:vAlign w:val="bottom"/>
            <w:tcBorders>
              <w:top w:val="single" w:sz="8" w:color="CFF0FC"/>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33020</wp:posOffset>
            </wp:positionV>
            <wp:extent cx="31375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16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20" w:type="dxa"/>
            <w:vAlign w:val="bottom"/>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r>
      <w:tr>
        <w:trPr>
          <w:trHeight w:val="37"/>
        </w:trPr>
        <w:tc>
          <w:tcPr>
            <w:tcW w:w="6200" w:type="dxa"/>
            <w:vAlign w:val="bottom"/>
            <w:tcBorders>
              <w:bottom w:val="single" w:sz="8" w:color="CFF0FC"/>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r>
      <w:tr>
        <w:trPr>
          <w:trHeight w:val="244"/>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20" w:type="dxa"/>
            <w:vAlign w:val="bottom"/>
            <w:tcBorders>
              <w:bottom w:val="single" w:sz="8" w:color="CFF0FC"/>
            </w:tcBorders>
            <w:shd w:val="clear" w:color="auto" w:fill="CFF0FC"/>
          </w:tcPr>
          <w:p>
            <w:pPr>
              <w:jc w:val="right"/>
              <w:ind w:right="14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8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gain (loss) on marketable securities</w:t>
            </w:r>
          </w:p>
        </w:tc>
        <w:tc>
          <w:tcPr>
            <w:tcW w:w="16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2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FF0FC"/>
            </w:tcBorders>
            <w:shd w:val="clear" w:color="auto" w:fill="CFF0FC"/>
          </w:tcPr>
          <w:p>
            <w:pPr>
              <w:spacing w:after="0"/>
              <w:rPr>
                <w:sz w:val="23"/>
                <w:szCs w:val="23"/>
                <w:color w:val="auto"/>
              </w:rPr>
            </w:pPr>
          </w:p>
        </w:tc>
        <w:tc>
          <w:tcPr>
            <w:tcW w:w="600" w:type="dxa"/>
            <w:vAlign w:val="bottom"/>
            <w:tcBorders>
              <w:bottom w:val="single" w:sz="8" w:color="CFF0FC"/>
            </w:tcBorders>
            <w:shd w:val="clear" w:color="auto" w:fill="CFF0FC"/>
          </w:tcPr>
          <w:p>
            <w:pPr>
              <w:spacing w:after="0"/>
              <w:rPr>
                <w:sz w:val="23"/>
                <w:szCs w:val="23"/>
                <w:color w:val="auto"/>
              </w:rPr>
            </w:pPr>
          </w:p>
        </w:tc>
        <w:tc>
          <w:tcPr>
            <w:tcW w:w="1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37"/>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620" w:type="dxa"/>
            <w:vAlign w:val="bottom"/>
            <w:tcBorders>
              <w:top w:val="single" w:sz="8" w:color="auto"/>
            </w:tcBorders>
          </w:tcPr>
          <w:p>
            <w:pPr>
              <w:jc w:val="right"/>
              <w:ind w:right="14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8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(19,792)</w:t>
            </w:r>
          </w:p>
        </w:tc>
        <w:tc>
          <w:tcPr>
            <w:tcW w:w="100" w:type="dxa"/>
            <w:vAlign w:val="bottom"/>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62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80" w:type="dxa"/>
            <w:vAlign w:val="bottom"/>
          </w:tcPr>
          <w:p>
            <w:pPr>
              <w:spacing w:after="0"/>
              <w:rPr>
                <w:sz w:val="15"/>
                <w:szCs w:val="15"/>
                <w:color w:val="auto"/>
              </w:rPr>
            </w:pPr>
          </w:p>
        </w:tc>
        <w:tc>
          <w:tcPr>
            <w:tcW w:w="212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5"/>
                <w:szCs w:val="15"/>
                <w:color w:val="auto"/>
              </w:rPr>
            </w:pPr>
          </w:p>
        </w:tc>
        <w:tc>
          <w:tcPr>
            <w:tcW w:w="80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4780" w:type="dxa"/>
            <w:vAlign w:val="bottom"/>
          </w:tcPr>
          <w:p>
            <w:pPr>
              <w:spacing w:after="0"/>
              <w:rPr>
                <w:sz w:val="9"/>
                <w:szCs w:val="9"/>
                <w:color w:val="auto"/>
              </w:rPr>
            </w:pPr>
          </w:p>
        </w:tc>
        <w:tc>
          <w:tcPr>
            <w:tcW w:w="212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continue"/>
          </w:tcPr>
          <w:p>
            <w:pPr>
              <w:spacing w:after="0"/>
              <w:rPr>
                <w:sz w:val="9"/>
                <w:szCs w:val="9"/>
                <w:color w:val="auto"/>
              </w:rPr>
            </w:pPr>
          </w:p>
        </w:tc>
        <w:tc>
          <w:tcPr>
            <w:tcW w:w="1180" w:type="dxa"/>
            <w:vAlign w:val="bottom"/>
            <w:gridSpan w:val="3"/>
            <w:vMerge w:val="restart"/>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2"/>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4780" w:type="dxa"/>
            <w:vAlign w:val="bottom"/>
          </w:tcPr>
          <w:p>
            <w:pPr>
              <w:spacing w:after="0"/>
              <w:rPr>
                <w:sz w:val="17"/>
                <w:szCs w:val="17"/>
                <w:color w:val="auto"/>
              </w:rPr>
            </w:pP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7"/>
                <w:szCs w:val="17"/>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
        </w:trPr>
        <w:tc>
          <w:tcPr>
            <w:tcW w:w="478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639,856</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2,080,804</w:t>
            </w: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(1,855,841)</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225,872</w:t>
            </w:r>
          </w:p>
        </w:tc>
        <w:tc>
          <w:tcPr>
            <w:tcW w:w="0" w:type="dxa"/>
            <w:vAlign w:val="bottom"/>
          </w:tcPr>
          <w:p>
            <w:pPr>
              <w:spacing w:after="0"/>
              <w:rPr>
                <w:sz w:val="1"/>
                <w:szCs w:val="1"/>
                <w:color w:val="auto"/>
              </w:rPr>
            </w:pPr>
          </w:p>
        </w:tc>
      </w:tr>
      <w:tr>
        <w:trPr>
          <w:trHeight w:val="193"/>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(3,642)</w:t>
            </w: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gridSpan w:val="2"/>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0" w:type="dxa"/>
            <w:vAlign w:val="bottom"/>
          </w:tcPr>
          <w:p>
            <w:pPr>
              <w:spacing w:after="0"/>
              <w:rPr>
                <w:sz w:val="1"/>
                <w:szCs w:val="1"/>
                <w:color w:val="auto"/>
              </w:rPr>
            </w:pPr>
          </w:p>
        </w:tc>
      </w:tr>
      <w:tr>
        <w:trPr>
          <w:trHeight w:val="193"/>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common stock in connection with exercise of warrants</w:t>
            </w:r>
          </w:p>
        </w:tc>
        <w:tc>
          <w:tcPr>
            <w:tcW w:w="10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gridSpan w:val="2"/>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0" w:type="dxa"/>
            <w:vAlign w:val="bottom"/>
          </w:tcPr>
          <w:p>
            <w:pPr>
              <w:spacing w:after="0"/>
              <w:rPr>
                <w:sz w:val="1"/>
                <w:szCs w:val="1"/>
                <w:color w:val="auto"/>
              </w:rPr>
            </w:pPr>
          </w:p>
        </w:tc>
      </w:tr>
      <w:tr>
        <w:trPr>
          <w:trHeight w:val="193"/>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Issuances of common stock under equity plans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 related to issuances of common stock and options for</w:t>
            </w:r>
          </w:p>
        </w:tc>
        <w:tc>
          <w:tcPr>
            <w:tcW w:w="9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gridSpan w:val="2"/>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3"/>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for equity-based awards to employees and directors</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4,900</w:t>
            </w:r>
          </w:p>
        </w:tc>
        <w:tc>
          <w:tcPr>
            <w:tcW w:w="0" w:type="dxa"/>
            <w:vAlign w:val="bottom"/>
          </w:tcPr>
          <w:p>
            <w:pPr>
              <w:spacing w:after="0"/>
              <w:rPr>
                <w:sz w:val="1"/>
                <w:szCs w:val="1"/>
                <w:color w:val="auto"/>
              </w:rPr>
            </w:pPr>
          </w:p>
        </w:tc>
      </w:tr>
      <w:tr>
        <w:trPr>
          <w:trHeight w:val="37"/>
        </w:trPr>
        <w:tc>
          <w:tcPr>
            <w:tcW w:w="4780" w:type="dxa"/>
            <w:vAlign w:val="bottom"/>
            <w:tcBorders>
              <w:bottom w:val="single" w:sz="8" w:color="CFF0FC"/>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4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March 31, 2026</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641,033</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2,088,141</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(1,859,483)</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229,108</w:t>
            </w: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3"/>
        </w:trPr>
        <w:tc>
          <w:tcPr>
            <w:tcW w:w="4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780" w:type="dxa"/>
            <w:vAlign w:val="bottom"/>
          </w:tcPr>
          <w:p>
            <w:pPr>
              <w:spacing w:after="0"/>
              <w:rPr>
                <w:sz w:val="15"/>
                <w:szCs w:val="15"/>
                <w:color w:val="auto"/>
              </w:rPr>
            </w:pPr>
          </w:p>
        </w:tc>
        <w:tc>
          <w:tcPr>
            <w:tcW w:w="212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5"/>
                <w:szCs w:val="15"/>
                <w:color w:val="auto"/>
              </w:rPr>
            </w:pPr>
          </w:p>
        </w:tc>
        <w:tc>
          <w:tcPr>
            <w:tcW w:w="80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3"/>
        </w:trPr>
        <w:tc>
          <w:tcPr>
            <w:tcW w:w="4780" w:type="dxa"/>
            <w:vAlign w:val="bottom"/>
          </w:tcPr>
          <w:p>
            <w:pPr>
              <w:spacing w:after="0"/>
              <w:rPr>
                <w:sz w:val="10"/>
                <w:szCs w:val="10"/>
                <w:color w:val="auto"/>
              </w:rPr>
            </w:pPr>
          </w:p>
        </w:tc>
        <w:tc>
          <w:tcPr>
            <w:tcW w:w="212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80" w:type="dxa"/>
            <w:vAlign w:val="bottom"/>
            <w:gridSpan w:val="3"/>
            <w:vMerge w:val="restart"/>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2"/>
            <w:vMerge w:val="restart"/>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6"/>
                <w:szCs w:val="16"/>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37"/>
        </w:trPr>
        <w:tc>
          <w:tcPr>
            <w:tcW w:w="4780" w:type="dxa"/>
            <w:vAlign w:val="bottom"/>
            <w:tcBorders>
              <w:bottom w:val="single" w:sz="8" w:color="CFF0FC"/>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606,388</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2,051,794</w:t>
            </w: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(1,772,341)</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280,320</w:t>
            </w:r>
          </w:p>
        </w:tc>
        <w:tc>
          <w:tcPr>
            <w:tcW w:w="0" w:type="dxa"/>
            <w:vAlign w:val="bottom"/>
          </w:tcPr>
          <w:p>
            <w:pPr>
              <w:spacing w:after="0"/>
              <w:rPr>
                <w:sz w:val="1"/>
                <w:szCs w:val="1"/>
                <w:color w:val="auto"/>
              </w:rPr>
            </w:pPr>
          </w:p>
        </w:tc>
      </w:tr>
      <w:tr>
        <w:trPr>
          <w:trHeight w:val="193"/>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(19,835)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(19,835)</w:t>
            </w: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gridSpan w:val="2"/>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93"/>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Exercise of pre-funded warrant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30,370</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gridSpan w:val="2"/>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3"/>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equity plans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 related to issuances of common stock and options for</w:t>
            </w:r>
          </w:p>
        </w:tc>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gridSpan w:val="2"/>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3"/>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for equity-based awards to employees and directors</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7,408</w:t>
            </w:r>
          </w:p>
        </w:tc>
        <w:tc>
          <w:tcPr>
            <w:tcW w:w="0" w:type="dxa"/>
            <w:vAlign w:val="bottom"/>
          </w:tcPr>
          <w:p>
            <w:pPr>
              <w:spacing w:after="0"/>
              <w:rPr>
                <w:sz w:val="1"/>
                <w:szCs w:val="1"/>
                <w:color w:val="auto"/>
              </w:rPr>
            </w:pPr>
          </w:p>
        </w:tc>
      </w:tr>
      <w:tr>
        <w:trPr>
          <w:trHeight w:val="37"/>
        </w:trPr>
        <w:tc>
          <w:tcPr>
            <w:tcW w:w="4780" w:type="dxa"/>
            <w:vAlign w:val="bottom"/>
            <w:tcBorders>
              <w:bottom w:val="single" w:sz="8" w:color="CFF0FC"/>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4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636,918</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2,059,473</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(1,792,176)</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268,238</w:t>
            </w: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33020</wp:posOffset>
            </wp:positionV>
            <wp:extent cx="19456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(19,835)</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Accretion and amortization on investments, net</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w:t>
            </w: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debt issuance costs/debt discounts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Non-cash interest expense on liabilities for sales of future royalties</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4,801</w:t>
            </w: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 in allowance for doubtful accounts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(17,508)</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4,649</w:t>
            </w: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(13,204)</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(20,374)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on royalty agreement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37"/>
        </w:trPr>
        <w:tc>
          <w:tcPr>
            <w:tcW w:w="8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(62,906)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(47,979)</w:t>
            </w: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(46,477)</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Proceeds from maturities and sales of marketable securities</w:t>
            </w: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86,633</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98,884</w:t>
            </w:r>
          </w:p>
        </w:tc>
      </w:tr>
      <w:tr>
        <w:trPr>
          <w:trHeight w:val="237"/>
        </w:trPr>
        <w:tc>
          <w:tcPr>
            <w:tcW w:w="8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51,856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52,439</w:t>
            </w: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Proceeds from issuances of common stock from equity plans</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warrants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FF0FC"/>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effect of exchange rates on cash, cash equivalents and restricted cash</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81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(8,661)</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80,876</w:t>
            </w:r>
          </w:p>
        </w:tc>
      </w:tr>
      <w:tr>
        <w:trPr>
          <w:trHeight w:val="27"/>
        </w:trPr>
        <w:tc>
          <w:tcPr>
            <w:tcW w:w="81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70,779</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85,610</w:t>
            </w:r>
          </w:p>
        </w:tc>
      </w:tr>
      <w:tr>
        <w:trPr>
          <w:trHeight w:val="20"/>
        </w:trPr>
        <w:tc>
          <w:tcPr>
            <w:tcW w:w="8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360" w:firstLine="8"/>
        <w:spacing w:after="0" w:line="286"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PRINCIPLES OF CONSOLIDATION, USE OF ESTIMATES AND RECENT ACCOUNTING PRONOUNCEMENTS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180" w:firstLine="1166"/>
        <w:spacing w:after="0" w:line="282" w:lineRule="auto"/>
        <w:rPr>
          <w:sz w:val="20"/>
          <w:szCs w:val="20"/>
          <w:color w:val="auto"/>
        </w:rPr>
      </w:pPr>
      <w:r>
        <w:rPr>
          <w:rFonts w:ascii="Times New Roman" w:cs="Times New Roman" w:eastAsia="Times New Roman" w:hAnsi="Times New Roman"/>
          <w:sz w:val="18"/>
          <w:szCs w:val="18"/>
          <w:color w:val="auto"/>
        </w:rPr>
        <w:t>The terms “Geron”, the “Company”, “we” and “us” as used in this Report refer to Geron Corporation and its wholly-owned subsidiaries, Geron UK Limited, or Geron UK, a United Kingdom company, and Geron Netherlands B.V., or Geron Netherlands, a Netherlands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40" w:firstLine="1166"/>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United States, or U.S., generally accepted accounting principles, or GAAP, for complete financial statements. In the opinion of management, all adjustments considered necessary for a fair presentation have been included. These unaudited condensed consolidated financial statements and notes should be read in conjunction with the audited financial statements and accompanying notes included in our Annual Report on Form 10-K for the year ended December 31, 2025, or the 2025 Form 10-K. The accompanying unaudited condensed consolidated balance sheet as of December 31, 2025 has been derived from audited financial statements at that date. Operating results for the three months ended March 31, 2026 are not necessarily indicative of the results that may be expected for the year ending December 31, 2026 or any other period. We operate as one operating segment.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100" w:firstLine="1166"/>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Geron Corporation and its wholly-owned subsidiaries, Geron UK and Geron Netherlands. For Geron UK and Geron Netherlands, we have eliminated intercompany accounts and transactions.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31" w:lineRule="exact"/>
        <w:rPr>
          <w:sz w:val="20"/>
          <w:szCs w:val="20"/>
          <w:color w:val="auto"/>
        </w:rPr>
      </w:pPr>
    </w:p>
    <w:p>
      <w:pPr>
        <w:ind w:firstLine="1166"/>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us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we evaluate our estimates, including those related to accrued liabilities, revenue recognition, fair value of marketable securities, inventory valuation, operating leases (right-of-use assets), lease liabilities, income taxes, and stock-based compensation and interest expense related to sale of future royalties. We base our estimates on historical experience and on various other market specific and relevant assumptions that we believe to be reasonable under the circumstances. Actual results could differ from those estimates.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9" w:lineRule="exact"/>
        <w:rPr>
          <w:sz w:val="20"/>
          <w:szCs w:val="20"/>
          <w:color w:val="auto"/>
        </w:rPr>
      </w:pPr>
    </w:p>
    <w:p>
      <w:pPr>
        <w:ind w:right="260" w:firstLine="1166"/>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these unaudited condensed consolidated financial statements as of and for the three months ended March 31, 2026 are consistent with those discussed in Note 1 to the consolidated financial statements in the 2025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 Issued But Not Yet Adopted</w:t>
      </w:r>
    </w:p>
    <w:p>
      <w:pPr>
        <w:spacing w:after="0" w:line="256" w:lineRule="exact"/>
        <w:rPr>
          <w:sz w:val="20"/>
          <w:szCs w:val="20"/>
          <w:color w:val="auto"/>
        </w:rPr>
      </w:pPr>
    </w:p>
    <w:p>
      <w:pPr>
        <w:ind w:right="20" w:firstLine="1166"/>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The amendments in ASU 2024-03 address investor requests for more detailed expense information and require additional disaggregated disclosures in the notes to financial statements for certain categories of expenses that are included on the face of the income statement. This guidance is effective for fiscal years beginning after December 15, 2026, and interim periods within fiscal</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years beginning after December 15, 2027, with early adoption permitted. We are evaluating the impact of this ASU on our consolidated financial statements.</w:t>
      </w:r>
    </w:p>
    <w:p>
      <w:pPr>
        <w:spacing w:after="0" w:line="16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Other recent accounting pronouncements issued by the FASB are not believed by management to have a material impact on our financial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w:t>
      </w:r>
    </w:p>
    <w:p>
      <w:pPr>
        <w:spacing w:after="0" w:line="200" w:lineRule="exact"/>
        <w:rPr>
          <w:sz w:val="20"/>
          <w:szCs w:val="20"/>
          <w:color w:val="auto"/>
        </w:rPr>
      </w:pPr>
    </w:p>
    <w:p>
      <w:pPr>
        <w:spacing w:after="0" w:line="273" w:lineRule="exact"/>
        <w:rPr>
          <w:sz w:val="20"/>
          <w:szCs w:val="20"/>
          <w:color w:val="auto"/>
        </w:rPr>
      </w:pPr>
    </w:p>
    <w:p>
      <w:pPr>
        <w:ind w:right="8800" w:firstLine="8"/>
        <w:spacing w:after="0" w:line="377"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Net Product Revenue</w:t>
      </w:r>
    </w:p>
    <w:p>
      <w:pPr>
        <w:spacing w:after="0" w:line="2" w:lineRule="exact"/>
        <w:rPr>
          <w:sz w:val="20"/>
          <w:szCs w:val="20"/>
          <w:color w:val="auto"/>
        </w:rPr>
      </w:pPr>
    </w:p>
    <w:p>
      <w:pPr>
        <w:ind w:right="160" w:firstLine="1166"/>
        <w:spacing w:after="0" w:line="282" w:lineRule="auto"/>
        <w:rPr>
          <w:sz w:val="20"/>
          <w:szCs w:val="20"/>
          <w:color w:val="auto"/>
        </w:rPr>
      </w:pPr>
      <w:r>
        <w:rPr>
          <w:rFonts w:ascii="Times New Roman" w:cs="Times New Roman" w:eastAsia="Times New Roman" w:hAnsi="Times New Roman"/>
          <w:sz w:val="18"/>
          <w:szCs w:val="18"/>
          <w:color w:val="auto"/>
        </w:rPr>
        <w:t>To date, our only source of product revenue has been from the U.S. sales of RYTELO, which we began shipping to our customers in June 2024. To date, product revenue pursuant to Named Patient Programs outside of the U.S. have been not material.</w:t>
      </w:r>
    </w:p>
    <w:p>
      <w:pPr>
        <w:spacing w:after="0" w:line="162" w:lineRule="exact"/>
        <w:rPr>
          <w:sz w:val="20"/>
          <w:szCs w:val="20"/>
          <w:color w:val="auto"/>
        </w:rPr>
      </w:pPr>
    </w:p>
    <w:p>
      <w:pPr>
        <w:ind w:firstLine="1166"/>
        <w:spacing w:after="0" w:line="282" w:lineRule="auto"/>
        <w:rPr>
          <w:sz w:val="20"/>
          <w:szCs w:val="20"/>
          <w:color w:val="auto"/>
        </w:rPr>
      </w:pPr>
      <w:r>
        <w:rPr>
          <w:rFonts w:ascii="Times New Roman" w:cs="Times New Roman" w:eastAsia="Times New Roman" w:hAnsi="Times New Roman"/>
          <w:sz w:val="18"/>
          <w:szCs w:val="18"/>
          <w:color w:val="auto"/>
        </w:rPr>
        <w:t>The reconciliation of gross product sales to net product sales by each significant category of gross-to-net adjustments was as follows for the three months ended March 31, 2026 and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80" w:type="dxa"/>
            <w:vAlign w:val="bottom"/>
          </w:tcPr>
          <w:p>
            <w:pPr>
              <w:spacing w:after="0"/>
              <w:rPr>
                <w:sz w:val="16"/>
                <w:szCs w:val="16"/>
                <w:color w:val="auto"/>
              </w:rPr>
            </w:pPr>
          </w:p>
        </w:tc>
      </w:tr>
      <w:tr>
        <w:trPr>
          <w:trHeight w:val="23"/>
        </w:trPr>
        <w:tc>
          <w:tcPr>
            <w:tcW w:w="62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9"/>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7"/>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product revenue</w:t>
            </w:r>
          </w:p>
        </w:tc>
        <w:tc>
          <w:tcPr>
            <w:tcW w:w="5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65,353</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45,312</w:t>
            </w:r>
          </w:p>
        </w:tc>
      </w:tr>
      <w:tr>
        <w:trPr>
          <w:trHeight w:val="27"/>
        </w:trPr>
        <w:tc>
          <w:tcPr>
            <w:tcW w:w="6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Gross-to-net adjustments:</w:t>
            </w:r>
          </w:p>
        </w:tc>
        <w:tc>
          <w:tcPr>
            <w:tcW w:w="5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Chargebacks</w:t>
            </w:r>
          </w:p>
        </w:tc>
        <w:tc>
          <w:tcPr>
            <w:tcW w:w="5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w:t>
            </w:r>
          </w:p>
        </w:tc>
      </w:tr>
      <w:tr>
        <w:trPr>
          <w:trHeight w:val="27"/>
        </w:trPr>
        <w:tc>
          <w:tcPr>
            <w:tcW w:w="6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Distributor service fees</w:t>
            </w:r>
          </w:p>
        </w:tc>
        <w:tc>
          <w:tcPr>
            <w:tcW w:w="580" w:type="dxa"/>
            <w:vAlign w:val="bottom"/>
            <w:shd w:val="clear" w:color="auto" w:fill="CCEEFF"/>
          </w:tcPr>
          <w:p>
            <w:pPr>
              <w:spacing w:after="0"/>
              <w:rPr>
                <w:sz w:val="23"/>
                <w:szCs w:val="23"/>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43"/>
        </w:trPr>
        <w:tc>
          <w:tcPr>
            <w:tcW w:w="6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Government rebates</w:t>
            </w:r>
          </w:p>
        </w:tc>
        <w:tc>
          <w:tcPr>
            <w:tcW w:w="5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6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returns and allowances</w:t>
            </w:r>
          </w:p>
        </w:tc>
        <w:tc>
          <w:tcPr>
            <w:tcW w:w="5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7"/>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gross-to-net adjustments</w:t>
            </w:r>
          </w:p>
        </w:tc>
        <w:tc>
          <w:tcPr>
            <w:tcW w:w="5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(13,582)</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(5,876)</w:t>
            </w:r>
          </w:p>
        </w:tc>
      </w:tr>
      <w:tr>
        <w:trPr>
          <w:trHeight w:val="27"/>
        </w:trPr>
        <w:tc>
          <w:tcPr>
            <w:tcW w:w="62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revenue</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51,771</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39,436</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INVENTORY</w:t>
      </w:r>
    </w:p>
    <w:p>
      <w:pPr>
        <w:spacing w:after="0" w:line="12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All of our inventories are related to the manufacturing of RYTELO. The following table presents our inventory as of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77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8,927</w:t>
            </w:r>
          </w:p>
        </w:tc>
      </w:tr>
      <w:tr>
        <w:trPr>
          <w:trHeight w:val="27"/>
        </w:trPr>
        <w:tc>
          <w:tcPr>
            <w:tcW w:w="7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99,118</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91,969</w:t>
            </w:r>
          </w:p>
        </w:tc>
      </w:tr>
      <w:tr>
        <w:trPr>
          <w:trHeight w:val="24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15,740</w:t>
            </w:r>
          </w:p>
        </w:tc>
      </w:tr>
      <w:tr>
        <w:trPr>
          <w:trHeight w:val="27"/>
        </w:trPr>
        <w:tc>
          <w:tcPr>
            <w:tcW w:w="77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8"/>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133,287</w:t>
            </w:r>
          </w:p>
        </w:tc>
        <w:tc>
          <w:tcPr>
            <w:tcW w:w="360" w:type="dxa"/>
            <w:vAlign w:val="bottom"/>
            <w:tcBorders>
              <w:bottom w:val="single" w:sz="8" w:color="CFF0FC"/>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116,636</w:t>
            </w: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 and Marketable Securities</w:t>
      </w:r>
    </w:p>
    <w:p>
      <w:pPr>
        <w:spacing w:after="0" w:line="12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Cash equivalents, restricted cash and marketable securities by security type at March 31, 2026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112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53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43,727</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43,727</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0" w:type="dxa"/>
            <w:vAlign w:val="bottom"/>
          </w:tcPr>
          <w:p>
            <w:pPr>
              <w:spacing w:after="0"/>
              <w:rPr>
                <w:sz w:val="1"/>
                <w:szCs w:val="1"/>
                <w:color w:val="auto"/>
              </w:rPr>
            </w:pPr>
          </w:p>
        </w:tc>
      </w:tr>
      <w:tr>
        <w:trPr>
          <w:trHeight w:val="237"/>
        </w:trPr>
        <w:tc>
          <w:tcPr>
            <w:tcW w:w="5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48,722</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48,722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fund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Certificate of deposit</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3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Treasury securities (due in less than one year)</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14,980</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14,985</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Municipal securities (due in less than one year)</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0" w:type="dxa"/>
            <w:vAlign w:val="bottom"/>
          </w:tcPr>
          <w:p>
            <w:pPr>
              <w:spacing w:after="0"/>
              <w:rPr>
                <w:sz w:val="1"/>
                <w:szCs w:val="1"/>
                <w:color w:val="auto"/>
              </w:rPr>
            </w:pPr>
          </w:p>
        </w:tc>
      </w:tr>
      <w:tr>
        <w:trPr>
          <w:trHeight w:val="243"/>
        </w:trPr>
        <w:tc>
          <w:tcPr>
            <w:tcW w:w="5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Municipal securities (due in one to two years)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Government-sponsored enterprise securities (due in less than one year)</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Commercial paper (due in less than one year)</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66,584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66,561</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notes (due in less than one year)</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149,086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148,979</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notes (due in one to two years)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24,669</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3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270,373</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270,192</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Cash equivalents, restricted cash and marketable securities by security type at December 31, 2025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11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5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center"/>
              <w:ind w:left="654"/>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48,951</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center"/>
              <w:ind w:left="654"/>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0" w:type="dxa"/>
            <w:vAlign w:val="bottom"/>
          </w:tcPr>
          <w:p>
            <w:pPr>
              <w:spacing w:after="0"/>
              <w:rPr>
                <w:sz w:val="1"/>
                <w:szCs w:val="1"/>
                <w:color w:val="auto"/>
              </w:rPr>
            </w:pPr>
          </w:p>
        </w:tc>
      </w:tr>
      <w:tr>
        <w:trPr>
          <w:trHeight w:val="237"/>
        </w:trPr>
        <w:tc>
          <w:tcPr>
            <w:tcW w:w="5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53,929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center"/>
              <w:ind w:left="754"/>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53,930</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fund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jc w:val="center"/>
              <w:ind w:left="654"/>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0" w:type="dxa"/>
            <w:vAlign w:val="bottom"/>
          </w:tcPr>
          <w:p>
            <w:pPr>
              <w:spacing w:after="0"/>
              <w:rPr>
                <w:sz w:val="1"/>
                <w:szCs w:val="1"/>
                <w:color w:val="auto"/>
              </w:rPr>
            </w:pPr>
          </w:p>
        </w:tc>
      </w:tr>
      <w:tr>
        <w:trPr>
          <w:trHeight w:val="243"/>
        </w:trPr>
        <w:tc>
          <w:tcPr>
            <w:tcW w:w="5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Certificate of deposit</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center"/>
              <w:ind w:left="654"/>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4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jc w:val="center"/>
              <w:ind w:left="654"/>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U.S. Treasury securities (due in less than one year)</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center"/>
              <w:ind w:left="654"/>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22,951</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securities (due in less than one year)</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left="654"/>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10,041</w:t>
            </w:r>
          </w:p>
        </w:tc>
        <w:tc>
          <w:tcPr>
            <w:tcW w:w="0" w:type="dxa"/>
            <w:vAlign w:val="bottom"/>
          </w:tcPr>
          <w:p>
            <w:pPr>
              <w:spacing w:after="0"/>
              <w:rPr>
                <w:sz w:val="1"/>
                <w:szCs w:val="1"/>
                <w:color w:val="auto"/>
              </w:rPr>
            </w:pPr>
          </w:p>
        </w:tc>
      </w:tr>
      <w:tr>
        <w:trPr>
          <w:trHeight w:val="243"/>
        </w:trPr>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 paper (due in less than one year)</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center"/>
              <w:ind w:left="654"/>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79,403</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notes (due in less than one year)</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ind w:left="714"/>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167,964</w:t>
            </w:r>
          </w:p>
        </w:tc>
        <w:tc>
          <w:tcPr>
            <w:tcW w:w="0" w:type="dxa"/>
            <w:vAlign w:val="bottom"/>
          </w:tcPr>
          <w:p>
            <w:pPr>
              <w:spacing w:after="0"/>
              <w:rPr>
                <w:sz w:val="1"/>
                <w:szCs w:val="1"/>
                <w:color w:val="auto"/>
              </w:rPr>
            </w:pPr>
          </w:p>
        </w:tc>
      </w:tr>
      <w:tr>
        <w:trPr>
          <w:trHeight w:val="243"/>
        </w:trPr>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Corporate notes (due in one to two years)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center"/>
              <w:ind w:left="714"/>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41,289</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4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321,417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center"/>
              <w:ind w:left="714"/>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321,648</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20" w:firstLine="1166"/>
        <w:spacing w:after="0" w:line="282" w:lineRule="auto"/>
        <w:rPr>
          <w:sz w:val="20"/>
          <w:szCs w:val="20"/>
          <w:color w:val="auto"/>
        </w:rPr>
      </w:pPr>
      <w:r>
        <w:rPr>
          <w:rFonts w:ascii="Times New Roman" w:cs="Times New Roman" w:eastAsia="Times New Roman" w:hAnsi="Times New Roman"/>
          <w:sz w:val="18"/>
          <w:szCs w:val="18"/>
          <w:color w:val="auto"/>
        </w:rPr>
        <w:t>Cash equivalents and marketable securities with unrealized losses that have been in a continuous unrealized loss position for less than 12 months and 12 months or longer at March 31, 2026 and December 31, 2025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40" w:type="dxa"/>
            <w:vAlign w:val="bottom"/>
          </w:tcPr>
          <w:p>
            <w:pPr>
              <w:spacing w:after="0"/>
              <w:rPr>
                <w:sz w:val="16"/>
                <w:szCs w:val="16"/>
                <w:color w:val="auto"/>
              </w:rPr>
            </w:pPr>
          </w:p>
        </w:tc>
        <w:tc>
          <w:tcPr>
            <w:tcW w:w="22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75"/>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5"/>
                <w:szCs w:val="15"/>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60" w:type="dxa"/>
            <w:vAlign w:val="bottom"/>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5"/>
                <w:szCs w:val="15"/>
                <w:color w:val="auto"/>
              </w:rPr>
            </w:pPr>
          </w:p>
        </w:tc>
        <w:tc>
          <w:tcPr>
            <w:tcW w:w="112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0"/>
        </w:trPr>
        <w:tc>
          <w:tcPr>
            <w:tcW w:w="2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60" w:type="dxa"/>
            <w:vAlign w:val="bottom"/>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3"/>
        </w:trPr>
        <w:tc>
          <w:tcPr>
            <w:tcW w:w="2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Government-sponsored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enterprise securities (due in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less than one year)</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Municipal securities (due in less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6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than one year)</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2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Municipal securities (due in one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 two years)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0"/>
                <w:szCs w:val="20"/>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Commercial paper (cash</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6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equivalent)</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paper (due in less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than one year)</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0"/>
                <w:szCs w:val="20"/>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Corporate notes (due in less than</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6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one year)</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93,543</w:t>
            </w:r>
          </w:p>
        </w:tc>
        <w:tc>
          <w:tcPr>
            <w:tcW w:w="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93,543</w:t>
            </w: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5"/>
        </w:trPr>
        <w:tc>
          <w:tcPr>
            <w:tcW w:w="2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notes (due in one to</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two years)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0"/>
                <w:szCs w:val="20"/>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260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6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170,934</w:t>
            </w:r>
          </w:p>
        </w:tc>
        <w:tc>
          <w:tcPr>
            <w:tcW w:w="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FF0FC"/>
            </w:tcBorders>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170,934</w:t>
            </w:r>
          </w:p>
        </w:tc>
        <w:tc>
          <w:tcPr>
            <w:tcW w:w="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0"/>
        </w:trPr>
        <w:tc>
          <w:tcPr>
            <w:tcW w:w="26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notes (due in less than</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one year)</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0"/>
                <w:szCs w:val="20"/>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Corporate notes (due in one to</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6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two years)</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31,265</w:t>
            </w:r>
          </w:p>
        </w:tc>
        <w:tc>
          <w:tcPr>
            <w:tcW w:w="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31,265</w:t>
            </w: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7"/>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49,252</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49,252</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0" w:firstLine="1166"/>
        <w:spacing w:after="0" w:line="254" w:lineRule="auto"/>
        <w:rPr>
          <w:sz w:val="20"/>
          <w:szCs w:val="20"/>
          <w:color w:val="auto"/>
        </w:rPr>
      </w:pPr>
      <w:r>
        <w:rPr>
          <w:rFonts w:ascii="Times New Roman" w:cs="Times New Roman" w:eastAsia="Times New Roman" w:hAnsi="Times New Roman"/>
          <w:sz w:val="18"/>
          <w:szCs w:val="18"/>
          <w:color w:val="auto"/>
        </w:rPr>
        <w:t>The gross unrealized losses related to municipal securities, government-sponsored enterprise securities, commercial paper and corporate notes as of March 31, 2026 and December 31, 2025 were due to changes in interest rates and not credit risk. If an available-for-sale security’s fair value is less than its amortized cost basis, we evaluate whether the decline is the result of a credit loss, in which case an impairment is recorded through an allowance for credit losses. We have not recorded any allowances for credit losses on our available-for-sale securities for the three months ended March 31, 2026 as we have not identified any unrealized losses for these securities attributable to credit factors. Our exposure to unrealized losses may increase in the future due to the economic pressures or uncertainties associated with local or global economic recessions as a result of ongoing geopolitical events, such as the current military conflicts between Ukraine and Russia or the United States and Iran, as well as recent and potential future disruptions in access to bank deposits or lending commitments due to bank failure. We do not intend to sell the investments and it is not more likely than not that we will be required to sell the investments before recovery of their amortized cost basis, which may be maturity.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ind w:right="100" w:firstLine="1166"/>
        <w:spacing w:after="0" w:line="282" w:lineRule="auto"/>
        <w:rPr>
          <w:sz w:val="20"/>
          <w:szCs w:val="20"/>
          <w:color w:val="auto"/>
        </w:rPr>
      </w:pPr>
      <w:r>
        <w:rPr>
          <w:rFonts w:ascii="Times New Roman" w:cs="Times New Roman" w:eastAsia="Times New Roman" w:hAnsi="Times New Roman"/>
          <w:sz w:val="18"/>
          <w:szCs w:val="18"/>
          <w:color w:val="auto"/>
        </w:rPr>
        <w:t>We categorize financial instruments recorded at fair value on our condensed consolidated balance sheets based upon the level of judgment associated with inputs used to measure their fair value. The categories are as follows:</w:t>
      </w:r>
    </w:p>
    <w:p>
      <w:pPr>
        <w:sectPr>
          <w:pgSz w:w="11900" w:h="16838" w:orient="portrait"/>
          <w:cols w:equalWidth="0" w:num="1">
            <w:col w:w="11220"/>
          </w:cols>
          <w:pgMar w:left="320" w:top="576" w:right="359" w:bottom="1440" w:gutter="0" w:footer="0" w:header="0"/>
        </w:sectPr>
      </w:pPr>
    </w:p>
    <w:p>
      <w:pPr>
        <w:spacing w:after="0" w:line="2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Level 1</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180" w:hanging="359"/>
        <w:spacing w:after="0" w:line="266"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Inputs are unadjusted, quoted prices in active markets for identical assets or liabilities at the measurement date. An active market for an asset or liability is a market in which transactions for the asset or liability occur with sufficient frequency and volume to provide pricing information on an ongoing basis.</w:t>
      </w:r>
    </w:p>
    <w:p>
      <w:pPr>
        <w:spacing w:after="0" w:line="162" w:lineRule="exact"/>
        <w:rPr>
          <w:sz w:val="20"/>
          <w:szCs w:val="20"/>
          <w:color w:val="auto"/>
        </w:rPr>
      </w:pPr>
    </w:p>
    <w:p>
      <w:pPr>
        <w:sectPr>
          <w:pgSz w:w="11900" w:h="16838" w:orient="portrait"/>
          <w:cols w:equalWidth="0" w:num="2">
            <w:col w:w="1120" w:space="640"/>
            <w:col w:w="9460"/>
          </w:cols>
          <w:pgMar w:left="320" w:top="576" w:right="35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color w:val="auto"/>
        </w:rPr>
        <w:t>Level 2</w:t>
      </w:r>
    </w:p>
    <w:p>
      <w:pPr>
        <w:spacing w:after="0" w:line="20" w:lineRule="exact"/>
        <w:rPr>
          <w:sz w:val="20"/>
          <w:szCs w:val="20"/>
          <w:color w:val="auto"/>
        </w:rPr>
      </w:pPr>
      <w:r>
        <w:rPr>
          <w:sz w:val="20"/>
          <w:szCs w:val="20"/>
          <w:color w:val="auto"/>
        </w:rPr>
        <w:br w:type="column"/>
      </w:r>
    </w:p>
    <w:p>
      <w:pPr>
        <w:ind w:right="340" w:hanging="35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148" w:lineRule="exact"/>
        <w:rPr>
          <w:sz w:val="20"/>
          <w:szCs w:val="20"/>
          <w:color w:val="auto"/>
        </w:rPr>
      </w:pPr>
    </w:p>
    <w:p>
      <w:pPr>
        <w:sectPr>
          <w:pgSz w:w="11900" w:h="16838" w:orient="portrait"/>
          <w:cols w:equalWidth="0" w:num="2">
            <w:col w:w="1120" w:space="640"/>
            <w:col w:w="9460"/>
          </w:cols>
          <w:pgMar w:left="320" w:top="576" w:right="35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color w:val="auto"/>
        </w:rPr>
        <w:t>Level 3</w:t>
      </w:r>
    </w:p>
    <w:p>
      <w:pPr>
        <w:spacing w:after="0" w:line="20" w:lineRule="exact"/>
        <w:rPr>
          <w:sz w:val="20"/>
          <w:szCs w:val="20"/>
          <w:color w:val="auto"/>
        </w:rPr>
      </w:pPr>
      <w:r>
        <w:rPr>
          <w:sz w:val="20"/>
          <w:szCs w:val="20"/>
          <w:color w:val="auto"/>
        </w:rPr>
        <w:br w:type="column"/>
      </w:r>
    </w:p>
    <w:p>
      <w:pPr>
        <w:ind w:right="220" w:hanging="359"/>
        <w:spacing w:after="0" w:line="266"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200" w:lineRule="exact"/>
        <w:rPr>
          <w:sz w:val="20"/>
          <w:szCs w:val="20"/>
          <w:color w:val="auto"/>
        </w:rPr>
      </w:pPr>
    </w:p>
    <w:p>
      <w:pPr>
        <w:sectPr>
          <w:pgSz w:w="11900" w:h="16838" w:orient="portrait"/>
          <w:cols w:equalWidth="0" w:num="2">
            <w:col w:w="1120" w:space="640"/>
            <w:col w:w="9460"/>
          </w:cols>
          <w:pgMar w:left="320" w:top="576" w:right="359" w:bottom="1440" w:gutter="0" w:footer="0" w:header="0"/>
          <w:type w:val="continuous"/>
        </w:sectPr>
      </w:pPr>
    </w:p>
    <w:p>
      <w:pPr>
        <w:spacing w:after="0" w:line="16" w:lineRule="exact"/>
        <w:rPr>
          <w:sz w:val="20"/>
          <w:szCs w:val="20"/>
          <w:color w:val="auto"/>
        </w:rPr>
      </w:pPr>
    </w:p>
    <w:p>
      <w:pPr>
        <w:ind w:right="200" w:firstLine="1166"/>
        <w:spacing w:after="0" w:line="266" w:lineRule="auto"/>
        <w:rPr>
          <w:sz w:val="20"/>
          <w:szCs w:val="20"/>
          <w:color w:val="auto"/>
        </w:rPr>
      </w:pPr>
      <w:r>
        <w:rPr>
          <w:rFonts w:ascii="Times New Roman" w:cs="Times New Roman" w:eastAsia="Times New Roman" w:hAnsi="Times New Roman"/>
          <w:sz w:val="18"/>
          <w:szCs w:val="18"/>
          <w:color w:val="auto"/>
        </w:rPr>
        <w:t>A financial instrument’s categorization within the valuation hierarchy is based upon the lowest level of input that is significant to the fair value measurement. Below is a description of the valuation methodologies used for financial instruments measured at fair value on our consolidated balance sheets, including the category for such financial instruments.</w:t>
      </w:r>
    </w:p>
    <w:p>
      <w:pPr>
        <w:spacing w:after="0" w:line="176" w:lineRule="exact"/>
        <w:rPr>
          <w:sz w:val="20"/>
          <w:szCs w:val="20"/>
          <w:color w:val="auto"/>
        </w:rPr>
      </w:pPr>
    </w:p>
    <w:p>
      <w:pPr>
        <w:ind w:firstLine="1166"/>
        <w:spacing w:after="0" w:line="261" w:lineRule="auto"/>
        <w:rPr>
          <w:sz w:val="20"/>
          <w:szCs w:val="20"/>
          <w:color w:val="auto"/>
        </w:rPr>
      </w:pPr>
      <w:r>
        <w:rPr>
          <w:rFonts w:ascii="Times New Roman" w:cs="Times New Roman" w:eastAsia="Times New Roman" w:hAnsi="Times New Roman"/>
          <w:sz w:val="18"/>
          <w:szCs w:val="18"/>
          <w:color w:val="auto"/>
        </w:rPr>
        <w:t>Money market funds and certificates of deposit are categorized as Level 1 within the fair value hierarchy as their fair values are based on quoted prices available in active markets. Commercial paper, U.S. Treasury securities, municipal securities, government-sponsored enterprise securities and corporate notes are categorized as Level 2 within the fair value hierarchy as their fair values are estimated by using pricing models, quoted prices of securities with similar characteristics or discounted cash flows.</w:t>
      </w:r>
    </w:p>
    <w:p>
      <w:pPr>
        <w:spacing w:after="0" w:line="18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The embedded derivatives are classified within Level 3 of the fair value hierarchy. See Note 7 on Debt.</w:t>
      </w:r>
    </w:p>
    <w:p>
      <w:pPr>
        <w:spacing w:after="0" w:line="225" w:lineRule="exact"/>
        <w:rPr>
          <w:sz w:val="20"/>
          <w:szCs w:val="20"/>
          <w:color w:val="auto"/>
        </w:rPr>
      </w:pPr>
    </w:p>
    <w:p>
      <w:pPr>
        <w:ind w:firstLine="1166"/>
        <w:spacing w:after="0" w:line="282" w:lineRule="auto"/>
        <w:rPr>
          <w:sz w:val="20"/>
          <w:szCs w:val="20"/>
          <w:color w:val="auto"/>
        </w:rPr>
      </w:pPr>
      <w:r>
        <w:rPr>
          <w:rFonts w:ascii="Times New Roman" w:cs="Times New Roman" w:eastAsia="Times New Roman" w:hAnsi="Times New Roman"/>
          <w:sz w:val="18"/>
          <w:szCs w:val="18"/>
          <w:color w:val="auto"/>
        </w:rPr>
        <w:t>We determined the fair value of the liability related to the sale of future royalties based on our current estimates of future royalties expected to be paid to Royalty Pharma over the life of the arrangement, which are considered Level 3. See Note 7 on Debt.</w:t>
      </w:r>
    </w:p>
    <w:p>
      <w:pPr>
        <w:spacing w:after="0" w:line="162" w:lineRule="exact"/>
        <w:rPr>
          <w:sz w:val="20"/>
          <w:szCs w:val="20"/>
          <w:color w:val="auto"/>
        </w:rPr>
      </w:pPr>
    </w:p>
    <w:p>
      <w:pPr>
        <w:ind w:right="40" w:firstLine="1166"/>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Level 2, and Level 3 during the periods presented. In addition, there have been no changes to our valuation techniques as of March 31, 2026 and December 31, 2025.</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type w:val="continuous"/>
        </w:sectPr>
      </w:pPr>
    </w:p>
    <w:bookmarkStart w:id="14" w:name="page15"/>
    <w:bookmarkEnd w:id="14"/>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0" w:firstLine="1166"/>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our financial instruments that are measured at fair value on a recurring basis as of March 31, 2026 and December 31, 2025 and indicates the fair value category assigned.</w:t>
      </w:r>
    </w:p>
    <w:p>
      <w:pPr>
        <w:spacing w:after="0" w:line="209" w:lineRule="exact"/>
        <w:rPr>
          <w:sz w:val="20"/>
          <w:szCs w:val="20"/>
          <w:color w:val="auto"/>
        </w:rPr>
      </w:pPr>
    </w:p>
    <w:tbl>
      <w:tblPr>
        <w:tblLayout w:type="fixed"/>
        <w:tblInd w:w="56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6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38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9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1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(1)(2)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45,337</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45,337</w:t>
            </w:r>
          </w:p>
        </w:tc>
        <w:tc>
          <w:tcPr>
            <w:tcW w:w="0" w:type="dxa"/>
            <w:vAlign w:val="bottom"/>
          </w:tcPr>
          <w:p>
            <w:pPr>
              <w:spacing w:after="0"/>
              <w:rPr>
                <w:sz w:val="1"/>
                <w:szCs w:val="1"/>
                <w:color w:val="auto"/>
              </w:rPr>
            </w:pPr>
          </w:p>
        </w:tc>
      </w:tr>
      <w:tr>
        <w:trPr>
          <w:trHeight w:val="270"/>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Certificate of deposit</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70"/>
        </w:trPr>
        <w:tc>
          <w:tcPr>
            <w:tcW w:w="39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Municipal securities</w:t>
            </w:r>
            <w:r>
              <w:rPr>
                <w:rFonts w:ascii="Times New Roman" w:cs="Times New Roman" w:eastAsia="Times New Roman" w:hAnsi="Times New Roman"/>
                <w:sz w:val="23"/>
                <w:szCs w:val="23"/>
                <w:color w:val="auto"/>
                <w:vertAlign w:val="superscript"/>
              </w:rPr>
              <w:t>(3)(4)</w:t>
            </w:r>
          </w:p>
        </w:tc>
        <w:tc>
          <w:tcPr>
            <w:tcW w:w="120" w:type="dxa"/>
            <w:vAlign w:val="bottom"/>
            <w:shd w:val="clear" w:color="auto" w:fill="CFF0FC"/>
          </w:tcPr>
          <w:p>
            <w:pPr>
              <w:spacing w:after="0"/>
              <w:rPr>
                <w:sz w:val="23"/>
                <w:szCs w:val="2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12,038</w:t>
            </w:r>
          </w:p>
        </w:tc>
        <w:tc>
          <w:tcPr>
            <w:tcW w:w="1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3"/>
                <w:szCs w:val="2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12,038</w:t>
            </w:r>
          </w:p>
        </w:tc>
        <w:tc>
          <w:tcPr>
            <w:tcW w:w="0" w:type="dxa"/>
            <w:vAlign w:val="bottom"/>
          </w:tcPr>
          <w:p>
            <w:pPr>
              <w:spacing w:after="0"/>
              <w:rPr>
                <w:sz w:val="1"/>
                <w:szCs w:val="1"/>
                <w:color w:val="auto"/>
              </w:rPr>
            </w:pPr>
          </w:p>
        </w:tc>
      </w:tr>
      <w:tr>
        <w:trPr>
          <w:trHeight w:val="270"/>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3"/>
                <w:szCs w:val="23"/>
                <w:color w:val="auto"/>
                <w:vertAlign w:val="superscript"/>
              </w:rPr>
              <w:t>(3)</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14,985</w:t>
            </w:r>
          </w:p>
        </w:tc>
        <w:tc>
          <w:tcPr>
            <w:tcW w:w="0" w:type="dxa"/>
            <w:vAlign w:val="bottom"/>
          </w:tcPr>
          <w:p>
            <w:pPr>
              <w:spacing w:after="0"/>
              <w:rPr>
                <w:sz w:val="1"/>
                <w:szCs w:val="1"/>
                <w:color w:val="auto"/>
              </w:rPr>
            </w:pPr>
          </w:p>
        </w:tc>
      </w:tr>
      <w:tr>
        <w:trPr>
          <w:trHeight w:val="270"/>
        </w:trPr>
        <w:tc>
          <w:tcPr>
            <w:tcW w:w="39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Government-sponsored enterprises</w:t>
            </w:r>
            <w:r>
              <w:rPr>
                <w:rFonts w:ascii="Times New Roman" w:cs="Times New Roman" w:eastAsia="Times New Roman" w:hAnsi="Times New Roman"/>
                <w:sz w:val="23"/>
                <w:szCs w:val="23"/>
                <w:color w:val="auto"/>
                <w:vertAlign w:val="superscript"/>
              </w:rPr>
              <w:t>(3)</w:t>
            </w:r>
          </w:p>
        </w:tc>
        <w:tc>
          <w:tcPr>
            <w:tcW w:w="120" w:type="dxa"/>
            <w:vAlign w:val="bottom"/>
            <w:shd w:val="clear" w:color="auto" w:fill="CFF0FC"/>
          </w:tcPr>
          <w:p>
            <w:pPr>
              <w:spacing w:after="0"/>
              <w:rPr>
                <w:sz w:val="23"/>
                <w:szCs w:val="2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1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3"/>
                <w:szCs w:val="2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0" w:type="dxa"/>
            <w:vAlign w:val="bottom"/>
          </w:tcPr>
          <w:p>
            <w:pPr>
              <w:spacing w:after="0"/>
              <w:rPr>
                <w:sz w:val="1"/>
                <w:szCs w:val="1"/>
                <w:color w:val="auto"/>
              </w:rPr>
            </w:pPr>
          </w:p>
        </w:tc>
      </w:tr>
      <w:tr>
        <w:trPr>
          <w:trHeight w:val="270"/>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Commercial paper</w:t>
            </w:r>
            <w:r>
              <w:rPr>
                <w:rFonts w:ascii="Times New Roman" w:cs="Times New Roman" w:eastAsia="Times New Roman" w:hAnsi="Times New Roman"/>
                <w:sz w:val="23"/>
                <w:szCs w:val="23"/>
                <w:color w:val="auto"/>
                <w:vertAlign w:val="superscript"/>
              </w:rPr>
              <w:t>(1)(3)</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71,557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71,557</w:t>
            </w:r>
          </w:p>
        </w:tc>
        <w:tc>
          <w:tcPr>
            <w:tcW w:w="0" w:type="dxa"/>
            <w:vAlign w:val="bottom"/>
          </w:tcPr>
          <w:p>
            <w:pPr>
              <w:spacing w:after="0"/>
              <w:rPr>
                <w:sz w:val="1"/>
                <w:szCs w:val="1"/>
                <w:color w:val="auto"/>
              </w:rPr>
            </w:pPr>
          </w:p>
        </w:tc>
      </w:tr>
      <w:tr>
        <w:trPr>
          <w:trHeight w:val="270"/>
        </w:trPr>
        <w:tc>
          <w:tcPr>
            <w:tcW w:w="39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Corporate notes</w:t>
            </w:r>
            <w:r>
              <w:rPr>
                <w:rFonts w:ascii="Times New Roman" w:cs="Times New Roman" w:eastAsia="Times New Roman" w:hAnsi="Times New Roman"/>
                <w:sz w:val="23"/>
                <w:szCs w:val="23"/>
                <w:color w:val="auto"/>
                <w:vertAlign w:val="superscript"/>
              </w:rPr>
              <w:t>(3)</w:t>
            </w:r>
          </w:p>
        </w:tc>
        <w:tc>
          <w:tcPr>
            <w:tcW w:w="120" w:type="dxa"/>
            <w:vAlign w:val="bottom"/>
            <w:tcBorders>
              <w:bottom w:val="single" w:sz="8" w:color="auto"/>
            </w:tcBorders>
            <w:shd w:val="clear" w:color="auto" w:fill="CFF0FC"/>
          </w:tcPr>
          <w:p>
            <w:pPr>
              <w:spacing w:after="0"/>
              <w:rPr>
                <w:sz w:val="23"/>
                <w:szCs w:val="23"/>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173,648</w:t>
            </w:r>
          </w:p>
        </w:tc>
        <w:tc>
          <w:tcPr>
            <w:tcW w:w="100" w:type="dxa"/>
            <w:vAlign w:val="bottom"/>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spacing w:after="0"/>
              <w:rPr>
                <w:sz w:val="23"/>
                <w:szCs w:val="2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spacing w:after="0"/>
              <w:rPr>
                <w:sz w:val="23"/>
                <w:szCs w:val="2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173,648</w:t>
            </w:r>
          </w:p>
        </w:tc>
        <w:tc>
          <w:tcPr>
            <w:tcW w:w="0" w:type="dxa"/>
            <w:vAlign w:val="bottom"/>
          </w:tcPr>
          <w:p>
            <w:pPr>
              <w:spacing w:after="0"/>
              <w:rPr>
                <w:sz w:val="1"/>
                <w:szCs w:val="1"/>
                <w:color w:val="auto"/>
              </w:rPr>
            </w:pPr>
          </w:p>
        </w:tc>
      </w:tr>
      <w:tr>
        <w:trPr>
          <w:trHeight w:val="237"/>
        </w:trPr>
        <w:tc>
          <w:tcPr>
            <w:tcW w:w="3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275,187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320,798</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920" w:type="dxa"/>
            <w:vAlign w:val="bottom"/>
            <w:tcBorders>
              <w:bottom w:val="single" w:sz="8" w:color="CFF0FC"/>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Sale of future royalties</w:t>
            </w:r>
            <w:r>
              <w:rPr>
                <w:rFonts w:ascii="Times New Roman" w:cs="Times New Roman" w:eastAsia="Times New Roman" w:hAnsi="Times New Roman"/>
                <w:sz w:val="23"/>
                <w:szCs w:val="23"/>
                <w:color w:val="auto"/>
                <w:vertAlign w:val="superscript"/>
              </w:rPr>
              <w:t>(5)(6)</w:t>
            </w: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129,773</w:t>
            </w:r>
          </w:p>
        </w:tc>
        <w:tc>
          <w:tcPr>
            <w:tcW w:w="100" w:type="dxa"/>
            <w:vAlign w:val="bottom"/>
            <w:tcBorders>
              <w:bottom w:val="single" w:sz="8" w:color="CFF0FC"/>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129,773</w:t>
            </w:r>
          </w:p>
        </w:tc>
        <w:tc>
          <w:tcPr>
            <w:tcW w:w="0" w:type="dxa"/>
            <w:vAlign w:val="bottom"/>
          </w:tcPr>
          <w:p>
            <w:pPr>
              <w:spacing w:after="0"/>
              <w:rPr>
                <w:sz w:val="1"/>
                <w:szCs w:val="1"/>
                <w:color w:val="auto"/>
              </w:rPr>
            </w:pPr>
          </w:p>
        </w:tc>
      </w:tr>
      <w:tr>
        <w:trPr>
          <w:trHeight w:val="288"/>
        </w:trPr>
        <w:tc>
          <w:tcPr>
            <w:tcW w:w="3920" w:type="dxa"/>
            <w:vAlign w:val="bottom"/>
            <w:tcBorders>
              <w:bottom w:val="single" w:sz="8" w:color="CFF0FC"/>
            </w:tcBorders>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129,773</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129,773</w:t>
            </w: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bottom w:val="single" w:sz="8" w:color="CFF0FC"/>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(1)(2)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50,557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50,557</w:t>
            </w:r>
          </w:p>
        </w:tc>
        <w:tc>
          <w:tcPr>
            <w:tcW w:w="0" w:type="dxa"/>
            <w:vAlign w:val="bottom"/>
          </w:tcPr>
          <w:p>
            <w:pPr>
              <w:spacing w:after="0"/>
              <w:rPr>
                <w:sz w:val="1"/>
                <w:szCs w:val="1"/>
                <w:color w:val="auto"/>
              </w:rPr>
            </w:pPr>
          </w:p>
        </w:tc>
      </w:tr>
      <w:tr>
        <w:trPr>
          <w:trHeight w:val="270"/>
        </w:trPr>
        <w:tc>
          <w:tcPr>
            <w:tcW w:w="39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Certificate of deposit</w:t>
            </w:r>
            <w:r>
              <w:rPr>
                <w:rFonts w:ascii="Times New Roman" w:cs="Times New Roman" w:eastAsia="Times New Roman" w:hAnsi="Times New Roman"/>
                <w:sz w:val="23"/>
                <w:szCs w:val="23"/>
                <w:color w:val="auto"/>
                <w:vertAlign w:val="superscript"/>
              </w:rPr>
              <w:t>(2)</w:t>
            </w:r>
          </w:p>
        </w:tc>
        <w:tc>
          <w:tcPr>
            <w:tcW w:w="120" w:type="dxa"/>
            <w:vAlign w:val="bottom"/>
            <w:shd w:val="clear" w:color="auto" w:fill="CFF0FC"/>
          </w:tcPr>
          <w:p>
            <w:pPr>
              <w:spacing w:after="0"/>
              <w:rPr>
                <w:sz w:val="23"/>
                <w:szCs w:val="2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3"/>
                <w:szCs w:val="23"/>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3"/>
                <w:szCs w:val="2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70"/>
        </w:trPr>
        <w:tc>
          <w:tcPr>
            <w:tcW w:w="3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Municipal securities</w:t>
            </w:r>
            <w:r>
              <w:rPr>
                <w:rFonts w:ascii="Times New Roman" w:cs="Times New Roman" w:eastAsia="Times New Roman" w:hAnsi="Times New Roman"/>
                <w:sz w:val="23"/>
                <w:szCs w:val="23"/>
                <w:color w:val="auto"/>
                <w:vertAlign w:val="superscript"/>
              </w:rPr>
              <w:t>(3)</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w:t>
            </w:r>
          </w:p>
        </w:tc>
        <w:tc>
          <w:tcPr>
            <w:tcW w:w="0" w:type="dxa"/>
            <w:vAlign w:val="bottom"/>
          </w:tcPr>
          <w:p>
            <w:pPr>
              <w:spacing w:after="0"/>
              <w:rPr>
                <w:sz w:val="1"/>
                <w:szCs w:val="1"/>
                <w:color w:val="auto"/>
              </w:rPr>
            </w:pPr>
          </w:p>
        </w:tc>
      </w:tr>
      <w:tr>
        <w:trPr>
          <w:trHeight w:val="270"/>
        </w:trPr>
        <w:tc>
          <w:tcPr>
            <w:tcW w:w="39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3"/>
                <w:szCs w:val="23"/>
                <w:color w:val="auto"/>
                <w:vertAlign w:val="superscript"/>
              </w:rPr>
              <w:t>(3)(4)</w:t>
            </w:r>
          </w:p>
        </w:tc>
        <w:tc>
          <w:tcPr>
            <w:tcW w:w="120" w:type="dxa"/>
            <w:vAlign w:val="bottom"/>
            <w:shd w:val="clear" w:color="auto" w:fill="CFF0FC"/>
          </w:tcPr>
          <w:p>
            <w:pPr>
              <w:spacing w:after="0"/>
              <w:rPr>
                <w:sz w:val="23"/>
                <w:szCs w:val="2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22,951</w:t>
            </w:r>
          </w:p>
        </w:tc>
        <w:tc>
          <w:tcPr>
            <w:tcW w:w="1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3"/>
                <w:szCs w:val="2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22,951</w:t>
            </w:r>
          </w:p>
        </w:tc>
        <w:tc>
          <w:tcPr>
            <w:tcW w:w="0" w:type="dxa"/>
            <w:vAlign w:val="bottom"/>
          </w:tcPr>
          <w:p>
            <w:pPr>
              <w:spacing w:after="0"/>
              <w:rPr>
                <w:sz w:val="1"/>
                <w:szCs w:val="1"/>
                <w:color w:val="auto"/>
              </w:rPr>
            </w:pPr>
          </w:p>
        </w:tc>
      </w:tr>
      <w:tr>
        <w:trPr>
          <w:trHeight w:val="270"/>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Commercial paper</w:t>
            </w:r>
            <w:r>
              <w:rPr>
                <w:rFonts w:ascii="Times New Roman" w:cs="Times New Roman" w:eastAsia="Times New Roman" w:hAnsi="Times New Roman"/>
                <w:sz w:val="23"/>
                <w:szCs w:val="23"/>
                <w:color w:val="auto"/>
                <w:vertAlign w:val="superscript"/>
              </w:rPr>
              <w:t>(3)</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84,382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84,382</w:t>
            </w:r>
          </w:p>
        </w:tc>
        <w:tc>
          <w:tcPr>
            <w:tcW w:w="0" w:type="dxa"/>
            <w:vAlign w:val="bottom"/>
          </w:tcPr>
          <w:p>
            <w:pPr>
              <w:spacing w:after="0"/>
              <w:rPr>
                <w:sz w:val="1"/>
                <w:szCs w:val="1"/>
                <w:color w:val="auto"/>
              </w:rPr>
            </w:pPr>
          </w:p>
        </w:tc>
      </w:tr>
      <w:tr>
        <w:trPr>
          <w:trHeight w:val="270"/>
        </w:trPr>
        <w:tc>
          <w:tcPr>
            <w:tcW w:w="39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Corporate notes</w:t>
            </w:r>
            <w:r>
              <w:rPr>
                <w:rFonts w:ascii="Times New Roman" w:cs="Times New Roman" w:eastAsia="Times New Roman" w:hAnsi="Times New Roman"/>
                <w:sz w:val="23"/>
                <w:szCs w:val="23"/>
                <w:color w:val="auto"/>
                <w:vertAlign w:val="superscript"/>
              </w:rPr>
              <w:t>(3)(4)</w:t>
            </w:r>
          </w:p>
        </w:tc>
        <w:tc>
          <w:tcPr>
            <w:tcW w:w="120" w:type="dxa"/>
            <w:vAlign w:val="bottom"/>
            <w:tcBorders>
              <w:bottom w:val="single" w:sz="8" w:color="auto"/>
            </w:tcBorders>
            <w:shd w:val="clear" w:color="auto" w:fill="CFF0FC"/>
          </w:tcPr>
          <w:p>
            <w:pPr>
              <w:spacing w:after="0"/>
              <w:rPr>
                <w:sz w:val="23"/>
                <w:szCs w:val="23"/>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209,253</w:t>
            </w:r>
          </w:p>
        </w:tc>
        <w:tc>
          <w:tcPr>
            <w:tcW w:w="100" w:type="dxa"/>
            <w:vAlign w:val="bottom"/>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spacing w:after="0"/>
              <w:rPr>
                <w:sz w:val="23"/>
                <w:szCs w:val="2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spacing w:after="0"/>
              <w:rPr>
                <w:sz w:val="23"/>
                <w:szCs w:val="2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209,253</w:t>
            </w:r>
          </w:p>
        </w:tc>
        <w:tc>
          <w:tcPr>
            <w:tcW w:w="0" w:type="dxa"/>
            <w:vAlign w:val="bottom"/>
          </w:tcPr>
          <w:p>
            <w:pPr>
              <w:spacing w:after="0"/>
              <w:rPr>
                <w:sz w:val="1"/>
                <w:szCs w:val="1"/>
                <w:color w:val="auto"/>
              </w:rPr>
            </w:pPr>
          </w:p>
        </w:tc>
      </w:tr>
      <w:tr>
        <w:trPr>
          <w:trHeight w:val="237"/>
        </w:trPr>
        <w:tc>
          <w:tcPr>
            <w:tcW w:w="3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326,627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377,458</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920" w:type="dxa"/>
            <w:vAlign w:val="bottom"/>
            <w:tcBorders>
              <w:bottom w:val="single" w:sz="8" w:color="CFF0FC"/>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Sale of future royalties</w:t>
            </w:r>
            <w:r>
              <w:rPr>
                <w:rFonts w:ascii="Times New Roman" w:cs="Times New Roman" w:eastAsia="Times New Roman" w:hAnsi="Times New Roman"/>
                <w:sz w:val="23"/>
                <w:szCs w:val="23"/>
                <w:color w:val="auto"/>
                <w:vertAlign w:val="superscript"/>
              </w:rPr>
              <w:t>(5)(6)</w:t>
            </w: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129,582</w:t>
            </w:r>
          </w:p>
        </w:tc>
        <w:tc>
          <w:tcPr>
            <w:tcW w:w="100" w:type="dxa"/>
            <w:vAlign w:val="bottom"/>
            <w:tcBorders>
              <w:bottom w:val="single" w:sz="8" w:color="CFF0FC"/>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129,582</w:t>
            </w:r>
          </w:p>
        </w:tc>
        <w:tc>
          <w:tcPr>
            <w:tcW w:w="0" w:type="dxa"/>
            <w:vAlign w:val="bottom"/>
          </w:tcPr>
          <w:p>
            <w:pPr>
              <w:spacing w:after="0"/>
              <w:rPr>
                <w:sz w:val="1"/>
                <w:szCs w:val="1"/>
                <w:color w:val="auto"/>
              </w:rPr>
            </w:pPr>
          </w:p>
        </w:tc>
      </w:tr>
      <w:tr>
        <w:trPr>
          <w:trHeight w:val="288"/>
        </w:trPr>
        <w:tc>
          <w:tcPr>
            <w:tcW w:w="3920" w:type="dxa"/>
            <w:vAlign w:val="bottom"/>
            <w:tcBorders>
              <w:bottom w:val="single" w:sz="8" w:color="CFF0FC"/>
            </w:tcBorders>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129,582</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129,582</w:t>
            </w: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117" w:lineRule="exact"/>
        <w:rPr>
          <w:sz w:val="20"/>
          <w:szCs w:val="20"/>
          <w:color w:val="auto"/>
        </w:rPr>
      </w:pPr>
    </w:p>
    <w:p>
      <w:pPr>
        <w:ind w:left="1160" w:hanging="1152"/>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cash and cash equivalents on our condensed consolidated balance sheets.</w:t>
      </w:r>
    </w:p>
    <w:p>
      <w:pPr>
        <w:spacing w:after="0" w:line="63" w:lineRule="exact"/>
        <w:rPr>
          <w:rFonts w:ascii="Times New Roman" w:cs="Times New Roman" w:eastAsia="Times New Roman" w:hAnsi="Times New Roman"/>
          <w:sz w:val="18"/>
          <w:szCs w:val="18"/>
          <w:color w:val="auto"/>
        </w:rPr>
      </w:pPr>
    </w:p>
    <w:p>
      <w:pPr>
        <w:ind w:left="1160" w:hanging="1152"/>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restricted cash on our condensed consolidated balance sheets.</w:t>
      </w:r>
    </w:p>
    <w:p>
      <w:pPr>
        <w:spacing w:after="0" w:line="63" w:lineRule="exact"/>
        <w:rPr>
          <w:rFonts w:ascii="Times New Roman" w:cs="Times New Roman" w:eastAsia="Times New Roman" w:hAnsi="Times New Roman"/>
          <w:sz w:val="18"/>
          <w:szCs w:val="18"/>
          <w:color w:val="auto"/>
        </w:rPr>
      </w:pPr>
    </w:p>
    <w:p>
      <w:pPr>
        <w:ind w:left="1160" w:hanging="1152"/>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current portion of marketable securities on our condensed consolidated balance sheets.</w:t>
      </w:r>
    </w:p>
    <w:p>
      <w:pPr>
        <w:spacing w:after="0" w:line="63" w:lineRule="exact"/>
        <w:rPr>
          <w:rFonts w:ascii="Times New Roman" w:cs="Times New Roman" w:eastAsia="Times New Roman" w:hAnsi="Times New Roman"/>
          <w:sz w:val="18"/>
          <w:szCs w:val="18"/>
          <w:color w:val="auto"/>
        </w:rPr>
      </w:pPr>
    </w:p>
    <w:p>
      <w:pPr>
        <w:ind w:left="1160" w:hanging="1152"/>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noncurrent portion of marketable securities on our condensed consolidated balance sheets.</w:t>
      </w:r>
    </w:p>
    <w:p>
      <w:pPr>
        <w:spacing w:after="0" w:line="63" w:lineRule="exact"/>
        <w:rPr>
          <w:rFonts w:ascii="Times New Roman" w:cs="Times New Roman" w:eastAsia="Times New Roman" w:hAnsi="Times New Roman"/>
          <w:sz w:val="18"/>
          <w:szCs w:val="18"/>
          <w:color w:val="auto"/>
        </w:rPr>
      </w:pPr>
    </w:p>
    <w:p>
      <w:pPr>
        <w:ind w:left="1160" w:hanging="1152"/>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current portion of liabilities related to sale of future royalties on our consolidated balance sheets.</w:t>
      </w:r>
    </w:p>
    <w:p>
      <w:pPr>
        <w:spacing w:after="0" w:line="63" w:lineRule="exact"/>
        <w:rPr>
          <w:rFonts w:ascii="Times New Roman" w:cs="Times New Roman" w:eastAsia="Times New Roman" w:hAnsi="Times New Roman"/>
          <w:sz w:val="18"/>
          <w:szCs w:val="18"/>
          <w:color w:val="auto"/>
        </w:rPr>
      </w:pPr>
    </w:p>
    <w:p>
      <w:pPr>
        <w:ind w:left="1160" w:hanging="1120"/>
        <w:spacing w:after="0"/>
        <w:tabs>
          <w:tab w:leader="none" w:pos="1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noncurrent portion of liabilities related to sale of future royalties on our consolidated balance sheets.</w:t>
      </w:r>
    </w:p>
    <w:p>
      <w:pPr>
        <w:sectPr>
          <w:pgSz w:w="11900" w:h="16838" w:orient="portrait"/>
          <w:cols w:equalWidth="0" w:num="1">
            <w:col w:w="10680"/>
          </w:cols>
          <w:pgMar w:left="320" w:top="576"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576" w:right="899" w:bottom="1440" w:gutter="0" w:footer="0" w:header="0"/>
          <w:type w:val="continuous"/>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OTHER CONDENSED CONSOLIDATED FINANCIAL STATEMENT DETAILS</w:t>
      </w:r>
    </w:p>
    <w:p>
      <w:pPr>
        <w:spacing w:after="0" w:line="12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Accrued liabilities consisted of the following as of March 31, 2026 and December 31, 2025:</w:t>
      </w:r>
    </w:p>
    <w:p>
      <w:pPr>
        <w:spacing w:after="0" w:line="273" w:lineRule="exact"/>
        <w:rPr>
          <w:sz w:val="20"/>
          <w:szCs w:val="20"/>
          <w:color w:val="auto"/>
        </w:rPr>
      </w:pPr>
    </w:p>
    <w:tbl>
      <w:tblPr>
        <w:tblLayout w:type="fixed"/>
        <w:tblInd w:w="1340" w:type="dxa"/>
        <w:tblCellMar>
          <w:top w:w="0" w:type="dxa"/>
          <w:left w:w="0" w:type="dxa"/>
          <w:bottom w:w="0" w:type="dxa"/>
          <w:right w:w="0" w:type="dxa"/>
        </w:tblCellMar>
      </w:tblPr>
      <w:tr>
        <w:trPr>
          <w:trHeight w:val="176"/>
        </w:trPr>
        <w:tc>
          <w:tcPr>
            <w:tcW w:w="6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5"/>
                <w:szCs w:val="15"/>
                <w:color w:val="auto"/>
              </w:rPr>
            </w:pPr>
          </w:p>
        </w:tc>
        <w:tc>
          <w:tcPr>
            <w:tcW w:w="14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34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43"/>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research organization and clinical trial costs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r>
      <w:tr>
        <w:trPr>
          <w:trHeight w:val="243"/>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 activities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38,657</w:t>
            </w:r>
          </w:p>
        </w:tc>
      </w:tr>
      <w:tr>
        <w:trPr>
          <w:trHeight w:val="27"/>
        </w:trPr>
        <w:tc>
          <w:tcPr>
            <w:tcW w:w="6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legal and accounting fees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43"/>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26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w:t>
            </w:r>
          </w:p>
        </w:tc>
      </w:tr>
      <w:tr>
        <w:trPr>
          <w:trHeight w:val="27"/>
        </w:trPr>
        <w:tc>
          <w:tcPr>
            <w:tcW w:w="6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revenue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r>
      <w:tr>
        <w:trPr>
          <w:trHeight w:val="243"/>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r>
      <w:tr>
        <w:trPr>
          <w:trHeight w:val="27"/>
        </w:trPr>
        <w:tc>
          <w:tcPr>
            <w:tcW w:w="6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8"/>
        </w:trPr>
        <w:tc>
          <w:tcPr>
            <w:tcW w:w="6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51,340</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-1250950</wp:posOffset>
            </wp:positionV>
            <wp:extent cx="60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Accrued compensation and benefits consisted of the following as of March 31, 2026 and December 31, 2025:</w:t>
      </w:r>
    </w:p>
    <w:p>
      <w:pPr>
        <w:spacing w:after="0" w:line="273" w:lineRule="exact"/>
        <w:rPr>
          <w:sz w:val="20"/>
          <w:szCs w:val="20"/>
          <w:color w:val="auto"/>
        </w:rPr>
      </w:pPr>
    </w:p>
    <w:tbl>
      <w:tblPr>
        <w:tblLayout w:type="fixed"/>
        <w:tblInd w:w="1340" w:type="dxa"/>
        <w:tblCellMar>
          <w:top w:w="0" w:type="dxa"/>
          <w:left w:w="0" w:type="dxa"/>
          <w:bottom w:w="0" w:type="dxa"/>
          <w:right w:w="0" w:type="dxa"/>
        </w:tblCellMar>
      </w:tblPr>
      <w:tr>
        <w:trPr>
          <w:trHeight w:val="162"/>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4"/>
                <w:szCs w:val="14"/>
                <w:color w:val="auto"/>
              </w:rPr>
            </w:pPr>
          </w:p>
        </w:tc>
        <w:tc>
          <w:tcPr>
            <w:tcW w:w="14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4"/>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7"/>
                <w:szCs w:val="17"/>
                <w:color w:val="auto"/>
              </w:rPr>
            </w:pPr>
          </w:p>
        </w:tc>
        <w:tc>
          <w:tcPr>
            <w:tcW w:w="13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44"/>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10,335</w:t>
            </w:r>
          </w:p>
        </w:tc>
      </w:tr>
      <w:tr>
        <w:trPr>
          <w:trHeight w:val="243"/>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vacation</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r>
      <w:tr>
        <w:trPr>
          <w:trHeight w:val="27"/>
        </w:trPr>
        <w:tc>
          <w:tcPr>
            <w:tcW w:w="6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17,032</w:t>
            </w:r>
          </w:p>
        </w:tc>
      </w:tr>
      <w:tr>
        <w:trPr>
          <w:trHeight w:val="243"/>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7"/>
        </w:trPr>
        <w:tc>
          <w:tcPr>
            <w:tcW w:w="6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8"/>
        </w:trPr>
        <w:tc>
          <w:tcPr>
            <w:tcW w:w="6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30,497</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Pharmakon Loan Agreement</w:t>
      </w:r>
    </w:p>
    <w:p>
      <w:pPr>
        <w:spacing w:after="0" w:line="200" w:lineRule="exact"/>
        <w:rPr>
          <w:sz w:val="20"/>
          <w:szCs w:val="20"/>
          <w:color w:val="auto"/>
        </w:rPr>
      </w:pPr>
    </w:p>
    <w:p>
      <w:pPr>
        <w:spacing w:after="0" w:line="299" w:lineRule="exact"/>
        <w:rPr>
          <w:sz w:val="20"/>
          <w:szCs w:val="20"/>
          <w:color w:val="auto"/>
        </w:rPr>
      </w:pPr>
    </w:p>
    <w:p>
      <w:pPr>
        <w:ind w:firstLine="1166"/>
        <w:spacing w:after="0" w:line="253" w:lineRule="auto"/>
        <w:rPr>
          <w:sz w:val="20"/>
          <w:szCs w:val="20"/>
          <w:color w:val="auto"/>
        </w:rPr>
      </w:pPr>
      <w:r>
        <w:rPr>
          <w:rFonts w:ascii="Times New Roman" w:cs="Times New Roman" w:eastAsia="Times New Roman" w:hAnsi="Times New Roman"/>
          <w:sz w:val="18"/>
          <w:szCs w:val="18"/>
          <w:color w:val="auto"/>
        </w:rPr>
        <w:t>On November 1, 2024, we entered into a loan agreement, or the Pharmakon Loan Agreement, with BioPharma Credit Investments V (Master) LP and BPCR Limited Partnership, each, a Lender, which are investment funds managed by Pharmakon Advisors, LP, and BioPharma Credit PLC, as collateral agent, that provides for a 5-year senior secured term loan facility of up to $250.0 million, divided into three committed tranches: (i) a Tranche A Loan in an aggregate principal amount of $125.0 million, or the Tranche A Loan, which was funded on November 1, 2024, or the Tranche A Closing Date; (ii) a Tranche B Loan in an aggregate principal amount of $75.0 million, or the Tranche B Loan, which is available, subject to certain limited conditions, at our option; and (iii) a Tranche C Loan in an aggregate principal amount of $50.0 million, or the Tranche C Loan, and together with the Tranche A Loan and the Tranche B Loan, collectively, the Term Loans, which is available to us upon reaching a specified trailing twelve-month RYTELO revenue milestone. The Tranche B Loan and the Tranche C Loan, once available, could have been requested on or prior to December 31, 2025. A portion of the proceeds from the Tranche A Loan were used to repay, in full, all amounts owed under the Hercules Loan Agreement, which was terminated effective November 1, 2024. The remaining proceeds will be used to fund our general corporate and working capital requirements.</w:t>
      </w:r>
    </w:p>
    <w:p>
      <w:pPr>
        <w:spacing w:after="0" w:line="181" w:lineRule="exact"/>
        <w:rPr>
          <w:sz w:val="20"/>
          <w:szCs w:val="20"/>
          <w:color w:val="auto"/>
        </w:rPr>
      </w:pPr>
    </w:p>
    <w:p>
      <w:pPr>
        <w:ind w:right="180" w:firstLine="1166"/>
        <w:spacing w:after="0" w:line="209" w:lineRule="exact"/>
        <w:rPr>
          <w:sz w:val="20"/>
          <w:szCs w:val="20"/>
          <w:color w:val="auto"/>
        </w:rPr>
      </w:pPr>
      <w:r>
        <w:rPr>
          <w:rFonts w:ascii="Times New Roman" w:cs="Times New Roman" w:eastAsia="Times New Roman" w:hAnsi="Times New Roman"/>
          <w:sz w:val="18"/>
          <w:szCs w:val="18"/>
          <w:color w:val="auto"/>
        </w:rPr>
        <w:t>On January 5, 2026, the Pharmakon Loan Agreement was amended to extend the date for requesting the Tranche B Loan and Tranche C Loan, once available, from December 31, 2025 to July 30, 2026. The amendment also extended the date before which any Term Loan prepayment is subject to a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whole premium, or the Makewhole Date, from November 1, 2026 to May 1, 2027. The amendment was evaluated under ASC 470-50 and determined to be a modification. The unamortized debt issuance costs will continue to be amortized over the remaining term using a revised effective interest rate. Fees incurred in connection with the amendment were not material and were expensed as incurred.</w:t>
      </w:r>
    </w:p>
    <w:p>
      <w:pPr>
        <w:sectPr>
          <w:pgSz w:w="11900" w:h="16838" w:orient="portrait"/>
          <w:cols w:equalWidth="0" w:num="1">
            <w:col w:w="11240"/>
          </w:cols>
          <w:pgMar w:left="320" w:top="5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0" w:firstLine="1166"/>
        <w:spacing w:after="0" w:line="258" w:lineRule="auto"/>
        <w:rPr>
          <w:sz w:val="20"/>
          <w:szCs w:val="20"/>
          <w:color w:val="auto"/>
        </w:rPr>
      </w:pPr>
      <w:r>
        <w:rPr>
          <w:rFonts w:ascii="Times New Roman" w:cs="Times New Roman" w:eastAsia="Times New Roman" w:hAnsi="Times New Roman"/>
          <w:sz w:val="18"/>
          <w:szCs w:val="18"/>
          <w:color w:val="auto"/>
        </w:rPr>
        <w:t>The Term Loans mature on November 1, 2029. The Term Loans bear interest at a variable rate per annum equal to 5.75% plus the three-month Secured Overnight Financing Rate, or SOFR, with a SOFR floor of 3.00%. As of inception of the Tranche A Loan, the interest rate applicable to the Tranche A Loan was 10.32%. As of March 31, 2026, the applicable interest rate was 10.80%. Interest is due and payable quarterly on the last day of each quarter. The Pharmakon Loan Agreement requires we pay an amount equal to 2.50% of the Lenders’ total committed amount to fund the Term Loans, payable with respect to each Term Loan on the funding date of such Term Loan.</w:t>
      </w:r>
    </w:p>
    <w:p>
      <w:pPr>
        <w:spacing w:after="0" w:line="183" w:lineRule="exact"/>
        <w:rPr>
          <w:sz w:val="20"/>
          <w:szCs w:val="20"/>
          <w:color w:val="auto"/>
        </w:rPr>
      </w:pPr>
    </w:p>
    <w:p>
      <w:pPr>
        <w:ind w:right="20" w:firstLine="1166"/>
        <w:spacing w:after="0" w:line="256" w:lineRule="auto"/>
        <w:rPr>
          <w:sz w:val="20"/>
          <w:szCs w:val="20"/>
          <w:color w:val="auto"/>
        </w:rPr>
      </w:pPr>
      <w:r>
        <w:rPr>
          <w:rFonts w:ascii="Times New Roman" w:cs="Times New Roman" w:eastAsia="Times New Roman" w:hAnsi="Times New Roman"/>
          <w:sz w:val="18"/>
          <w:szCs w:val="18"/>
          <w:color w:val="auto"/>
        </w:rPr>
        <w:t>We may elect to prepay the Term Loans in part or in whole prior to the Maturity Date with such prepayments being subject to a prepayment premium equal to the principal amount so prepaid multiplied by 3% if made prior to the 3rd anniversary of the funding date of the applicable Term Loan, 2% if made on or after the 3rd anniversary of the funding date of the applicable Term Loan but prior to the 4th anniversary of the funding date of the applicable Term Loan, and 1% if made on or after the 4th anniversary of the funding date of the applicable Term Loan but prior to the Maturity Date. In addition to the prepayment premium, prepayments of any Term Loan prior to the 2nd anniversary of the funding date of such Term Loan are subject to a make-whole amount equal to the sum of all interest that would have accrued through such 2nd anniversary.</w:t>
      </w:r>
    </w:p>
    <w:p>
      <w:pPr>
        <w:spacing w:after="0" w:line="187" w:lineRule="exact"/>
        <w:rPr>
          <w:sz w:val="20"/>
          <w:szCs w:val="20"/>
          <w:color w:val="auto"/>
        </w:rPr>
      </w:pPr>
    </w:p>
    <w:p>
      <w:pPr>
        <w:jc w:val="both"/>
        <w:ind w:right="240" w:firstLine="1166"/>
        <w:spacing w:after="0" w:line="289" w:lineRule="auto"/>
        <w:rPr>
          <w:sz w:val="20"/>
          <w:szCs w:val="20"/>
          <w:color w:val="auto"/>
        </w:rPr>
      </w:pPr>
      <w:r>
        <w:rPr>
          <w:rFonts w:ascii="Times New Roman" w:cs="Times New Roman" w:eastAsia="Times New Roman" w:hAnsi="Times New Roman"/>
          <w:sz w:val="17"/>
          <w:szCs w:val="17"/>
          <w:color w:val="auto"/>
        </w:rPr>
        <w:t>Our obligations under the Pharmakon Loan Agreement are secured by substantially all of our assets, including our intellectual property. Certain of our subsidiaries may, from time to time after the Tranche A Closing Date, be required to guarantee our obligations under the Pharmakon Loan Agreement and, in connection with such guarantee, pledge substantially all of their assets, including intellectual property, to secure such guarantee.</w:t>
      </w:r>
    </w:p>
    <w:p>
      <w:pPr>
        <w:spacing w:after="0" w:line="158" w:lineRule="exact"/>
        <w:rPr>
          <w:sz w:val="20"/>
          <w:szCs w:val="20"/>
          <w:color w:val="auto"/>
        </w:rPr>
      </w:pPr>
    </w:p>
    <w:p>
      <w:pPr>
        <w:ind w:firstLine="1166"/>
        <w:spacing w:after="0" w:line="219" w:lineRule="exact"/>
        <w:rPr>
          <w:sz w:val="20"/>
          <w:szCs w:val="20"/>
          <w:color w:val="auto"/>
        </w:rPr>
      </w:pPr>
      <w:r>
        <w:rPr>
          <w:rFonts w:ascii="Times New Roman" w:cs="Times New Roman" w:eastAsia="Times New Roman" w:hAnsi="Times New Roman"/>
          <w:sz w:val="18"/>
          <w:szCs w:val="18"/>
          <w:color w:val="auto"/>
        </w:rPr>
        <w:t>The Pharmakon Loan Agreement contains customary affirmative and restrictive covenants and representations and warranties. We are bound by certain affirmative covenants setting forth actions that are required during the term of the Pharmakon Loan Agreement, including, without limitation, certain information delivery requirements, obligations to maintain certain insurance, and certain notice requirements. There are no financial covenants. Additionally, we are bound by certain restrictive covenants setting forth actions that are not permitted to be taken during the term of the Pharmakon Loan Agreement, including, without limitation, (i) selling or disposing of assets, (ii) amending, modifying or waiving our rights under material agreements, (iii) consummating change in control transactions unless all amounts becoming due under the Loan Agreement are paid in full immediately upon (and concurrent with) the consummation of any such change in control transaction, (iv) incurring additional indebtedness, (v) incurring non-permitted liens or encumbrance on our or our subsidiaries’ assets, (vi) paying dividends or making any distribution or payment on or redeeming, retiring or purchasing any equity interests, and (vii) making payments on subordinated indebtedness, in each case, subject to specified exceptions. The Pharmakon Loan Agreement also contains the following events of default: (i) failure to pay principal, interest and other amounts when due, (ii) the breach of the covenants under the Loan Agreement, (iii) the occurrence of a material adverse change or the occurrence of a withdrawal event in respect of RYTELO, (iv) certain attachments of the credit parties assets and restraints on their business, (v) certain insolvency, liquidation, bankruptcy or similar events, (vi) certain cross-default of third-party indebtedness and royalty revenue contracts, (vii) the failure to pay certain judgments, (viii) material misrepresentations, (ix) the loan documents ceasing to create a valid security interest in a material portion of the collateral, (x) the occurrence of certain ERISA events, and (xi) the occurrence of a default under any subordination or intercreditor agreement, in each case subject to the grace periods, cure period and thresholds as specified in the Pharmakon Loan Agreement. Upon the occurrence and during the continuance of an event of default, the Lenders may, among other things, accelerate our obligations under the Pharmakon Loan Agreement (including all obligations for principal, interest and any applicable make-whole and prepayment premiums); provided that upon an event of default relating to certain insolvency, liquidation, bankruptcy or similar events, all outstanding obligations will be immediately accelerated. We concluded that the likelihood of such acceleration is remote, and therefore all debt is classified as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As of March 31, 2026, we were in compliance with our Pharmakon Loan Agreement covenants.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Minimum Payments</w:t>
      </w:r>
    </w:p>
    <w:p>
      <w:pPr>
        <w:spacing w:after="0" w:line="22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The following table presents future minimum payments, including interest and the end of term charge, under the Loan Agreement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(in thousands):</w:t>
      </w:r>
    </w:p>
    <w:p>
      <w:pPr>
        <w:spacing w:after="0" w:line="252" w:lineRule="exact"/>
        <w:rPr>
          <w:sz w:val="20"/>
          <w:szCs w:val="20"/>
          <w:color w:val="auto"/>
        </w:rPr>
      </w:pPr>
    </w:p>
    <w:tbl>
      <w:tblPr>
        <w:tblLayout w:type="fixed"/>
        <w:tblInd w:w="2820" w:type="dxa"/>
        <w:tblCellMar>
          <w:top w:w="0" w:type="dxa"/>
          <w:left w:w="0" w:type="dxa"/>
          <w:bottom w:w="0" w:type="dxa"/>
          <w:right w:w="0" w:type="dxa"/>
        </w:tblCellMar>
      </w:tblPr>
      <w:tr>
        <w:trPr>
          <w:trHeight w:val="270"/>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shd w:val="clear" w:color="auto" w:fill="CFF0FC"/>
          </w:tcPr>
          <w:p>
            <w:pPr>
              <w:spacing w:after="0"/>
              <w:rPr>
                <w:sz w:val="23"/>
                <w:szCs w:val="2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11,927</w:t>
            </w: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11,927</w:t>
            </w:r>
          </w:p>
        </w:tc>
      </w:tr>
      <w:tr>
        <w:trPr>
          <w:trHeight w:val="27"/>
        </w:trPr>
        <w:tc>
          <w:tcPr>
            <w:tcW w:w="4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11,960</w:t>
            </w: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134,966</w:t>
            </w:r>
          </w:p>
        </w:tc>
      </w:tr>
      <w:tr>
        <w:trPr>
          <w:trHeight w:val="27"/>
        </w:trPr>
        <w:tc>
          <w:tcPr>
            <w:tcW w:w="4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0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170,780</w:t>
            </w:r>
          </w:p>
        </w:tc>
      </w:tr>
      <w:tr>
        <w:trPr>
          <w:trHeight w:val="27"/>
        </w:trPr>
        <w:tc>
          <w:tcPr>
            <w:tcW w:w="4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4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(45,780)</w:t>
            </w: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 and issuance costs</w:t>
            </w: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w:t>
            </w:r>
          </w:p>
        </w:tc>
      </w:tr>
      <w:tr>
        <w:trPr>
          <w:trHeight w:val="27"/>
        </w:trPr>
        <w:tc>
          <w:tcPr>
            <w:tcW w:w="408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40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Noncurrent portion of debt</w:t>
            </w:r>
          </w:p>
        </w:tc>
        <w:tc>
          <w:tcPr>
            <w:tcW w:w="480" w:type="dxa"/>
            <w:vAlign w:val="bottom"/>
            <w:tcBorders>
              <w:bottom w:val="single" w:sz="8" w:color="CFF0FC"/>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119,833</w:t>
            </w:r>
          </w:p>
        </w:tc>
      </w:tr>
      <w:tr>
        <w:trPr>
          <w:trHeight w:val="20"/>
        </w:trPr>
        <w:tc>
          <w:tcPr>
            <w:tcW w:w="40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Embedded Derivatives</w:t>
      </w:r>
    </w:p>
    <w:p>
      <w:pPr>
        <w:spacing w:after="0" w:line="31" w:lineRule="exact"/>
        <w:rPr>
          <w:sz w:val="20"/>
          <w:szCs w:val="20"/>
          <w:color w:val="auto"/>
        </w:rPr>
      </w:pPr>
    </w:p>
    <w:p>
      <w:pPr>
        <w:ind w:right="40" w:firstLine="1166"/>
        <w:spacing w:after="0" w:line="253" w:lineRule="auto"/>
        <w:rPr>
          <w:sz w:val="20"/>
          <w:szCs w:val="20"/>
          <w:color w:val="auto"/>
        </w:rPr>
      </w:pPr>
      <w:r>
        <w:rPr>
          <w:rFonts w:ascii="Times New Roman" w:cs="Times New Roman" w:eastAsia="Times New Roman" w:hAnsi="Times New Roman"/>
          <w:sz w:val="18"/>
          <w:szCs w:val="18"/>
          <w:color w:val="auto"/>
        </w:rPr>
        <w:t>The conditional exercisable call option related to the event of default is considered to be an embedded derivative which is required to be bifurcated and accounted for as a separate financial instrument. In the periods presented, the value of the embedded derivative is not material and therefore, no amount has been recognized. If an event of default becomes more probable than is currently estimated, then the embedded derivative could become material in future periods and would be recognized as a separate financial instrument at that time. The embedded derivatives are classified within Level 3 of the fair value hierarchy due to the use of significant unobservable inputs.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 Related to Sale of Future Royalties</w:t>
      </w:r>
    </w:p>
    <w:p>
      <w:pPr>
        <w:spacing w:after="0" w:line="25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On November 1, 2024, we entered into a revenue participation right purchase and sale agreement, or the Royalty Pharma Agreement,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Royalty Pharma Development Funding, LLC, or Royalty Pharma. Pursuant to the Royalty Pharma Agreement, we received an upfront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 million, or the Purchase Price, in exchange for which Royalty Pharma obtained the right, or the Revenue Participation Right, to receive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calculated as a percentage of future U.S. net sales of RYTELO for each calendar quarter, or Royalty Payments, during the term contemplated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Royalty Pharma Agreement. Specifically, the revenue participation rate commences at 7.75% for annual U.S. net sales of up to and equal to</w:t>
      </w:r>
    </w:p>
    <w:p>
      <w:pPr>
        <w:spacing w:after="0" w:line="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$500.0 million declining to 1.0% for annual U.S. net sales exceeding $1.0 billion until the date when the aggregate Royalty Payments equal or exceed 1.65 times the Purchase Price, if this occurs by June 30, 2031, or the date when the aggregate Royalty Payments equal or exceed 2.0 times the Purchase Price.</w:t>
      </w:r>
    </w:p>
    <w:p>
      <w:pPr>
        <w:spacing w:after="0" w:line="181" w:lineRule="exact"/>
        <w:rPr>
          <w:sz w:val="20"/>
          <w:szCs w:val="20"/>
          <w:color w:val="auto"/>
        </w:rPr>
      </w:pPr>
    </w:p>
    <w:p>
      <w:pPr>
        <w:ind w:right="160" w:firstLine="1166"/>
        <w:spacing w:after="0" w:line="282" w:lineRule="auto"/>
        <w:rPr>
          <w:sz w:val="20"/>
          <w:szCs w:val="20"/>
          <w:color w:val="auto"/>
        </w:rPr>
      </w:pPr>
      <w:r>
        <w:rPr>
          <w:rFonts w:ascii="Times New Roman" w:cs="Times New Roman" w:eastAsia="Times New Roman" w:hAnsi="Times New Roman"/>
          <w:sz w:val="18"/>
          <w:szCs w:val="18"/>
          <w:color w:val="auto"/>
        </w:rPr>
        <w:t>In addition, we have the option to repurchase all of the Revenue Participation Right from Royalty Pharma for a purchase price of equal to the Buy-Out-Payment, as defined below, if we entered into a definitive agreement to consummate a change of control, or Buy-Back Option.</w:t>
      </w:r>
    </w:p>
    <w:p>
      <w:pPr>
        <w:spacing w:after="0" w:line="162" w:lineRule="exact"/>
        <w:rPr>
          <w:sz w:val="20"/>
          <w:szCs w:val="20"/>
          <w:color w:val="auto"/>
        </w:rPr>
      </w:pPr>
    </w:p>
    <w:p>
      <w:pPr>
        <w:ind w:firstLine="1166"/>
        <w:spacing w:after="0" w:line="266" w:lineRule="auto"/>
        <w:rPr>
          <w:sz w:val="20"/>
          <w:szCs w:val="20"/>
          <w:color w:val="auto"/>
        </w:rPr>
      </w:pPr>
      <w:r>
        <w:rPr>
          <w:rFonts w:ascii="Times New Roman" w:cs="Times New Roman" w:eastAsia="Times New Roman" w:hAnsi="Times New Roman"/>
          <w:sz w:val="18"/>
          <w:szCs w:val="18"/>
          <w:color w:val="auto"/>
        </w:rPr>
        <w:t>“Buy-Out Payment” means an amount equal to (a) 1.65 times the Purchase Price minus the aggregate Royalty Payments as of the change of control, if the change of control occurs on or prior to December 31, 2027, or (b) 2.0 times the Purchase Price minus the aggregate Royalty Payments as of the change of control, if the change of control occurs after December 31, 2027.</w:t>
      </w:r>
    </w:p>
    <w:p>
      <w:pPr>
        <w:spacing w:after="0" w:line="176" w:lineRule="exact"/>
        <w:rPr>
          <w:sz w:val="20"/>
          <w:szCs w:val="20"/>
          <w:color w:val="auto"/>
        </w:rPr>
      </w:pPr>
    </w:p>
    <w:p>
      <w:pPr>
        <w:ind w:right="120" w:firstLine="1166"/>
        <w:spacing w:after="0" w:line="258" w:lineRule="auto"/>
        <w:rPr>
          <w:sz w:val="20"/>
          <w:szCs w:val="20"/>
          <w:color w:val="auto"/>
        </w:rPr>
      </w:pPr>
      <w:r>
        <w:rPr>
          <w:rFonts w:ascii="Times New Roman" w:cs="Times New Roman" w:eastAsia="Times New Roman" w:hAnsi="Times New Roman"/>
          <w:sz w:val="18"/>
          <w:szCs w:val="18"/>
          <w:color w:val="auto"/>
        </w:rPr>
        <w:t>We accounted for the Royalty Pharma Agreement as a financing liability, primarily because it has significant continuing involvement in generating the future revenue on which the Royalty Payments are based. The liability related to Revenue Participation Right and the related interest expense are measured based on our current estimate of the timing and amount of expected future Royalty Payments expected to be paid over the estimated term of the Royalty Pharma Agreement using a discounted cashflow model. The liability is amortized using the effective interest rate method, resulting in recognition of interest expense over the estimated term of the agreement.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40" w:firstLine="1166"/>
        <w:spacing w:after="0" w:line="282" w:lineRule="auto"/>
        <w:rPr>
          <w:sz w:val="20"/>
          <w:szCs w:val="20"/>
          <w:color w:val="auto"/>
        </w:rPr>
      </w:pPr>
      <w:r>
        <w:rPr>
          <w:rFonts w:ascii="Times New Roman" w:cs="Times New Roman" w:eastAsia="Times New Roman" w:hAnsi="Times New Roman"/>
          <w:sz w:val="18"/>
          <w:szCs w:val="18"/>
          <w:color w:val="auto"/>
        </w:rPr>
        <w:t>We have determined the fair value of the liability related to the sale of future royalties is based on our current estimates of future royalties expected to be paid to Royalty Pharma over the life of the arrangement, which are considered Level 3.</w:t>
      </w:r>
    </w:p>
    <w:p>
      <w:pPr>
        <w:spacing w:after="0" w:line="16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The following table shows the activity within the liability related to sale of future royalties during the three months ended March 31, 2026:</w:t>
      </w:r>
    </w:p>
    <w:p>
      <w:pPr>
        <w:spacing w:after="0" w:line="239" w:lineRule="exact"/>
        <w:rPr>
          <w:sz w:val="20"/>
          <w:szCs w:val="20"/>
          <w:color w:val="auto"/>
        </w:rPr>
      </w:pPr>
    </w:p>
    <w:tbl>
      <w:tblPr>
        <w:tblLayout w:type="fixed"/>
        <w:tblInd w:w="1240" w:type="dxa"/>
        <w:tblCellMar>
          <w:top w:w="0" w:type="dxa"/>
          <w:left w:w="0" w:type="dxa"/>
          <w:bottom w:w="0" w:type="dxa"/>
          <w:right w:w="0" w:type="dxa"/>
        </w:tblCellMar>
      </w:tblPr>
      <w:tr>
        <w:trPr>
          <w:trHeight w:val="207"/>
        </w:trPr>
        <w:tc>
          <w:tcPr>
            <w:tcW w:w="7620" w:type="dxa"/>
            <w:vAlign w:val="bottom"/>
          </w:tcPr>
          <w:p>
            <w:pPr>
              <w:spacing w:after="0"/>
              <w:rPr>
                <w:sz w:val="17"/>
                <w:szCs w:val="17"/>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Liability Related to</w:t>
            </w:r>
          </w:p>
        </w:tc>
        <w:tc>
          <w:tcPr>
            <w:tcW w:w="0" w:type="dxa"/>
            <w:vAlign w:val="bottom"/>
          </w:tcPr>
          <w:p>
            <w:pPr>
              <w:spacing w:after="0"/>
              <w:rPr>
                <w:sz w:val="1"/>
                <w:szCs w:val="1"/>
                <w:color w:val="auto"/>
              </w:rPr>
            </w:pPr>
          </w:p>
        </w:tc>
      </w:tr>
      <w:tr>
        <w:trPr>
          <w:trHeight w:val="180"/>
        </w:trPr>
        <w:tc>
          <w:tcPr>
            <w:tcW w:w="7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5"/>
                <w:szCs w:val="15"/>
                <w:color w:val="auto"/>
              </w:rPr>
            </w:pPr>
          </w:p>
        </w:tc>
        <w:tc>
          <w:tcPr>
            <w:tcW w:w="1420" w:type="dxa"/>
            <w:vAlign w:val="bottom"/>
          </w:tcPr>
          <w:p>
            <w:pPr>
              <w:jc w:val="center"/>
              <w:ind w:right="110"/>
              <w:spacing w:after="0" w:line="180" w:lineRule="exact"/>
              <w:rPr>
                <w:sz w:val="20"/>
                <w:szCs w:val="20"/>
                <w:color w:val="auto"/>
              </w:rPr>
            </w:pPr>
            <w:r>
              <w:rPr>
                <w:rFonts w:ascii="Times New Roman" w:cs="Times New Roman" w:eastAsia="Times New Roman" w:hAnsi="Times New Roman"/>
                <w:sz w:val="18"/>
                <w:szCs w:val="18"/>
                <w:b w:val="1"/>
                <w:bCs w:val="1"/>
                <w:color w:val="auto"/>
              </w:rPr>
              <w:t>Sale of Future</w:t>
            </w:r>
          </w:p>
        </w:tc>
        <w:tc>
          <w:tcPr>
            <w:tcW w:w="0" w:type="dxa"/>
            <w:vAlign w:val="bottom"/>
          </w:tcPr>
          <w:p>
            <w:pPr>
              <w:spacing w:after="0"/>
              <w:rPr>
                <w:sz w:val="1"/>
                <w:szCs w:val="1"/>
                <w:color w:val="auto"/>
              </w:rPr>
            </w:pPr>
          </w:p>
        </w:tc>
      </w:tr>
      <w:tr>
        <w:trPr>
          <w:trHeight w:val="238"/>
        </w:trPr>
        <w:tc>
          <w:tcPr>
            <w:tcW w:w="76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Royalties</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of liability related to sale of future royalties at December 31,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129,582</w:t>
            </w:r>
          </w:p>
        </w:tc>
        <w:tc>
          <w:tcPr>
            <w:tcW w:w="0" w:type="dxa"/>
            <w:vAlign w:val="bottom"/>
          </w:tcPr>
          <w:p>
            <w:pPr>
              <w:spacing w:after="0"/>
              <w:rPr>
                <w:sz w:val="1"/>
                <w:szCs w:val="1"/>
                <w:color w:val="auto"/>
              </w:rPr>
            </w:pP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payments</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0" w:type="dxa"/>
            <w:vAlign w:val="bottom"/>
          </w:tcPr>
          <w:p>
            <w:pPr>
              <w:spacing w:after="0"/>
              <w:rPr>
                <w:sz w:val="1"/>
                <w:szCs w:val="1"/>
                <w:color w:val="auto"/>
              </w:rPr>
            </w:pPr>
          </w:p>
        </w:tc>
      </w:tr>
      <w:tr>
        <w:trPr>
          <w:trHeight w:val="26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 of liability related to sale of future royalties at March 31, 2026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129,773</w:t>
            </w:r>
          </w:p>
        </w:tc>
        <w:tc>
          <w:tcPr>
            <w:tcW w:w="0" w:type="dxa"/>
            <w:vAlign w:val="bottom"/>
          </w:tcPr>
          <w:p>
            <w:pPr>
              <w:spacing w:after="0"/>
              <w:rPr>
                <w:sz w:val="1"/>
                <w:szCs w:val="1"/>
                <w:color w:val="auto"/>
              </w:rPr>
            </w:pPr>
          </w:p>
        </w:tc>
      </w:tr>
      <w:tr>
        <w:trPr>
          <w:trHeight w:val="21"/>
        </w:trPr>
        <w:tc>
          <w:tcPr>
            <w:tcW w:w="7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firstLine="1166"/>
        <w:spacing w:after="0" w:line="252" w:lineRule="auto"/>
        <w:rPr>
          <w:sz w:val="20"/>
          <w:szCs w:val="20"/>
          <w:color w:val="auto"/>
        </w:rPr>
      </w:pPr>
      <w:r>
        <w:rPr>
          <w:rFonts w:ascii="Times New Roman" w:cs="Times New Roman" w:eastAsia="Times New Roman" w:hAnsi="Times New Roman"/>
          <w:sz w:val="18"/>
          <w:szCs w:val="18"/>
          <w:color w:val="auto"/>
        </w:rPr>
        <w:t xml:space="preserve">On March 13 and March 14, 2025, we and certain of our current and former officers were named as defendants in two putative securities class action lawsuits filed in the United States District Court for the Northern District of California captioned </w:t>
      </w:r>
      <w:r>
        <w:rPr>
          <w:rFonts w:ascii="Times New Roman" w:cs="Times New Roman" w:eastAsia="Times New Roman" w:hAnsi="Times New Roman"/>
          <w:sz w:val="18"/>
          <w:szCs w:val="18"/>
          <w:i w:val="1"/>
          <w:iCs w:val="1"/>
          <w:color w:val="auto"/>
        </w:rPr>
        <w:t>Dabestani v. Geron Corporation, et al.</w:t>
      </w:r>
      <w:r>
        <w:rPr>
          <w:rFonts w:ascii="Times New Roman" w:cs="Times New Roman" w:eastAsia="Times New Roman" w:hAnsi="Times New Roman"/>
          <w:sz w:val="18"/>
          <w:szCs w:val="18"/>
          <w:color w:val="auto"/>
        </w:rPr>
        <w:t xml:space="preserve">, No. 3:25-cv-02507 and </w:t>
      </w:r>
      <w:r>
        <w:rPr>
          <w:rFonts w:ascii="Times New Roman" w:cs="Times New Roman" w:eastAsia="Times New Roman" w:hAnsi="Times New Roman"/>
          <w:sz w:val="18"/>
          <w:szCs w:val="18"/>
          <w:i w:val="1"/>
          <w:iCs w:val="1"/>
          <w:color w:val="auto"/>
        </w:rPr>
        <w:t>Potvin v. Geron Corporation, et al.</w:t>
      </w:r>
      <w:r>
        <w:rPr>
          <w:rFonts w:ascii="Times New Roman" w:cs="Times New Roman" w:eastAsia="Times New Roman" w:hAnsi="Times New Roman"/>
          <w:sz w:val="18"/>
          <w:szCs w:val="18"/>
          <w:color w:val="auto"/>
        </w:rPr>
        <w:t xml:space="preserve">, No. 3:25-cv-02563, respectively. Both lawsuits allege violation of Sections 10(b) and 20(a) of the Securities Exchange Act of 1934, as amended, and Rule 10b-5 promulgated thereunder in connection with allegedly false and misleading statements concerning the commercial potential of RYTELO. The plaintiffs allege, among other things, that we overstated RYTELO's commercial potential by making materially false and misleading statements and/or concealing material adverse facts concerning RYTELO's commercial potential, including the lack of awareness among healthcare providers for RYTELO, the burden of monitoring requirements in administering the drug, and the impacts of seasonality and existing competition on RYTELO's sales, and that our stock price dropped when we disclosed in our earnings call on February 26, 2025 that we had observed flat revenue trends over the prior few months. The plaintiffs seek damages and interest, and an award of reasonable costs, including attorneys' and experts' fees. On May 29, 2025, the Court consolidated the Dabestani and Potvin cases into one consolidated action captioned </w:t>
      </w:r>
      <w:r>
        <w:rPr>
          <w:rFonts w:ascii="Times New Roman" w:cs="Times New Roman" w:eastAsia="Times New Roman" w:hAnsi="Times New Roman"/>
          <w:sz w:val="18"/>
          <w:szCs w:val="18"/>
          <w:i w:val="1"/>
          <w:iCs w:val="1"/>
          <w:color w:val="auto"/>
        </w:rPr>
        <w:t>In re Geron Corporation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Litigation</w:t>
      </w:r>
      <w:r>
        <w:rPr>
          <w:rFonts w:ascii="Times New Roman" w:cs="Times New Roman" w:eastAsia="Times New Roman" w:hAnsi="Times New Roman"/>
          <w:sz w:val="18"/>
          <w:szCs w:val="18"/>
          <w:color w:val="auto"/>
        </w:rPr>
        <w:t>, or the Securities Class Action, and appointed lead plaintiffs and counsel for lead plaintiffs. On August 8, 2025, lead plaintiffs filed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amended complaint. On October 7, 2025, we filed our motion to dismiss the consolidated amended complaint. A hearing on the motion to dismiss was held on March 19, 2026, and on March 30, 2026, the Court entered an order granting our motion to dismiss without prejudice. On April 13, 2026, lead plaintiffs filed a second amended complaint. We intend to move to dismiss the second amended complaint.</w:t>
      </w:r>
    </w:p>
    <w:p>
      <w:pPr>
        <w:spacing w:after="0" w:line="224" w:lineRule="exact"/>
        <w:rPr>
          <w:sz w:val="20"/>
          <w:szCs w:val="20"/>
          <w:color w:val="auto"/>
        </w:rPr>
      </w:pPr>
    </w:p>
    <w:p>
      <w:pPr>
        <w:ind w:right="120" w:firstLine="1166"/>
        <w:spacing w:after="0" w:line="252" w:lineRule="auto"/>
        <w:rPr>
          <w:sz w:val="20"/>
          <w:szCs w:val="20"/>
          <w:color w:val="auto"/>
        </w:rPr>
      </w:pPr>
      <w:r>
        <w:rPr>
          <w:rFonts w:ascii="Times New Roman" w:cs="Times New Roman" w:eastAsia="Times New Roman" w:hAnsi="Times New Roman"/>
          <w:sz w:val="18"/>
          <w:szCs w:val="18"/>
          <w:color w:val="auto"/>
        </w:rPr>
        <w:t xml:space="preserve">In addition, on April 15, 2025 and April 16, 2025, three purported stockholders filed derivative complaints, each filed in the United States District Court for the Northern District of California, captioned </w:t>
      </w:r>
      <w:r>
        <w:rPr>
          <w:rFonts w:ascii="Times New Roman" w:cs="Times New Roman" w:eastAsia="Times New Roman" w:hAnsi="Times New Roman"/>
          <w:sz w:val="18"/>
          <w:szCs w:val="18"/>
          <w:i w:val="1"/>
          <w:iCs w:val="1"/>
          <w:color w:val="auto"/>
        </w:rPr>
        <w:t>Bishop v. Scarlett, et al.</w:t>
      </w:r>
      <w:r>
        <w:rPr>
          <w:rFonts w:ascii="Times New Roman" w:cs="Times New Roman" w:eastAsia="Times New Roman" w:hAnsi="Times New Roman"/>
          <w:sz w:val="18"/>
          <w:szCs w:val="18"/>
          <w:color w:val="auto"/>
        </w:rPr>
        <w:t xml:space="preserve">, No. 3:25-cv-03356, </w:t>
      </w:r>
      <w:r>
        <w:rPr>
          <w:rFonts w:ascii="Times New Roman" w:cs="Times New Roman" w:eastAsia="Times New Roman" w:hAnsi="Times New Roman"/>
          <w:sz w:val="18"/>
          <w:szCs w:val="18"/>
          <w:i w:val="1"/>
          <w:iCs w:val="1"/>
          <w:color w:val="auto"/>
        </w:rPr>
        <w:t>Lerner v. Scarlett, et al.</w:t>
      </w:r>
      <w:r>
        <w:rPr>
          <w:rFonts w:ascii="Times New Roman" w:cs="Times New Roman" w:eastAsia="Times New Roman" w:hAnsi="Times New Roman"/>
          <w:sz w:val="18"/>
          <w:szCs w:val="18"/>
          <w:color w:val="auto"/>
        </w:rPr>
        <w:t xml:space="preserve">, No. 3:25-cv-03401, and </w:t>
      </w:r>
      <w:r>
        <w:rPr>
          <w:rFonts w:ascii="Times New Roman" w:cs="Times New Roman" w:eastAsia="Times New Roman" w:hAnsi="Times New Roman"/>
          <w:sz w:val="18"/>
          <w:szCs w:val="18"/>
          <w:i w:val="1"/>
          <w:iCs w:val="1"/>
          <w:color w:val="auto"/>
        </w:rPr>
        <w:t>Willis v. Scarlett, et al.</w:t>
      </w:r>
      <w:r>
        <w:rPr>
          <w:rFonts w:ascii="Times New Roman" w:cs="Times New Roman" w:eastAsia="Times New Roman" w:hAnsi="Times New Roman"/>
          <w:sz w:val="18"/>
          <w:szCs w:val="18"/>
          <w:color w:val="auto"/>
        </w:rPr>
        <w:t xml:space="preserve">, No: 3:25-cv-03396, respectively. The three lawsuits name certain of our current and former directors and officers and allege that they breached their fiduciary duties and violated federal securities laws by issuing allegedly false and misleading statements concerning the commercial potential of RYTELO. The allegations in each of the three derivative complaints are substantially similar to the Securities Class Action. The plaintiff seeks damages and interest, and an award of reasonable costs, including attorneys' and experts' fees. The plaintiffs in </w:t>
      </w:r>
      <w:r>
        <w:rPr>
          <w:rFonts w:ascii="Times New Roman" w:cs="Times New Roman" w:eastAsia="Times New Roman" w:hAnsi="Times New Roman"/>
          <w:sz w:val="18"/>
          <w:szCs w:val="18"/>
          <w:i w:val="1"/>
          <w:iCs w:val="1"/>
          <w:color w:val="auto"/>
        </w:rPr>
        <w:t>Bishop v. Scarlett, et al.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Willis v. Scarlett, et al. </w:t>
      </w:r>
      <w:r>
        <w:rPr>
          <w:rFonts w:ascii="Times New Roman" w:cs="Times New Roman" w:eastAsia="Times New Roman" w:hAnsi="Times New Roman"/>
          <w:sz w:val="18"/>
          <w:szCs w:val="18"/>
          <w:color w:val="auto"/>
        </w:rPr>
        <w:t>also seek punitive damages. On May 16, 2025, the Court consolidated the three derivative complaints into one consolidated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captioned </w:t>
      </w:r>
      <w:r>
        <w:rPr>
          <w:rFonts w:ascii="Times New Roman" w:cs="Times New Roman" w:eastAsia="Times New Roman" w:hAnsi="Times New Roman"/>
          <w:sz w:val="18"/>
          <w:szCs w:val="18"/>
          <w:i w:val="1"/>
          <w:iCs w:val="1"/>
          <w:color w:val="auto"/>
        </w:rPr>
        <w:t>In re Geron Corporation Derivative Litigation</w:t>
      </w:r>
      <w:r>
        <w:rPr>
          <w:rFonts w:ascii="Times New Roman" w:cs="Times New Roman" w:eastAsia="Times New Roman" w:hAnsi="Times New Roman"/>
          <w:sz w:val="18"/>
          <w:szCs w:val="18"/>
          <w:color w:val="auto"/>
        </w:rPr>
        <w:t>, or the Consolidated Derivative Action. On June 17, 2025, the Court stayed the Consolidated Derivative Action pending a final ruling on the anticipated motion to dismiss in the Securities Class Action.</w:t>
      </w:r>
    </w:p>
    <w:p>
      <w:pPr>
        <w:spacing w:after="0" w:line="6" w:lineRule="exact"/>
        <w:rPr>
          <w:sz w:val="20"/>
          <w:szCs w:val="20"/>
          <w:color w:val="auto"/>
        </w:rPr>
      </w:pPr>
    </w:p>
    <w:p>
      <w:pPr>
        <w:ind w:right="220" w:firstLine="1166"/>
        <w:spacing w:after="0" w:line="260" w:lineRule="auto"/>
        <w:rPr>
          <w:sz w:val="20"/>
          <w:szCs w:val="20"/>
          <w:color w:val="auto"/>
        </w:rPr>
      </w:pPr>
      <w:r>
        <w:rPr>
          <w:rFonts w:ascii="Times New Roman" w:cs="Times New Roman" w:eastAsia="Times New Roman" w:hAnsi="Times New Roman"/>
          <w:sz w:val="18"/>
          <w:szCs w:val="18"/>
          <w:color w:val="auto"/>
        </w:rPr>
        <w:t>On August 29, 2025, a purported stockholder made a demand on our board of directors to commence a civil action against certain of our current and former directors for breaching their fiduciary duties and violating the</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9" w:name="page20"/>
    <w:bookmarkEnd w:id="1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120"/>
        <w:spacing w:after="0" w:line="272" w:lineRule="auto"/>
        <w:rPr>
          <w:sz w:val="20"/>
          <w:szCs w:val="20"/>
          <w:color w:val="auto"/>
        </w:rPr>
      </w:pPr>
      <w:r>
        <w:rPr>
          <w:rFonts w:ascii="Times New Roman" w:cs="Times New Roman" w:eastAsia="Times New Roman" w:hAnsi="Times New Roman"/>
          <w:sz w:val="17"/>
          <w:szCs w:val="17"/>
          <w:color w:val="auto"/>
        </w:rPr>
        <w:t xml:space="preserve">securities laws by issuing allegedly false and misleading statements concerning the commercial potential of RYTELO. On September 19, 2025, the board of directors responded that it would defer a final decision on the demand given the other pending derivative lawsuits and the Securities Class Action. On October 7, 2025, the purported stockholder filed a suit in the United States District Court for the Northern District of California, captioned </w:t>
      </w:r>
      <w:r>
        <w:rPr>
          <w:rFonts w:ascii="Times New Roman" w:cs="Times New Roman" w:eastAsia="Times New Roman" w:hAnsi="Times New Roman"/>
          <w:sz w:val="17"/>
          <w:szCs w:val="17"/>
          <w:i w:val="1"/>
          <w:iCs w:val="1"/>
          <w:color w:val="auto"/>
        </w:rPr>
        <w:t>Jae Hyung v.</w:t>
      </w:r>
    </w:p>
    <w:p>
      <w:pPr>
        <w:spacing w:after="0" w:line="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Bir, et al.</w:t>
      </w:r>
      <w:r>
        <w:rPr>
          <w:rFonts w:ascii="Times New Roman" w:cs="Times New Roman" w:eastAsia="Times New Roman" w:hAnsi="Times New Roman"/>
          <w:sz w:val="18"/>
          <w:szCs w:val="18"/>
          <w:color w:val="auto"/>
        </w:rPr>
        <w:t>, No. 3:25-cv-08575. The derivative lawsuit names certain of our current and former directors and officers. The allegations in the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lawsuit are substantially similar to the Securities Class Action and the Consolidated Derivative Action. The plaintiff seeks damages and an award of reasonable costs, including attorneys’ and experts’ fees. On January 23 and February 19, 2026, respectively, two additional purported stockholders each made a similar demand on our board of directors. On March 25, 2026, the board of directors similarly responded that it would defer a final decision on the demands given the other pending derivative lawsuits and the Securities Class Action.</w:t>
      </w:r>
    </w:p>
    <w:p>
      <w:pPr>
        <w:spacing w:after="0" w:line="214" w:lineRule="exact"/>
        <w:rPr>
          <w:sz w:val="20"/>
          <w:szCs w:val="20"/>
          <w:color w:val="auto"/>
        </w:rPr>
      </w:pPr>
    </w:p>
    <w:p>
      <w:pPr>
        <w:ind w:right="80" w:firstLine="1166"/>
        <w:spacing w:after="0" w:line="312" w:lineRule="auto"/>
        <w:rPr>
          <w:sz w:val="20"/>
          <w:szCs w:val="20"/>
          <w:color w:val="auto"/>
        </w:rPr>
      </w:pPr>
      <w:r>
        <w:rPr>
          <w:rFonts w:ascii="Times New Roman" w:cs="Times New Roman" w:eastAsia="Times New Roman" w:hAnsi="Times New Roman"/>
          <w:sz w:val="17"/>
          <w:szCs w:val="17"/>
          <w:color w:val="auto"/>
        </w:rPr>
        <w:t>It is possible that additional lawsuits will be filed or allegations made by stockholders with respect to these same or other matters and also naming us and/or our officers and directors as defendants. We intend to vigorously defend against the claims brought by the plaintiffs in these matters.</w:t>
      </w:r>
    </w:p>
    <w:p>
      <w:pPr>
        <w:spacing w:after="0" w:line="140" w:lineRule="exact"/>
        <w:rPr>
          <w:sz w:val="20"/>
          <w:szCs w:val="20"/>
          <w:color w:val="auto"/>
        </w:rPr>
      </w:pPr>
    </w:p>
    <w:p>
      <w:pPr>
        <w:ind w:right="120" w:firstLine="1166"/>
        <w:spacing w:after="0" w:line="271" w:lineRule="auto"/>
        <w:rPr>
          <w:sz w:val="20"/>
          <w:szCs w:val="20"/>
          <w:color w:val="auto"/>
        </w:rPr>
      </w:pPr>
      <w:r>
        <w:rPr>
          <w:rFonts w:ascii="Times New Roman" w:cs="Times New Roman" w:eastAsia="Times New Roman" w:hAnsi="Times New Roman"/>
          <w:sz w:val="17"/>
          <w:szCs w:val="17"/>
          <w:color w:val="auto"/>
        </w:rPr>
        <w:t>Such lawsuits are subject to inherent uncertainties, and the actual defense and disposition costs will depend upon many unknown factors. The outcome of the pending lawsuits and any other related lawsuits is necessarily uncertain. We could be forced to expend significant resources and may incur substantial legal fees and costs in defending against the pending lawsuits and any other related lawsuits, and we may not prevail. Monitoring, initiating and defending against legal actions is time-consuming for our management, is likely to be expensive, and may detract from our ability to fully focus our internal resources on our business activities. Additionally, we may not be successful in having any such lawsuits dismissed or settled within the limits of our insurance coverage. Given the early stage of these lawsuits and the inherent uncertainly of litigation, we cannot predict how long it may take to resolve the pending lawsuits or the potential outcome or possible amount of any damages. As such, we currently are unable to reasonably estimate the possible losses or a range of possible losses that may result from these matters, if any. Expenses associated with the pending lawsuits and any potential related lawsuits could be material to our consolidated financial statements if we do not prevail in the defense of such lawsuits, or even if we do prevail.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Indemnifications to Officers and Directors</w:t>
      </w:r>
    </w:p>
    <w:p>
      <w:pPr>
        <w:spacing w:after="0" w:line="121" w:lineRule="exact"/>
        <w:rPr>
          <w:sz w:val="20"/>
          <w:szCs w:val="20"/>
          <w:color w:val="auto"/>
        </w:rPr>
      </w:pPr>
    </w:p>
    <w:p>
      <w:pPr>
        <w:ind w:firstLine="1166"/>
        <w:spacing w:after="0" w:line="255" w:lineRule="auto"/>
        <w:rPr>
          <w:sz w:val="20"/>
          <w:szCs w:val="20"/>
          <w:color w:val="auto"/>
        </w:rPr>
      </w:pPr>
      <w:r>
        <w:rPr>
          <w:rFonts w:ascii="Times New Roman" w:cs="Times New Roman" w:eastAsia="Times New Roman" w:hAnsi="Times New Roman"/>
          <w:sz w:val="18"/>
          <w:szCs w:val="18"/>
          <w:color w:val="auto"/>
        </w:rPr>
        <w:t>Our corporate bylaws require that we indemnify our directors, as well as those who act as directors and officers of other entities at our request, against expenses, judgments, fines, settlements and other amounts actually and reasonably incurred in connection with any proceedings arising out of their services to Geron. In addition, we have entered into separate indemnification agreements with each of our directors and officers which provide for indemnification of these directors and officers under similar circumstances and under additional circumstances. The indemnification obligations are more fully described in our bylaws and the indemnification agreements. We purchase standard insurance to cover claims or a portion of the claims made against our directors and officers. Since a maximum obligation is not explicitly stated in our bylaws or in our indemnification agreements and will depend on the facts and circumstances that arise out of any future claims, the overall maximum amount of the obligations cannot be reasonably estimated.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Plan</w:t>
      </w:r>
    </w:p>
    <w:p>
      <w:pPr>
        <w:spacing w:after="0" w:line="121" w:lineRule="exact"/>
        <w:rPr>
          <w:sz w:val="20"/>
          <w:szCs w:val="20"/>
          <w:color w:val="auto"/>
        </w:rPr>
      </w:pPr>
    </w:p>
    <w:p>
      <w:pPr>
        <w:ind w:right="120" w:firstLine="1166"/>
        <w:spacing w:after="0" w:line="220" w:lineRule="exact"/>
        <w:rPr>
          <w:sz w:val="20"/>
          <w:szCs w:val="20"/>
          <w:color w:val="auto"/>
        </w:rPr>
      </w:pPr>
      <w:r>
        <w:rPr>
          <w:rFonts w:ascii="Times New Roman" w:cs="Times New Roman" w:eastAsia="Times New Roman" w:hAnsi="Times New Roman"/>
          <w:sz w:val="18"/>
          <w:szCs w:val="18"/>
          <w:color w:val="auto"/>
        </w:rPr>
        <w:t>We maintain two severance plans: one applied to (i) employees hired on or before December 31, 2021, and (ii) employees at the Senior Vice President level and above (i.e., executives), and the other applies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executive employees hired on or after January 1, 2022. The plans provide severance benefits upon qualifying terminations, including enhanced benefits in connection with a change of control. As of March 31, 2026, all executive officers have employment agreements with severance provisions and will receive the greater of the severance benefits provided under their agreements or the applicable plan (without duplication).</w:t>
      </w:r>
    </w:p>
    <w:p>
      <w:pPr>
        <w:spacing w:after="0" w:line="200" w:lineRule="exact"/>
        <w:rPr>
          <w:sz w:val="20"/>
          <w:szCs w:val="20"/>
          <w:color w:val="auto"/>
        </w:rPr>
      </w:pPr>
    </w:p>
    <w:p>
      <w:pPr>
        <w:spacing w:after="0" w:line="3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firstLine="1166"/>
        <w:spacing w:after="0" w:line="282" w:lineRule="auto"/>
        <w:rPr>
          <w:sz w:val="20"/>
          <w:szCs w:val="20"/>
          <w:color w:val="auto"/>
        </w:rPr>
      </w:pPr>
      <w:r>
        <w:rPr>
          <w:rFonts w:ascii="Times New Roman" w:cs="Times New Roman" w:eastAsia="Times New Roman" w:hAnsi="Times New Roman"/>
          <w:sz w:val="18"/>
          <w:szCs w:val="18"/>
          <w:color w:val="auto"/>
        </w:rPr>
        <w:t>In December 2025, we implemented a workforce reduction, representing approximately one-third of our workforce prior to the reduction in headcount. See Note 11 on Restructuring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Commitments</w:t>
      </w:r>
    </w:p>
    <w:p>
      <w:pPr>
        <w:spacing w:after="0" w:line="188" w:lineRule="exact"/>
        <w:rPr>
          <w:sz w:val="20"/>
          <w:szCs w:val="20"/>
          <w:color w:val="auto"/>
        </w:rPr>
      </w:pPr>
    </w:p>
    <w:p>
      <w:pPr>
        <w:ind w:right="180" w:firstLine="1166"/>
        <w:spacing w:after="0" w:line="228" w:lineRule="exact"/>
        <w:rPr>
          <w:sz w:val="20"/>
          <w:szCs w:val="20"/>
          <w:color w:val="auto"/>
        </w:rPr>
      </w:pPr>
      <w:r>
        <w:rPr>
          <w:rFonts w:ascii="Times New Roman" w:cs="Times New Roman" w:eastAsia="Times New Roman" w:hAnsi="Times New Roman"/>
          <w:sz w:val="18"/>
          <w:szCs w:val="18"/>
          <w:color w:val="auto"/>
        </w:rPr>
        <w:t>We have engaged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 manufacturers to manufacture and supply additional quantities of RYTELO that meet applicable regulatory standards for current and potential future clinical trials and commercial uses. Related to those contract manufacturing agreements, we have binding commercial purchase commitments of approximately $15.9 million that can be cancelled, but would incur cancellation penalties, and approximately $37.7 million in agreed upon manufacturing commitments that can be adjusted based on commercial demand of RYTELO as of March 31, 2026. Based on current plans and information available, the related commercial purchase commitments are intended to be utilized.</w:t>
      </w:r>
    </w:p>
    <w:p>
      <w:pPr>
        <w:spacing w:after="0" w:line="198" w:lineRule="exact"/>
        <w:rPr>
          <w:sz w:val="20"/>
          <w:szCs w:val="20"/>
          <w:color w:val="auto"/>
        </w:rPr>
      </w:pPr>
    </w:p>
    <w:p>
      <w:pPr>
        <w:ind w:right="100" w:firstLine="1166"/>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we enter into agreements with CROs for clinical trials for clinical and commercial supply manufacturing and with other vendors for non-clinical research studies, investigator-led trials and other services and products for operating purposes. We have not considered these payments to be contractual obligations since the contracts are generally cancellable at any time by us upon less than 180 days’ prior written notice. We also have certain in-license agreements that require us to pay milestones to such third parties upon achievement of certain development, regulatory or commercial milestones. Amounts related to contingent milestone payments are not considered contractual obligations as they are contingent on the successful achievement of certain development, regulatory approval and commercial milestones, which may not be achieved.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LOSS PER COMMON SHARE</w:t>
      </w:r>
    </w:p>
    <w:p>
      <w:pPr>
        <w:spacing w:after="0" w:line="229" w:lineRule="exact"/>
        <w:rPr>
          <w:sz w:val="20"/>
          <w:szCs w:val="20"/>
          <w:color w:val="auto"/>
        </w:rPr>
      </w:pPr>
    </w:p>
    <w:p>
      <w:pPr>
        <w:ind w:right="200" w:firstLine="1166"/>
        <w:spacing w:after="0" w:line="282" w:lineRule="auto"/>
        <w:rPr>
          <w:sz w:val="20"/>
          <w:szCs w:val="20"/>
          <w:color w:val="auto"/>
        </w:rPr>
      </w:pPr>
      <w:r>
        <w:rPr>
          <w:rFonts w:ascii="Times New Roman" w:cs="Times New Roman" w:eastAsia="Times New Roman" w:hAnsi="Times New Roman"/>
          <w:sz w:val="18"/>
          <w:szCs w:val="18"/>
          <w:color w:val="auto"/>
        </w:rPr>
        <w:t>Basic net income (loss) per share is calculated by dividing net income (loss) by the weighted-average number of shares of common stock outstanding for the periods presented without consideration of potential common shares.</w:t>
      </w:r>
    </w:p>
    <w:p>
      <w:pPr>
        <w:spacing w:after="0" w:line="162" w:lineRule="exact"/>
        <w:rPr>
          <w:sz w:val="20"/>
          <w:szCs w:val="20"/>
          <w:color w:val="auto"/>
        </w:rPr>
      </w:pPr>
    </w:p>
    <w:p>
      <w:pPr>
        <w:ind w:firstLine="1166"/>
        <w:spacing w:after="0" w:line="255" w:lineRule="auto"/>
        <w:rPr>
          <w:sz w:val="20"/>
          <w:szCs w:val="20"/>
          <w:color w:val="auto"/>
        </w:rPr>
      </w:pPr>
      <w:r>
        <w:rPr>
          <w:rFonts w:ascii="Times New Roman" w:cs="Times New Roman" w:eastAsia="Times New Roman" w:hAnsi="Times New Roman"/>
          <w:sz w:val="18"/>
          <w:szCs w:val="18"/>
          <w:color w:val="auto"/>
        </w:rPr>
        <w:t>Diluted net income per share would be calculated by adjusting the weighted-average number of shares of common stock outstanding for the dilutive effect of additional shares of common stock that would have been outstanding if potentially dilutive securities had been issued, as determined using the treasury-stock method. Potential dilutive securities consist of outstanding stock options and warrants to purchase our common stock. Diluted net loss per share excludes potential dilutive securities for all periods presented as their effect would be anti-dilutive. Accordingly, basic and diluted net loss per share is the same for all periods presented in the accompanying condensed consolidated statements of operations. Since we incurred a net loss for the three months ended March 31, 2026 and 2025, the diluted net loss per share calculation excludes potential dilutive securities of 91,845,095 and 80,776,089, respectively, related to outstanding stock options and warrants as their effect would have been anti-dilutive.</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REPORTING</w:t>
      </w:r>
    </w:p>
    <w:p>
      <w:pPr>
        <w:spacing w:after="0" w:line="229" w:lineRule="exact"/>
        <w:rPr>
          <w:sz w:val="20"/>
          <w:szCs w:val="20"/>
          <w:color w:val="auto"/>
        </w:rPr>
      </w:pPr>
    </w:p>
    <w:p>
      <w:pPr>
        <w:ind w:right="20" w:firstLine="1166"/>
        <w:spacing w:after="0" w:line="266" w:lineRule="auto"/>
        <w:rPr>
          <w:sz w:val="20"/>
          <w:szCs w:val="20"/>
          <w:color w:val="auto"/>
        </w:rPr>
      </w:pPr>
      <w:r>
        <w:rPr>
          <w:rFonts w:ascii="Times New Roman" w:cs="Times New Roman" w:eastAsia="Times New Roman" w:hAnsi="Times New Roman"/>
          <w:sz w:val="18"/>
          <w:szCs w:val="18"/>
          <w:color w:val="auto"/>
        </w:rPr>
        <w:t>We are currently developing therapies for the treatment of hematologic malignancies. To date, our main source of product revenue has been from U.S. sales of RYTELO, which began shipping to customers in June 2024. Additionally, we have generated insignificant royalty and license fee revenue under agreements that out-license technology to various companies.</w:t>
      </w:r>
    </w:p>
    <w:p>
      <w:pPr>
        <w:spacing w:after="0" w:line="176" w:lineRule="exact"/>
        <w:rPr>
          <w:sz w:val="20"/>
          <w:szCs w:val="20"/>
          <w:color w:val="auto"/>
        </w:rPr>
      </w:pPr>
    </w:p>
    <w:p>
      <w:pPr>
        <w:ind w:right="120" w:firstLine="1166"/>
        <w:spacing w:after="0" w:line="266" w:lineRule="auto"/>
        <w:rPr>
          <w:sz w:val="20"/>
          <w:szCs w:val="20"/>
          <w:color w:val="auto"/>
        </w:rPr>
      </w:pPr>
      <w:r>
        <w:rPr>
          <w:rFonts w:ascii="Times New Roman" w:cs="Times New Roman" w:eastAsia="Times New Roman" w:hAnsi="Times New Roman"/>
          <w:sz w:val="18"/>
          <w:szCs w:val="18"/>
          <w:color w:val="auto"/>
        </w:rPr>
        <w:t>We have one operating and reportable segment. We define our operating segment based on internally reported financial information that is regularly reviewed by the Chief Operating Decision Maker, or CODM, to analyze financial performance, make decisions, and allocate resources. Our President and Chief Executive Officer is the CODM.</w:t>
      </w:r>
    </w:p>
    <w:p>
      <w:pPr>
        <w:spacing w:after="0" w:line="176" w:lineRule="exact"/>
        <w:rPr>
          <w:sz w:val="20"/>
          <w:szCs w:val="20"/>
          <w:color w:val="auto"/>
        </w:rPr>
      </w:pPr>
    </w:p>
    <w:p>
      <w:pPr>
        <w:ind w:right="100" w:firstLine="1166"/>
        <w:spacing w:after="0" w:line="266" w:lineRule="auto"/>
        <w:rPr>
          <w:sz w:val="20"/>
          <w:szCs w:val="20"/>
          <w:color w:val="auto"/>
        </w:rPr>
      </w:pPr>
      <w:r>
        <w:rPr>
          <w:rFonts w:ascii="Times New Roman" w:cs="Times New Roman" w:eastAsia="Times New Roman" w:hAnsi="Times New Roman"/>
          <w:sz w:val="18"/>
          <w:szCs w:val="18"/>
          <w:color w:val="auto"/>
        </w:rPr>
        <w:t>The CODM reviews the segment's profit or loss based on net (loss) income reported on the consolidated statement of operations and comprehensive (loss) income and considers forecast-to-actuals variances on a quarterly basis for expenses that are deemed significant. Further, the CODM reviews the segment's assets based on total assets reported on the condensed consolidated balance sheet. All long-lived assets are held in the U.S.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460" w:firstLine="1166"/>
        <w:spacing w:after="0" w:line="266" w:lineRule="auto"/>
        <w:rPr>
          <w:sz w:val="20"/>
          <w:szCs w:val="20"/>
          <w:color w:val="auto"/>
        </w:rPr>
      </w:pPr>
      <w:r>
        <w:rPr>
          <w:rFonts w:ascii="Times New Roman" w:cs="Times New Roman" w:eastAsia="Times New Roman" w:hAnsi="Times New Roman"/>
          <w:sz w:val="18"/>
          <w:szCs w:val="18"/>
          <w:color w:val="auto"/>
        </w:rPr>
        <w:t>Our CODM views specific categories within research and development expenses and selling, general and administrative expenses as significant given the correlation between cash burn and profitability. The following table reconciles reported revenues to net (loss) income under the significant expense principle for the three months ended March 31, 2026 and 2025:</w:t>
      </w:r>
    </w:p>
    <w:p>
      <w:pPr>
        <w:spacing w:after="0" w:line="223" w:lineRule="exact"/>
        <w:rPr>
          <w:sz w:val="20"/>
          <w:szCs w:val="20"/>
          <w:color w:val="auto"/>
        </w:rPr>
      </w:pPr>
    </w:p>
    <w:tbl>
      <w:tblPr>
        <w:tblLayout w:type="fixed"/>
        <w:tblInd w:w="176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4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3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 net</w:t>
            </w:r>
          </w:p>
        </w:tc>
        <w:tc>
          <w:tcPr>
            <w:tcW w:w="4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Royalties</w:t>
            </w:r>
          </w:p>
        </w:tc>
        <w:tc>
          <w:tcPr>
            <w:tcW w:w="4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5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clinical expenses</w:t>
            </w:r>
          </w:p>
        </w:tc>
        <w:tc>
          <w:tcPr>
            <w:tcW w:w="4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Chemistry, manufacturing, and control expenses</w:t>
            </w: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0"/>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charges</w:t>
            </w:r>
          </w:p>
        </w:tc>
        <w:tc>
          <w:tcPr>
            <w:tcW w:w="4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expenses</w:t>
            </w:r>
          </w:p>
        </w:tc>
        <w:tc>
          <w:tcPr>
            <w:tcW w:w="4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charges</w:t>
            </w: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segment expenses*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and other income (expense)</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segment expenses includes stock-based compensation expense and other general and administrative expenses largely resulting from personnel costs for individuals in administrative functions and legal and professional fees.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RESTRUCTURING</w:t>
      </w:r>
    </w:p>
    <w:p>
      <w:pPr>
        <w:spacing w:after="0" w:line="121" w:lineRule="exact"/>
        <w:rPr>
          <w:sz w:val="20"/>
          <w:szCs w:val="20"/>
          <w:color w:val="auto"/>
        </w:rPr>
      </w:pPr>
    </w:p>
    <w:p>
      <w:pPr>
        <w:ind w:right="60" w:firstLine="1166"/>
        <w:spacing w:after="0" w:line="261" w:lineRule="auto"/>
        <w:rPr>
          <w:sz w:val="20"/>
          <w:szCs w:val="20"/>
          <w:color w:val="auto"/>
        </w:rPr>
      </w:pPr>
      <w:r>
        <w:rPr>
          <w:rFonts w:ascii="Times New Roman" w:cs="Times New Roman" w:eastAsia="Times New Roman" w:hAnsi="Times New Roman"/>
          <w:sz w:val="18"/>
          <w:szCs w:val="18"/>
          <w:color w:val="auto"/>
        </w:rPr>
        <w:t>In December 2025, the board of directors approved a workforce reduction representing approximately one-third of our workforce prior to the reduction in headcount. In 2025, we incurred approximately $17.0 million in restructuring and restructuring-related charges, primarily consisting of one-time employee severance payments, healthcare and related benefits, and other employee-related costs. The charges were recorded within restructuring charges in the consolidated statements of operations.</w:t>
      </w:r>
    </w:p>
    <w:p>
      <w:pPr>
        <w:spacing w:after="0" w:line="18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workforce reduction was substantially completed in the first quarter of 2026. There were no restructuring charges during the three months ended March 31, 2025.</w:t>
      </w:r>
    </w:p>
    <w:p>
      <w:pPr>
        <w:spacing w:after="0" w:line="196" w:lineRule="exact"/>
        <w:rPr>
          <w:sz w:val="20"/>
          <w:szCs w:val="20"/>
          <w:color w:val="auto"/>
        </w:rPr>
      </w:pPr>
    </w:p>
    <w:tbl>
      <w:tblPr>
        <w:tblLayout w:type="fixed"/>
        <w:tblInd w:w="2800" w:type="dxa"/>
        <w:tblCellMar>
          <w:top w:w="0" w:type="dxa"/>
          <w:left w:w="0" w:type="dxa"/>
          <w:bottom w:w="0" w:type="dxa"/>
          <w:right w:w="0" w:type="dxa"/>
        </w:tblCellMar>
      </w:tblPr>
      <w:tr>
        <w:trPr>
          <w:trHeight w:val="241"/>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Restructuring</w:t>
            </w:r>
          </w:p>
        </w:tc>
      </w:tr>
      <w:tr>
        <w:trPr>
          <w:trHeight w:val="243"/>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balance as of December 31, 2025</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17,032</w:t>
            </w: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 and adjustments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7"/>
        </w:trPr>
        <w:tc>
          <w:tcPr>
            <w:tcW w:w="48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(13,532)</w:t>
            </w:r>
          </w:p>
        </w:tc>
      </w:tr>
      <w:tr>
        <w:trPr>
          <w:trHeight w:val="23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balance as of March 31, 2026</w:t>
            </w:r>
          </w:p>
        </w:tc>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w:t>
            </w:r>
          </w:p>
        </w:tc>
      </w:tr>
      <w:tr>
        <w:trPr>
          <w:trHeight w:val="27"/>
        </w:trPr>
        <w:tc>
          <w:tcPr>
            <w:tcW w:w="48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1"/>
        </w:trPr>
        <w:tc>
          <w:tcPr>
            <w:tcW w:w="48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57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type w:val="continuous"/>
        </w:sectPr>
      </w:pPr>
    </w:p>
    <w:bookmarkStart w:id="22" w:name="page23"/>
    <w:bookmarkEnd w:id="22"/>
    <w:p>
      <w:pPr>
        <w:ind w:right="960"/>
        <w:spacing w:after="0" w:line="377"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right="40" w:firstLine="1166"/>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that involve risks and uncertainties, as well as assumptions that, if they never materialize or prove incorrect, could cause our results to differ materially from those expressed or implied by such forward-looking statements. All statements other than statements of historical fact are statements that could be deemed forward-looking statements. In some cases, forward-looking statements can be identified by the use of terminology such as “may,” “expects,” “plans,” “intends,” “will,” “should,” “projects,” “believes,” “predicts,” “anticipates,” “estimates,” “potential” or “continue,” or the negative thereof or other comparable terminology. These statements are within the meaning of the “safe harbor” provisions of the Private Securities Litigation Reform Act of 1995. These statements appear throughout this Report and are statements regarding our intent, belief, or current expectations, primarily with respect to our business and related industry developments. You should not place undue reliance on these forward-looking statements, which apply only as of the date of this Report. Our actual results could differ materially from those anticipated in these forward-looking statements for many reasons, including the risks faced by us and described in Part II, Item 1A, titled “Risk Factors,” and in “Management’s Discussion and Analysis of Financial Condition and Results of Operations” in Part I, Item 2 of this Report.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1166"/>
        <w:spacing w:after="0" w:line="289" w:lineRule="auto"/>
        <w:rPr>
          <w:sz w:val="20"/>
          <w:szCs w:val="20"/>
          <w:color w:val="auto"/>
        </w:rPr>
      </w:pPr>
      <w:r>
        <w:rPr>
          <w:rFonts w:ascii="Times New Roman" w:cs="Times New Roman" w:eastAsia="Times New Roman" w:hAnsi="Times New Roman"/>
          <w:sz w:val="17"/>
          <w:szCs w:val="17"/>
          <w:color w:val="auto"/>
        </w:rPr>
        <w:t>The following discussion should be read in conjunction with the unaudited condensed consolidated financial statements and notes thereto included in Part I, Item 1 of this Report; and the sections titled “Business” and “Management’s Discussion and Analysis of Financial Condition and Results of Operations” contained in our Form 10-K for the year ended December 31, 2025 as filed with the SEC on March 2, 2026, or the 2025 Form 10-K.</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121" w:lineRule="exact"/>
        <w:rPr>
          <w:sz w:val="20"/>
          <w:szCs w:val="20"/>
          <w:color w:val="auto"/>
        </w:rPr>
      </w:pPr>
    </w:p>
    <w:p>
      <w:pPr>
        <w:ind w:right="20" w:firstLine="1166"/>
        <w:spacing w:after="0" w:line="239" w:lineRule="auto"/>
        <w:rPr>
          <w:sz w:val="20"/>
          <w:szCs w:val="20"/>
          <w:color w:val="auto"/>
        </w:rPr>
      </w:pPr>
      <w:r>
        <w:rPr>
          <w:rFonts w:ascii="Times New Roman" w:cs="Times New Roman" w:eastAsia="Times New Roman" w:hAnsi="Times New Roman"/>
          <w:sz w:val="18"/>
          <w:szCs w:val="18"/>
          <w:color w:val="auto"/>
        </w:rPr>
        <w:t>We are a commercial-stage biopharmaceutical company aiming to change lives by changing the course of blood cancer. Our first-in-class telomerase inhibitor, RYTELO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(imetelstat), harnesses Nobel Prize-winning science in a treatment that scientific evidence suggests reduces proliferation of malignant cells, allowing production of new healthy cells, which we believe drives differentiated clinical benefits, potentially altering the underlying course and modifying the disease of these hematologic malignancies.</w:t>
      </w:r>
    </w:p>
    <w:p>
      <w:pPr>
        <w:spacing w:after="0" w:line="198" w:lineRule="exact"/>
        <w:rPr>
          <w:sz w:val="20"/>
          <w:szCs w:val="20"/>
          <w:color w:val="auto"/>
        </w:rPr>
      </w:pPr>
    </w:p>
    <w:p>
      <w:pPr>
        <w:ind w:firstLine="1166"/>
        <w:spacing w:after="0" w:line="246" w:lineRule="auto"/>
        <w:rPr>
          <w:sz w:val="20"/>
          <w:szCs w:val="20"/>
          <w:color w:val="auto"/>
        </w:rPr>
      </w:pPr>
      <w:r>
        <w:rPr>
          <w:rFonts w:ascii="Times New Roman" w:cs="Times New Roman" w:eastAsia="Times New Roman" w:hAnsi="Times New Roman"/>
          <w:sz w:val="18"/>
          <w:szCs w:val="18"/>
          <w:color w:val="auto"/>
        </w:rPr>
        <w:t>We commercially launched RYTELO in the U.S. in June 2024 following its approval by the U.S. Food and Drug Administration, or FDA, on June 6, 2024 for the treatment of adult patients with low- to intermediate-1 risk myelodysplastic syndromes, or lower-risk MDS, with transfusion-dependent, or TD, anemia requiring four or more red blood cell units over eight weeks who have not responded to, or have lost response to, or are ineligible for, erythropoiesis-stimulating agents, or ESAs. Lower-risk MDS is a progressive blood cancer with high unmet need, where many patients with anemia become dependent on red blood cell transfusions, which can be associated with clinical consequences and decreased quality of life. We believe that the high unmet need in lower-risk MDS and significant product differentiation, including observed benefit, of RYTELO in difficult-to-treat sub-populations such as patients with high transfusion burden and ring sideroblast negative, or RS- patients, as well as the favorable FDA label and the National Comprehensive Cancer Network, or NCCN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Clinical Practice Guidelines in Oncology, or NCCN Guidelines®, position RYTELO to potentially compete for significant market segments in lower-risk MDS, including second-line ESA ineligible patients regardless of prior treatment or RS status and first-line ESA ineligible patients.</w:t>
      </w:r>
    </w:p>
    <w:p>
      <w:pPr>
        <w:spacing w:after="0" w:line="195" w:lineRule="exact"/>
        <w:rPr>
          <w:sz w:val="20"/>
          <w:szCs w:val="20"/>
          <w:color w:val="auto"/>
        </w:rPr>
      </w:pPr>
    </w:p>
    <w:p>
      <w:pPr>
        <w:ind w:right="160" w:firstLine="1166"/>
        <w:spacing w:after="0" w:line="254" w:lineRule="auto"/>
        <w:rPr>
          <w:sz w:val="20"/>
          <w:szCs w:val="20"/>
          <w:color w:val="auto"/>
        </w:rPr>
      </w:pPr>
      <w:r>
        <w:rPr>
          <w:rFonts w:ascii="Times New Roman" w:cs="Times New Roman" w:eastAsia="Times New Roman" w:hAnsi="Times New Roman"/>
          <w:sz w:val="18"/>
          <w:szCs w:val="18"/>
          <w:color w:val="auto"/>
        </w:rPr>
        <w:t>In March 2025, we were granted marketing authorization by the European Commission, or EC, for RYTELO as a monotherapy for the treatment of adult patients with TD anemia due to very low, low or intermediate risk myelodysplastic syndromes without an isolated deletion 5q cytogenetic, or non-del 5q, abnormality and who had an unsatisfactory response to or are ineligible for erythropoietin-based therapy. We are preparing for the planned commercialization of RYTELO in select EU markets in 2026. At this time, we are working with experienced third parties for the commercialization and marketing of RYTELO in the EU, including on critical path activities for the planned launch of RYTELO in the EU, such as reimbursement, Health Technology Assessment, or HTA, submissions, market access and distribution. To enable paid access to patients outside the U.S. through approved Named Patient Programs, or NPPs, in 2025, we partnered with Tanner Pharma, a distributor with broad global reach to support patient access. To date, product revenue pursuant to NPPs have been minimal.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3" w:name="page24"/>
    <w:bookmarkEnd w:id="23"/>
    <w:p>
      <w:pPr>
        <w:ind w:right="40" w:firstLine="1166"/>
        <w:spacing w:after="0" w:line="258" w:lineRule="auto"/>
        <w:rPr>
          <w:sz w:val="20"/>
          <w:szCs w:val="20"/>
          <w:color w:val="auto"/>
        </w:rPr>
      </w:pPr>
      <w:r>
        <w:rPr>
          <w:rFonts w:ascii="Times New Roman" w:cs="Times New Roman" w:eastAsia="Times New Roman" w:hAnsi="Times New Roman"/>
          <w:sz w:val="18"/>
          <w:szCs w:val="18"/>
          <w:color w:val="auto"/>
        </w:rPr>
        <w:t>In addition to lower-risk MDS, we are developing imetelstat for the treatment of other myeloid hematologic malignancies. Our Phase 3 IMpactMF clinical trial is evaluating imetelstat in patients with intermediate-2 or high-risk myelofibrosis, or MF, who have relapsed after or are refractory to treatment with a janus associate kinase inhibitor, or JAK inhibitor, or relapsed/refractory MF with overall survival, or OS, as the primary endpoint. As of September 2025, the trial was fully enrolled. Based on our current planning assumptions for event (death) rates in the trial, we expect the interim analysis for OS in IMpactMF may occur in the second half of 2026 and the final analysis may occur in the second half of 2028.</w:t>
      </w:r>
    </w:p>
    <w:p>
      <w:pPr>
        <w:spacing w:after="0" w:line="183" w:lineRule="exact"/>
        <w:rPr>
          <w:sz w:val="20"/>
          <w:szCs w:val="20"/>
          <w:color w:val="auto"/>
        </w:rPr>
      </w:pPr>
    </w:p>
    <w:p>
      <w:pPr>
        <w:ind w:right="760" w:firstLine="1166"/>
        <w:spacing w:after="0" w:line="282" w:lineRule="auto"/>
        <w:rPr>
          <w:sz w:val="20"/>
          <w:szCs w:val="20"/>
          <w:color w:val="auto"/>
        </w:rPr>
      </w:pPr>
      <w:r>
        <w:rPr>
          <w:rFonts w:ascii="Times New Roman" w:cs="Times New Roman" w:eastAsia="Times New Roman" w:hAnsi="Times New Roman"/>
          <w:sz w:val="18"/>
          <w:szCs w:val="18"/>
          <w:color w:val="auto"/>
        </w:rPr>
        <w:t>We believe that telomerase inhibition with imetelstat represents a novel mechanism of action with unique benefits in hematologic malignancies and potentially in other tumor types.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21" w:lineRule="exact"/>
        <w:rPr>
          <w:sz w:val="20"/>
          <w:szCs w:val="20"/>
          <w:color w:val="auto"/>
        </w:rPr>
      </w:pPr>
    </w:p>
    <w:p>
      <w:pPr>
        <w:ind w:right="20" w:firstLine="1166"/>
        <w:spacing w:after="0" w:line="261" w:lineRule="auto"/>
        <w:rPr>
          <w:sz w:val="20"/>
          <w:szCs w:val="20"/>
          <w:color w:val="auto"/>
        </w:rPr>
      </w:pPr>
      <w:r>
        <w:rPr>
          <w:rFonts w:ascii="Times New Roman" w:cs="Times New Roman" w:eastAsia="Times New Roman" w:hAnsi="Times New Roman"/>
          <w:sz w:val="18"/>
          <w:szCs w:val="18"/>
          <w:color w:val="auto"/>
        </w:rPr>
        <w:t>Since our inception, we have primarily financed our operations through the sale of equity securities, draw downs on our debt facilities, cash generated from sales of RYTELO, interest income on our marketable securities, payments we received under the Royalty Pharma Agreement and our prior collaborative and licensing arrangements. As of March 31, 2026, we had approximately $341.0 million in cash, cash equivalents, restricted cash and marketable securities.</w:t>
      </w:r>
    </w:p>
    <w:p>
      <w:pPr>
        <w:spacing w:after="0" w:line="180" w:lineRule="exact"/>
        <w:rPr>
          <w:sz w:val="20"/>
          <w:szCs w:val="20"/>
          <w:color w:val="auto"/>
        </w:rPr>
      </w:pPr>
    </w:p>
    <w:p>
      <w:pPr>
        <w:ind w:right="20" w:firstLine="1166"/>
        <w:spacing w:after="0" w:line="254" w:lineRule="auto"/>
        <w:rPr>
          <w:sz w:val="20"/>
          <w:szCs w:val="20"/>
          <w:color w:val="auto"/>
        </w:rPr>
      </w:pPr>
      <w:r>
        <w:rPr>
          <w:rFonts w:ascii="Times New Roman" w:cs="Times New Roman" w:eastAsia="Times New Roman" w:hAnsi="Times New Roman"/>
          <w:sz w:val="18"/>
          <w:szCs w:val="18"/>
          <w:color w:val="auto"/>
        </w:rPr>
        <w:t>We began commercializing RYTELO in June 2024, and the commercial potential of and our ability to successfully commercialize RYTELO remains unproven. Our success in commercializing RYTELO will require, among other things, effective sales, marketing, manufacturing, distribution, information systems and pricing strategies, as well as compliance with applicable laws and regulations. Prior to our commercialization of RYTELO, substantially all of our revenues were generated from payments under prior collaboration agreements, and milestones, royalties and other revenues from our licensing arrangements. We reported a small profit for the year ended December 31, 2015, and we have not reported any profit since. We have incurred significant net losses since our inception in 1990, resulting principally from costs incurred in connection with our research and development activities and from general and administrative costs associated with our operations. As of March 31, 2026, we had an accumulated deficit of approximately $1.9 billion.</w:t>
      </w:r>
    </w:p>
    <w:p>
      <w:pPr>
        <w:spacing w:after="0" w:line="192" w:lineRule="exact"/>
        <w:rPr>
          <w:sz w:val="20"/>
          <w:szCs w:val="20"/>
          <w:color w:val="auto"/>
        </w:rPr>
      </w:pPr>
    </w:p>
    <w:p>
      <w:pPr>
        <w:ind w:right="40" w:firstLine="1166"/>
        <w:spacing w:after="0" w:line="218" w:lineRule="exact"/>
        <w:rPr>
          <w:sz w:val="20"/>
          <w:szCs w:val="20"/>
          <w:color w:val="auto"/>
        </w:rPr>
      </w:pPr>
      <w:r>
        <w:rPr>
          <w:rFonts w:ascii="Times New Roman" w:cs="Times New Roman" w:eastAsia="Times New Roman" w:hAnsi="Times New Roman"/>
          <w:sz w:val="18"/>
          <w:szCs w:val="18"/>
          <w:color w:val="auto"/>
        </w:rPr>
        <w:t>On November 1, 2024, we entered into a loan agreement, or the Pharmakon Loan Agreement, with BioPharma Credit Investments V (Master) LP and BPCR Limited Partnership, which are investment funds managed by Pharmakon Advisors, LP, and BioPharma Credit PLC, as collateral agent, that provides for a 5-year senior secured term loan facility of up to $250.0 million, divided into three committed tranches: (i) a $125.0 million Tranche A Loan, which was funded on November 1, 2024; (ii) a $75.0 million Tranche B Loan, which is available subject to certain limited conditions, at our option; and (iii) a $50.0 million Tranche C Loan, which is available to us upon reaching a specified trailing twelve-month RYTELO revenue milestone, and together with the Tranche A Loan and the Tranche B Loan, collectively, the Term Loans. On January 5, 2026, the Pharmakon Loan Agreement was amended to extend the date for requesting the Tranche B Loan and Tranche C Loan, once available, from December 31, 2025 to July 30, 2026. The amendment also extended the date before which any Term Loan prepayment is subject to a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premium, or the Makewhole Date, from November 1, 2026 to May 1, 2027. See Note 7 on Debt in Notes to Condensed Consolidated Financial Statements of this Report for additional information on the Pharmakon Loan Agreement.</w:t>
      </w:r>
    </w:p>
    <w:p>
      <w:pPr>
        <w:spacing w:after="0" w:line="203" w:lineRule="exact"/>
        <w:rPr>
          <w:sz w:val="20"/>
          <w:szCs w:val="20"/>
          <w:color w:val="auto"/>
        </w:rPr>
      </w:pPr>
    </w:p>
    <w:p>
      <w:pPr>
        <w:ind w:firstLine="1166"/>
        <w:spacing w:after="0" w:line="253" w:lineRule="auto"/>
        <w:rPr>
          <w:sz w:val="20"/>
          <w:szCs w:val="20"/>
          <w:color w:val="auto"/>
        </w:rPr>
      </w:pPr>
      <w:r>
        <w:rPr>
          <w:rFonts w:ascii="Times New Roman" w:cs="Times New Roman" w:eastAsia="Times New Roman" w:hAnsi="Times New Roman"/>
          <w:sz w:val="18"/>
          <w:szCs w:val="18"/>
          <w:color w:val="auto"/>
        </w:rPr>
        <w:t>On November 1, 2024, we entered into a revenue participation right purchase and sale agreement, or the Royalty Pharma Agreement, with Royalty Pharma Development Funding, LLC, or Royalty Pharma. Pursuant to the Royalty Pharma Agreement, we received an upfront payment of $125.0 million, or the Purchase Price, in exchange for which Royalty Pharma obtained the right to receive tiered royalty payments with respect to annual U.S. net sales, or Annual Net Sales, of RYTELO beginning on July 1, 2024, ranging from: (i) 7.75% of Annual Net Sales up to $500.0 million; (ii) 3.0% of Annual Net Sales in excess of $500.0 million but less than or equal to $1.0 billion; and (iii) 1.0% in respect of Annual Net Sales in excess of $1.0 billion, or the Royalty Payments. The Royalty Payments to Royalty Pharma are capped, such that they will cease upon reaching a multiple of 1.65 times the Purchase Price if Royalty Pharma receives Royalty Payments in that amount in respect of net sales occurring on or before June 30, 2031, or upon reaching a multiple of 2.0 times the Purchase Price thereafter. Our Royalty Payment obligations under the Royalty Pharma Agreement may be discharged in connection with a change of control of Geron in an amount equal to 1.65 times the Purchase Price minus the aggregate Royalty Payments received by Royalty Pharma as of the date of the closing of the change of control, if the closing of the change of control occurs on or prior to December 31, 2027, or in an amount equal to 2.0 times the Purchase Price minus the aggregate Royalty Payments received by Royalty Pharma as of the date of the closing of the change of control, if the closing of the change of control occurs after December 31, 2027. There are no other royalties payable on RYTELO, which was developed internally and is exclusively owned by Geron.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4" w:name="page25"/>
    <w:bookmarkEnd w:id="24"/>
    <w:p>
      <w:pPr>
        <w:ind w:firstLine="1166"/>
        <w:spacing w:after="0" w:line="258" w:lineRule="auto"/>
        <w:rPr>
          <w:sz w:val="20"/>
          <w:szCs w:val="20"/>
          <w:color w:val="auto"/>
        </w:rPr>
      </w:pPr>
      <w:r>
        <w:rPr>
          <w:rFonts w:ascii="Times New Roman" w:cs="Times New Roman" w:eastAsia="Times New Roman" w:hAnsi="Times New Roman"/>
          <w:sz w:val="18"/>
          <w:szCs w:val="18"/>
          <w:color w:val="auto"/>
        </w:rPr>
        <w:t>In December 2025, we implemented a workforce reduction, representing approximately one-third of our workforce prior to the reduction in headcount. We recorded approximately $17.0 million in restructuring and restructuring-related charges in the fourth quarter of 2025, primarily consisting of one-time employee severance payments, healthcare and related benefits, and other employee-related costs. The workforce reduction was substantially completed in the first quarter of 2026. If we are unable to realize the expected operational efficiencies and cost savings from the restructuring, our operating results and financial condition could be adversely affected.</w:t>
      </w:r>
    </w:p>
    <w:p>
      <w:pPr>
        <w:spacing w:after="0" w:line="183" w:lineRule="exact"/>
        <w:rPr>
          <w:sz w:val="20"/>
          <w:szCs w:val="20"/>
          <w:color w:val="auto"/>
        </w:rPr>
      </w:pPr>
    </w:p>
    <w:p>
      <w:pPr>
        <w:ind w:right="40" w:firstLine="1166"/>
        <w:spacing w:after="0" w:line="261" w:lineRule="auto"/>
        <w:rPr>
          <w:sz w:val="20"/>
          <w:szCs w:val="20"/>
          <w:color w:val="auto"/>
        </w:rPr>
      </w:pPr>
      <w:r>
        <w:rPr>
          <w:rFonts w:ascii="Times New Roman" w:cs="Times New Roman" w:eastAsia="Times New Roman" w:hAnsi="Times New Roman"/>
          <w:sz w:val="18"/>
          <w:szCs w:val="18"/>
          <w:color w:val="auto"/>
        </w:rPr>
        <w:t>The significance of future losses, future revenues and any potential future profitability will depend primarily on the clinical and commercial success of RYTELO, our sole product. In this regard, our ability to generate meaningful revenue from product sales and achieve profitability is wholly dependent on our ability to successfully commercialize RYTELO in the U.S. for lower-risk MDS or to expand its indications of use. We have seen and may continue to see variability in RYTELO sales trends.</w:t>
      </w:r>
    </w:p>
    <w:p>
      <w:pPr>
        <w:spacing w:after="0" w:line="180" w:lineRule="exact"/>
        <w:rPr>
          <w:sz w:val="20"/>
          <w:szCs w:val="20"/>
          <w:color w:val="auto"/>
        </w:rPr>
      </w:pPr>
    </w:p>
    <w:p>
      <w:pPr>
        <w:ind w:right="120" w:firstLine="1166"/>
        <w:spacing w:after="0" w:line="253" w:lineRule="auto"/>
        <w:rPr>
          <w:sz w:val="20"/>
          <w:szCs w:val="20"/>
          <w:color w:val="auto"/>
        </w:rPr>
      </w:pPr>
      <w:r>
        <w:rPr>
          <w:rFonts w:ascii="Times New Roman" w:cs="Times New Roman" w:eastAsia="Times New Roman" w:hAnsi="Times New Roman"/>
          <w:sz w:val="18"/>
          <w:szCs w:val="18"/>
          <w:color w:val="auto"/>
        </w:rPr>
        <w:t>Our commercial strategy is designed to ensure that RYTELO reaches eligible patients when they are most likely to benefit. Our commercial execution is focused on targeted engagement with high-volume accounts that treat earlier-line patients, investment in non-personal promotion and third-party education to further consistent, high-quality messaging across multiple touchpoints, and cross-functional execution of effective account management. However, our strategy to drive sales growth and our ongoing commercialization efforts has not to date achieved and may not in the future achieve meaningful sales growth, which may require us to, among others, further adjust or amend our commercialization strategy and plans and incur significant expenses, and there can be no assurance that we will be able to grow RYTELO net product revenue in future periods. In particular, our strategy may not drive new patient starts across the breadth of the eligible patient population in RYTELO's approved indication, particularly across appropriate second-line patients in RYTELO's approved indication, in a timely manner or at all, or the duration of therapy could be shorter than we expect, each of which would limit RYTELO’s growth potential and could preclude or delay our ability to generate meaningful revenue from product sales and to achieve profitability.</w:t>
      </w:r>
    </w:p>
    <w:p>
      <w:pPr>
        <w:spacing w:after="0" w:line="194" w:lineRule="exact"/>
        <w:rPr>
          <w:sz w:val="20"/>
          <w:szCs w:val="20"/>
          <w:color w:val="auto"/>
        </w:rPr>
      </w:pPr>
    </w:p>
    <w:p>
      <w:pPr>
        <w:ind w:right="60" w:firstLine="1166"/>
        <w:spacing w:after="0" w:line="254" w:lineRule="auto"/>
        <w:rPr>
          <w:sz w:val="20"/>
          <w:szCs w:val="20"/>
          <w:color w:val="auto"/>
        </w:rPr>
      </w:pPr>
      <w:r>
        <w:rPr>
          <w:rFonts w:ascii="Times New Roman" w:cs="Times New Roman" w:eastAsia="Times New Roman" w:hAnsi="Times New Roman"/>
          <w:sz w:val="18"/>
          <w:szCs w:val="18"/>
          <w:color w:val="auto"/>
        </w:rPr>
        <w:t>In addition, in an effort to expand its indications of use, we are also developing RYTELO for the treatment of several myeloid hematologic malignancies that will continue to require additional time and significant investment in clinical trials to complete. We also expect to continue to seek regulatory approvals of RYTELO in jurisdictions outside of the U.S., such as our recent marketing authorization in the EU, and to establish arrangements with third parties to assist us in the commercialization of RYTELO in such jurisdictions. As a result, we expect research and development expenses and selling, general and administrative expenses to continue to be substantial as we continue to support the commercialization of RYTELO in the U.S. and further development of RYTELO, including the conduct and completion of our IMpactMF Phase 3 clinical trial, as well as our ongoing Phase 1 IMproveMF combination clinical trial in frontline MF, our Phase 2 investigator-led IMpress clinical trial in higher-risk MDS and acute myeloid leukemia, and our Phase 1/2 investigator-led IMAGINE clinical trial in relapsed/refractory acute myeloid leukemia, and as we pursue paths to make RYTELO available to eligible LR-MDS patients outside of the U.S., including in the EU.</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100" w:firstLine="1166"/>
        <w:spacing w:after="0" w:line="261"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in accordance with U.S. generally accepted accounting principles for interim financial information. The preparation of these financial statements requires management to make estimates and assumptions that affect the reported assets and liabilities and disclosure of contingent assets and liabilities as of the date of the financial statements and the reported amounts of revenues and expenses during the reporting period.</w:t>
      </w:r>
    </w:p>
    <w:p>
      <w:pPr>
        <w:spacing w:after="0" w:line="180" w:lineRule="exact"/>
        <w:rPr>
          <w:sz w:val="20"/>
          <w:szCs w:val="20"/>
          <w:color w:val="auto"/>
        </w:rPr>
      </w:pPr>
    </w:p>
    <w:p>
      <w:pPr>
        <w:ind w:right="40" w:firstLine="1166"/>
        <w:spacing w:after="0" w:line="255" w:lineRule="auto"/>
        <w:rPr>
          <w:sz w:val="20"/>
          <w:szCs w:val="20"/>
          <w:color w:val="auto"/>
        </w:rPr>
      </w:pPr>
      <w:r>
        <w:rPr>
          <w:rFonts w:ascii="Times New Roman" w:cs="Times New Roman" w:eastAsia="Times New Roman" w:hAnsi="Times New Roman"/>
          <w:sz w:val="18"/>
          <w:szCs w:val="18"/>
          <w:color w:val="auto"/>
        </w:rPr>
        <w:t>Estimates and assumptions about future events and their effects cannot be determined with certainty. We base our estimates on historical experience and on various other assumptions believed to be applicable and reasonable under the circumstances. These estimates may change as new events occur, as additional information is obtained and as our operating environment changes. These changes historically have been minor and have been included in the condensed consolidated financial statements as soon as they became known. Based on a critical assessment of our accounting policies and the underlying judgments and uncertainties affecting the application of those policies, management believes that our condensed consolidated financial statements are fairly stated in accordance with accounting principles generally accepted in the U.S., and present a meaningful presentation of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5" w:name="page26"/>
    <w:bookmarkEnd w:id="25"/>
    <w:p>
      <w:pPr>
        <w:ind w:right="20" w:firstLine="1166"/>
        <w:spacing w:after="0" w:line="266" w:lineRule="auto"/>
        <w:rPr>
          <w:sz w:val="20"/>
          <w:szCs w:val="20"/>
          <w:color w:val="auto"/>
        </w:rPr>
      </w:pPr>
      <w:r>
        <w:rPr>
          <w:rFonts w:ascii="Times New Roman" w:cs="Times New Roman" w:eastAsia="Times New Roman" w:hAnsi="Times New Roman"/>
          <w:sz w:val="18"/>
          <w:szCs w:val="18"/>
          <w:color w:val="auto"/>
        </w:rPr>
        <w:t>A critical accounting policy is one that is both important to the portrayal of our financial condition and results of operations and requires management’s most difficult, subjective or complex judgments, often as a result of the need to make estimates about the effect of matters that are inherently uncertain.</w:t>
      </w:r>
    </w:p>
    <w:p>
      <w:pPr>
        <w:spacing w:after="0" w:line="176" w:lineRule="exact"/>
        <w:rPr>
          <w:sz w:val="20"/>
          <w:szCs w:val="20"/>
          <w:color w:val="auto"/>
        </w:rPr>
      </w:pPr>
    </w:p>
    <w:p>
      <w:pPr>
        <w:ind w:right="160" w:firstLine="1166"/>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are described in Item 7, “Critical Accounting Policies and Estimates” in our 2025 Form 10-K. There have been no significant changes in our critical accounting policies and estimates during the three months ended March 31, 2026, as compared to the critical accounting policies and estimates disclosed in our 2025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0" w:firstLine="1166"/>
        <w:spacing w:after="0" w:line="258" w:lineRule="auto"/>
        <w:rPr>
          <w:sz w:val="20"/>
          <w:szCs w:val="20"/>
          <w:color w:val="auto"/>
        </w:rPr>
      </w:pPr>
      <w:r>
        <w:rPr>
          <w:rFonts w:ascii="Times New Roman" w:cs="Times New Roman" w:eastAsia="Times New Roman" w:hAnsi="Times New Roman"/>
          <w:sz w:val="18"/>
          <w:szCs w:val="18"/>
          <w:color w:val="auto"/>
        </w:rPr>
        <w:t>Our results of operations have fluctuated from period to period and may continue to fluctuate in the future. Results of operations for any period may be unrelated to results of operations for any other period. Thus, historical results should not be viewed as indicative of future operating results. In this regard, although we have begun to recognize revenue from RYTELO product sales in the U.S., we are early in our commercialization efforts and our related strategy to drive sales growth in the U.S. We expect that our sales revenue may continue to vary from period to period as a result of the evolving effects of our commercialization strategy and as our commercialization efforts otherwise progress.</w:t>
      </w:r>
    </w:p>
    <w:p>
      <w:pPr>
        <w:spacing w:after="0" w:line="183" w:lineRule="exact"/>
        <w:rPr>
          <w:sz w:val="20"/>
          <w:szCs w:val="20"/>
          <w:color w:val="auto"/>
        </w:rPr>
      </w:pPr>
    </w:p>
    <w:p>
      <w:pPr>
        <w:ind w:firstLine="1166"/>
        <w:spacing w:after="0" w:line="252" w:lineRule="auto"/>
        <w:rPr>
          <w:sz w:val="20"/>
          <w:szCs w:val="20"/>
          <w:color w:val="auto"/>
        </w:rPr>
      </w:pPr>
      <w:r>
        <w:rPr>
          <w:rFonts w:ascii="Times New Roman" w:cs="Times New Roman" w:eastAsia="Times New Roman" w:hAnsi="Times New Roman"/>
          <w:sz w:val="18"/>
          <w:szCs w:val="18"/>
          <w:color w:val="auto"/>
        </w:rPr>
        <w:t>RYTELO is our only product approved for marketing in the U.S. and in the EU for certain patients with lower-risk MDS. Revenue based on sales of RYTELO is dependent on our ability to successfully commercialize RYTELO in the U.S. and the EU and to obtain regulatory approvals to commercialize RYTELO in other jurisdictions and in other indications. We are subject to risks common to companies in our industry and at our stage of development, including, but not limited to, risks inherent in the development, manufacture, regulatory approval for and commercialization of RYTELO; uncertainty of non-clinical and clinical trial results or regulatory approvals or clearances; the future development of imetelstat by us and its use by patients generally, including any future efficacy or safety results from clinical or commercial use that may cause the benefit-risk profile of imetelstat to become unacceptable; the uncertain and unpredictable drug research and development process; our ability to obtain and maintain contractual arrangements, strategic partnerships, collaborations, alliances or licensing arrangements with third parties to assist us with the commercialization of RYTELO in jurisdictions outside of the U.S.; overcoming disruptions and/or delays due to macroeconomic or other global conditions, such as further changes in tariffs and other trade restrictions, renegotiation of existing international trade agreements or further escalation of trade tensions, inflation, fluctuations in interest rates, prospects of a recession, government shutdowns, bank failures and other disruptions to financial systems, civil or political unrest, military conflicts, pandemics or other health crises and supply chain and resource issues; our ability to obtain additional capital if and when needed; enforcement of our patent and proprietary rights; reliance upon our CROs, contract manufacturing organizations, or CMOs, consultants, licensees, investigators and other third parties; and potential competition.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6" w:name="page27"/>
    <w:bookmarkEnd w:id="26"/>
    <w:p>
      <w:pPr>
        <w:ind w:left="118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4"/>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3"/>
        </w:trPr>
        <w:tc>
          <w:tcPr>
            <w:tcW w:w="4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86"/>
        </w:trPr>
        <w:tc>
          <w:tcPr>
            <w:tcW w:w="4100" w:type="dxa"/>
            <w:vAlign w:val="bottom"/>
          </w:tcPr>
          <w:p>
            <w:pPr>
              <w:spacing w:after="0"/>
              <w:rPr>
                <w:sz w:val="16"/>
                <w:szCs w:val="16"/>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Change %</w:t>
            </w:r>
          </w:p>
        </w:tc>
      </w:tr>
      <w:tr>
        <w:trPr>
          <w:trHeight w:val="37"/>
        </w:trPr>
        <w:tc>
          <w:tcPr>
            <w:tcW w:w="4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27"/>
        </w:trPr>
        <w:tc>
          <w:tcPr>
            <w:tcW w:w="4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8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thousands, except for percentage data)</w:t>
            </w:r>
          </w:p>
        </w:tc>
        <w:tc>
          <w:tcPr>
            <w:tcW w:w="1720" w:type="dxa"/>
            <w:vAlign w:val="bottom"/>
          </w:tcPr>
          <w:p>
            <w:pPr>
              <w:spacing w:after="0"/>
              <w:rPr>
                <w:sz w:val="19"/>
                <w:szCs w:val="19"/>
                <w:color w:val="auto"/>
              </w:rPr>
            </w:pPr>
          </w:p>
        </w:tc>
      </w:tr>
      <w:tr>
        <w:trPr>
          <w:trHeight w:val="37"/>
        </w:trPr>
        <w:tc>
          <w:tcPr>
            <w:tcW w:w="4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4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33"/>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 revenue, net</w:t>
            </w:r>
          </w:p>
        </w:tc>
        <w:tc>
          <w:tcPr>
            <w:tcW w:w="1120" w:type="dxa"/>
            <w:vAlign w:val="bottom"/>
          </w:tcPr>
          <w:p>
            <w:pPr>
              <w:jc w:val="right"/>
              <w:ind w:right="94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51,771</w:t>
            </w:r>
          </w:p>
        </w:tc>
        <w:tc>
          <w:tcPr>
            <w:tcW w:w="100" w:type="dxa"/>
            <w:vAlign w:val="bottom"/>
          </w:tcPr>
          <w:p>
            <w:pPr>
              <w:spacing w:after="0"/>
              <w:rPr>
                <w:sz w:val="20"/>
                <w:szCs w:val="20"/>
                <w:color w:val="auto"/>
              </w:rPr>
            </w:pPr>
          </w:p>
        </w:tc>
        <w:tc>
          <w:tcPr>
            <w:tcW w:w="1080" w:type="dxa"/>
            <w:vAlign w:val="bottom"/>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39,436</w:t>
            </w:r>
          </w:p>
        </w:tc>
        <w:tc>
          <w:tcPr>
            <w:tcW w:w="100" w:type="dxa"/>
            <w:vAlign w:val="bottom"/>
          </w:tcPr>
          <w:p>
            <w:pPr>
              <w:spacing w:after="0"/>
              <w:rPr>
                <w:sz w:val="20"/>
                <w:szCs w:val="20"/>
                <w:color w:val="auto"/>
              </w:rPr>
            </w:pPr>
          </w:p>
        </w:tc>
        <w:tc>
          <w:tcPr>
            <w:tcW w:w="1140" w:type="dxa"/>
            <w:vAlign w:val="bottom"/>
          </w:tcPr>
          <w:p>
            <w:pPr>
              <w:jc w:val="right"/>
              <w:ind w:right="96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12,335</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53"/>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Royalties</w:t>
            </w:r>
          </w:p>
        </w:tc>
        <w:tc>
          <w:tcPr>
            <w:tcW w:w="11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30"/>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51,837</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39,603</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12,234</w:t>
            </w: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and operating expenses:</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3"/>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goods sold</w:t>
            </w:r>
          </w:p>
        </w:tc>
        <w:tc>
          <w:tcPr>
            <w:tcW w:w="1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r>
      <w:tr>
        <w:trPr>
          <w:trHeight w:val="253"/>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14,956</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15,078</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3"/>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35,425</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40,023</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(4,598)</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80"/>
        </w:trPr>
        <w:tc>
          <w:tcPr>
            <w:tcW w:w="4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charges</w:t>
            </w:r>
          </w:p>
        </w:tc>
        <w:tc>
          <w:tcPr>
            <w:tcW w:w="1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30"/>
        </w:trPr>
        <w:tc>
          <w:tcPr>
            <w:tcW w:w="4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1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51,679</w:t>
            </w:r>
          </w:p>
        </w:tc>
        <w:tc>
          <w:tcPr>
            <w:tcW w:w="1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56,307</w:t>
            </w:r>
          </w:p>
        </w:tc>
        <w:tc>
          <w:tcPr>
            <w:tcW w:w="1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(4,628)</w:t>
            </w:r>
          </w:p>
        </w:tc>
        <w:tc>
          <w:tcPr>
            <w:tcW w:w="100" w:type="dxa"/>
            <w:vAlign w:val="bottom"/>
            <w:tcBorders>
              <w:top w:val="single" w:sz="8" w:color="auto"/>
              <w:bottom w:val="single" w:sz="8" w:color="auto"/>
            </w:tcBorders>
          </w:tcPr>
          <w:p>
            <w:pPr>
              <w:spacing w:after="0"/>
              <w:rPr>
                <w:sz w:val="20"/>
                <w:szCs w:val="20"/>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4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(16,704)</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16,862</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33"/>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3,421</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5,152</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5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(7,147)</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37"/>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82"/>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120" w:type="dxa"/>
            <w:vAlign w:val="bottom"/>
            <w:tcBorders>
              <w:bottom w:val="single" w:sz="8" w:color="auto"/>
            </w:tcBorders>
            <w:shd w:val="clear" w:color="auto" w:fill="CCEEFF"/>
          </w:tcPr>
          <w:p>
            <w:pPr>
              <w:jc w:val="right"/>
              <w:ind w:right="94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(3,642)</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(19,835)</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96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16,193</w:t>
            </w:r>
          </w:p>
        </w:tc>
        <w:tc>
          <w:tcPr>
            <w:tcW w:w="10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shd w:val="clear" w:color="auto" w:fill="000000"/>
          </w:tcPr>
          <w:p>
            <w:pPr>
              <w:spacing w:after="0" w:line="20" w:lineRule="exact"/>
              <w:rPr>
                <w:sz w:val="1"/>
                <w:szCs w:val="1"/>
                <w:color w:val="auto"/>
              </w:rPr>
            </w:pPr>
          </w:p>
        </w:tc>
        <w:tc>
          <w:tcPr>
            <w:tcW w:w="6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shd w:val="clear" w:color="auto" w:fill="000000"/>
          </w:tcPr>
          <w:p>
            <w:pPr>
              <w:spacing w:after="0" w:line="20" w:lineRule="exact"/>
              <w:rPr>
                <w:sz w:val="1"/>
                <w:szCs w:val="1"/>
                <w:color w:val="auto"/>
              </w:rPr>
            </w:pPr>
          </w:p>
        </w:tc>
        <w:tc>
          <w:tcPr>
            <w:tcW w:w="6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shd w:val="clear" w:color="auto" w:fill="000000"/>
          </w:tcPr>
          <w:p>
            <w:pPr>
              <w:spacing w:after="0" w:line="20" w:lineRule="exact"/>
              <w:rPr>
                <w:sz w:val="1"/>
                <w:szCs w:val="1"/>
                <w:color w:val="auto"/>
              </w:rPr>
            </w:pPr>
          </w:p>
        </w:tc>
        <w:tc>
          <w:tcPr>
            <w:tcW w:w="5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720" w:type="dxa"/>
            <w:vAlign w:val="bottom"/>
            <w:tcBorders>
              <w:top w:val="single" w:sz="8" w:color="CCEEFF"/>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ind w:right="40" w:firstLine="1166"/>
        <w:spacing w:after="0" w:line="266" w:lineRule="auto"/>
        <w:rPr>
          <w:sz w:val="20"/>
          <w:szCs w:val="20"/>
          <w:color w:val="auto"/>
        </w:rPr>
      </w:pPr>
      <w:r>
        <w:rPr>
          <w:rFonts w:ascii="Times New Roman" w:cs="Times New Roman" w:eastAsia="Times New Roman" w:hAnsi="Times New Roman"/>
          <w:sz w:val="18"/>
          <w:szCs w:val="18"/>
          <w:color w:val="auto"/>
        </w:rPr>
        <w:t>On June 6, 2024, we announced that the FDA approved RYTELO for the treatment of adult patients with lower-risk MDS, with TD anemia requiring four or more red blood cell units over eight weeks who have not responded to, or have lost response to, or are ineligible for ESA. To date, our only source of product revenue has been from the sales of RYTELO, which we began shipping to our customers in the U.S. in June 2024.</w:t>
      </w:r>
    </w:p>
    <w:p>
      <w:pPr>
        <w:spacing w:after="0" w:line="176" w:lineRule="exact"/>
        <w:rPr>
          <w:sz w:val="20"/>
          <w:szCs w:val="20"/>
          <w:color w:val="auto"/>
        </w:rPr>
      </w:pPr>
    </w:p>
    <w:p>
      <w:pPr>
        <w:ind w:right="220" w:firstLine="1166"/>
        <w:spacing w:after="0" w:line="261" w:lineRule="auto"/>
        <w:rPr>
          <w:sz w:val="20"/>
          <w:szCs w:val="20"/>
          <w:color w:val="auto"/>
        </w:rPr>
      </w:pPr>
      <w:r>
        <w:rPr>
          <w:rFonts w:ascii="Times New Roman" w:cs="Times New Roman" w:eastAsia="Times New Roman" w:hAnsi="Times New Roman"/>
          <w:sz w:val="18"/>
          <w:szCs w:val="18"/>
          <w:color w:val="auto"/>
        </w:rPr>
        <w:t>Total product revenue, net for the three months ended March 31, 2026 and 2025 were approximately $51.8 million and $39.4 million, respectively. Product revenue, net, increased by $12.4 million during the three months ended March 31, 2026, compared to the same period in 2025, primarily due to increased sales volumes and, to a lesser extent, a higher selling price, partially offset by higher gross-to-net adjustments. The increase in sales volume was primarily driven by a higher number of patients on therapy.</w:t>
      </w:r>
    </w:p>
    <w:p>
      <w:pPr>
        <w:spacing w:after="0" w:line="180" w:lineRule="exact"/>
        <w:rPr>
          <w:sz w:val="20"/>
          <w:szCs w:val="20"/>
          <w:color w:val="auto"/>
        </w:rPr>
      </w:pPr>
    </w:p>
    <w:p>
      <w:pPr>
        <w:ind w:firstLine="1166"/>
        <w:spacing w:after="0" w:line="261" w:lineRule="auto"/>
        <w:rPr>
          <w:sz w:val="20"/>
          <w:szCs w:val="20"/>
          <w:color w:val="auto"/>
        </w:rPr>
      </w:pPr>
      <w:r>
        <w:rPr>
          <w:rFonts w:ascii="Times New Roman" w:cs="Times New Roman" w:eastAsia="Times New Roman" w:hAnsi="Times New Roman"/>
          <w:sz w:val="18"/>
          <w:szCs w:val="18"/>
          <w:color w:val="auto"/>
        </w:rPr>
        <w:t>Total gross-to-net adjustments for the three months ended March 31, 2026 and 2025 were 20.8% and 13.0% of gross product revenue, respectively. The increase in gross-to-net adjustments was driven by a greater proportion of sales made under governmental managed-care pricing programs and group purchasing organizations in addition to greater volume of product returns. We expect total gross-to-net adjustments to be in the percentage range of low to mid-twenties of gross product revenue in the remaining quarters of 2026.</w:t>
      </w:r>
    </w:p>
    <w:p>
      <w:pPr>
        <w:spacing w:after="0" w:line="18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The reconciliation of gross product revenue to product revenue, net by each significant category of gross-to-net adjustments is set forth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7" w:name="page28"/>
    <w:bookmarkEnd w:id="27"/>
    <w:tbl>
      <w:tblPr>
        <w:tblLayout w:type="fixed"/>
        <w:tblInd w:w="250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4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44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product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45,312</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Gross-to-net adjustments: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Chargebacks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Distributor service fees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rebates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Sales returns and allowances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gross-to-net adjustments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51,771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39,436</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Royalties</w:t>
      </w:r>
    </w:p>
    <w:p>
      <w:pPr>
        <w:spacing w:after="0" w:line="121" w:lineRule="exact"/>
        <w:rPr>
          <w:sz w:val="20"/>
          <w:szCs w:val="20"/>
          <w:color w:val="auto"/>
        </w:rPr>
      </w:pPr>
    </w:p>
    <w:p>
      <w:pPr>
        <w:ind w:right="160" w:firstLine="1166"/>
        <w:spacing w:after="0" w:line="266" w:lineRule="auto"/>
        <w:rPr>
          <w:sz w:val="20"/>
          <w:szCs w:val="20"/>
          <w:color w:val="auto"/>
        </w:rPr>
      </w:pPr>
      <w:r>
        <w:rPr>
          <w:rFonts w:ascii="Times New Roman" w:cs="Times New Roman" w:eastAsia="Times New Roman" w:hAnsi="Times New Roman"/>
          <w:sz w:val="18"/>
          <w:szCs w:val="18"/>
          <w:color w:val="auto"/>
        </w:rPr>
        <w:t>In connection with the divestiture of our human embryonic stem cell assets, including intellectual property and proprietary technology, to Lineage Cell Therapeutics, Inc. (formerly BioTime, Inc., which acquired Asterias Biotherapeutics, Inc.), or Lineage, in 2013, we are entitled to receive royalties on sales from certain research or commercial products utilizing our divested intellectual property.</w:t>
      </w:r>
    </w:p>
    <w:p>
      <w:pPr>
        <w:spacing w:after="0" w:line="176" w:lineRule="exact"/>
        <w:rPr>
          <w:sz w:val="20"/>
          <w:szCs w:val="20"/>
          <w:color w:val="auto"/>
        </w:rPr>
      </w:pPr>
    </w:p>
    <w:p>
      <w:pPr>
        <w:jc w:val="both"/>
        <w:ind w:firstLine="1166"/>
        <w:spacing w:after="0" w:line="266" w:lineRule="auto"/>
        <w:rPr>
          <w:sz w:val="20"/>
          <w:szCs w:val="20"/>
          <w:color w:val="auto"/>
        </w:rPr>
      </w:pPr>
      <w:r>
        <w:rPr>
          <w:rFonts w:ascii="Times New Roman" w:cs="Times New Roman" w:eastAsia="Times New Roman" w:hAnsi="Times New Roman"/>
          <w:sz w:val="18"/>
          <w:szCs w:val="18"/>
          <w:color w:val="auto"/>
        </w:rPr>
        <w:t>We recognized royalty revenues of less than $0.1 million in the three months ended March 31, 2026, compared to $0.2 million for the same period in 2025. Royalty revenues in the three months ended March 31, 2026 and 2025 primarily reflect estimated royalties from sales of cell-based research products from our divested stem cell assets.</w:t>
      </w:r>
    </w:p>
    <w:p>
      <w:pPr>
        <w:spacing w:after="0" w:line="162" w:lineRule="exact"/>
        <w:rPr>
          <w:sz w:val="20"/>
          <w:szCs w:val="20"/>
          <w:color w:val="auto"/>
        </w:rPr>
      </w:pPr>
    </w:p>
    <w:p>
      <w:pPr>
        <w:ind w:right="320" w:firstLine="1134"/>
        <w:spacing w:after="0" w:line="266" w:lineRule="auto"/>
        <w:rPr>
          <w:sz w:val="20"/>
          <w:szCs w:val="20"/>
          <w:color w:val="auto"/>
        </w:rPr>
      </w:pPr>
      <w:r>
        <w:rPr>
          <w:rFonts w:ascii="Times New Roman" w:cs="Times New Roman" w:eastAsia="Times New Roman" w:hAnsi="Times New Roman"/>
          <w:sz w:val="18"/>
          <w:szCs w:val="18"/>
          <w:color w:val="auto"/>
        </w:rPr>
        <w:t>Future license fee and royalty revenues are dependent on additional agreements being signed, if any, our current license agreement with Lineage being maintained and the underlying patent rights for the license remaining active.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Operating Expenses:</w:t>
      </w:r>
    </w:p>
    <w:p>
      <w:pPr>
        <w:spacing w:after="0" w:line="10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summarizes our costs and operating expenses: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4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86"/>
        </w:trPr>
        <w:tc>
          <w:tcPr>
            <w:tcW w:w="400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820" w:type="dxa"/>
            <w:vAlign w:val="bottom"/>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shd w:val="clear" w:color="auto" w:fill="CFF0FC"/>
          </w:tcPr>
          <w:p>
            <w:pPr>
              <w:spacing w:after="0"/>
              <w:rPr>
                <w:sz w:val="23"/>
                <w:szCs w:val="23"/>
                <w:color w:val="auto"/>
              </w:rPr>
            </w:pP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shd w:val="clear" w:color="auto" w:fill="CFF0FC"/>
          </w:tcPr>
          <w:p>
            <w:pPr>
              <w:spacing w:after="0"/>
              <w:rPr>
                <w:sz w:val="23"/>
                <w:szCs w:val="23"/>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14,956</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10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0"/>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80" w:type="dxa"/>
            <w:vAlign w:val="bottom"/>
            <w:shd w:val="clear" w:color="auto" w:fill="CFF0FC"/>
          </w:tcPr>
          <w:p>
            <w:pPr>
              <w:spacing w:after="0"/>
              <w:rPr>
                <w:sz w:val="23"/>
                <w:szCs w:val="23"/>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35,425</w:t>
            </w:r>
          </w:p>
        </w:tc>
        <w:tc>
          <w:tcPr>
            <w:tcW w:w="100" w:type="dxa"/>
            <w:vAlign w:val="bottom"/>
            <w:shd w:val="clear" w:color="auto" w:fill="CFF0FC"/>
          </w:tcPr>
          <w:p>
            <w:pPr>
              <w:spacing w:after="0"/>
              <w:rPr>
                <w:sz w:val="23"/>
                <w:szCs w:val="23"/>
                <w:color w:val="auto"/>
              </w:rPr>
            </w:pPr>
          </w:p>
        </w:tc>
        <w:tc>
          <w:tcPr>
            <w:tcW w:w="90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40,023</w:t>
            </w:r>
          </w:p>
        </w:tc>
        <w:tc>
          <w:tcPr>
            <w:tcW w:w="100" w:type="dxa"/>
            <w:vAlign w:val="bottom"/>
            <w:shd w:val="clear" w:color="auto" w:fill="CFF0FC"/>
          </w:tcPr>
          <w:p>
            <w:pPr>
              <w:spacing w:after="0"/>
              <w:rPr>
                <w:sz w:val="23"/>
                <w:szCs w:val="23"/>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5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88"/>
        </w:trPr>
        <w:tc>
          <w:tcPr>
            <w:tcW w:w="40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580" w:type="dxa"/>
            <w:vAlign w:val="bottom"/>
            <w:tcBorders>
              <w:top w:val="single" w:sz="8" w:color="auto"/>
              <w:bottom w:val="single" w:sz="8" w:color="CFF0FC"/>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51,679</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900" w:type="dxa"/>
            <w:vAlign w:val="bottom"/>
            <w:tcBorders>
              <w:top w:val="single" w:sz="8" w:color="auto"/>
              <w:bottom w:val="single" w:sz="8" w:color="CFF0FC"/>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56,307</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19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21" w:lineRule="exact"/>
        <w:rPr>
          <w:sz w:val="20"/>
          <w:szCs w:val="20"/>
          <w:color w:val="auto"/>
        </w:rPr>
      </w:pPr>
    </w:p>
    <w:p>
      <w:pPr>
        <w:ind w:firstLine="1166"/>
        <w:spacing w:after="0" w:line="266" w:lineRule="auto"/>
        <w:rPr>
          <w:sz w:val="20"/>
          <w:szCs w:val="20"/>
          <w:color w:val="auto"/>
        </w:rPr>
      </w:pPr>
      <w:r>
        <w:rPr>
          <w:rFonts w:ascii="Times New Roman" w:cs="Times New Roman" w:eastAsia="Times New Roman" w:hAnsi="Times New Roman"/>
          <w:sz w:val="18"/>
          <w:szCs w:val="18"/>
          <w:color w:val="auto"/>
        </w:rPr>
        <w:t>Cost of goods sold was approximately $1.7 million and $1.2 million for the three months ended March 31, 2026 and 2025, respectively, which consists of raw materials, third-party manufacturing costs to manufacture the raw materials into finished product, freight, and indirect overhead costs associated with the sale of RYTELO.</w:t>
      </w:r>
    </w:p>
    <w:p>
      <w:pPr>
        <w:spacing w:after="0" w:line="17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Prior to receiving FDA approval for RYTELO in June 2024, we manufactured inventory to be sold upon commercialization and recorded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costs as research and development expense. As a result, a significant portion of the manufacturing costs related to the inventory manufactured prior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receiving FDA approval was partially expensed in a prior period and is therefore excluded from the cost of goods sold for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 We estimate our cost of sales as a percentage of product revenue, net will continue to be positively impacted for at least the next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months as we sell through certain inventory that was partially expensed prior to FDA approval.</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60" w:firstLine="1166"/>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and 2025, our RYTELO (imetelstat) program and our research discovery program related to potential next generation telomerase inhibitors were the only research and development programs we supported. For these research and development programs, we incur direct external, personnel-related and other research and development costs. For the three months ended March 31, 2026 and 2025, research and development expenses consist of expenses incurred in developing and testing imetelstat and research related to potential next generation telomerase inhibitors. These expenses include, but are not limited to, payroll and personnel expense, lab supplies, non-clinical studies, clinical trials, including support for investigator-led clinical trials, raw materials to manufacture clinical trial supply, manufacturing costs for research and clinical trial materials, sponsored research at other labs, consulting expenses, costs to maintain technology licenses and research-related overhead.</w:t>
      </w:r>
    </w:p>
    <w:p>
      <w:pPr>
        <w:spacing w:after="0" w:line="18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Our research and development expenses were as follows:</w:t>
      </w:r>
    </w:p>
    <w:p>
      <w:pPr>
        <w:spacing w:after="0" w:line="273" w:lineRule="exact"/>
        <w:rPr>
          <w:sz w:val="20"/>
          <w:szCs w:val="20"/>
          <w:color w:val="auto"/>
        </w:rPr>
      </w:pPr>
    </w:p>
    <w:tbl>
      <w:tblPr>
        <w:tblLayout w:type="fixed"/>
        <w:tblInd w:w="136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gridSpan w:val="3"/>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4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960" w:type="dxa"/>
            <w:vAlign w:val="bottom"/>
            <w:gridSpan w:val="2"/>
            <w:vMerge w:val="continue"/>
          </w:tcPr>
          <w:p>
            <w:pPr>
              <w:spacing w:after="0"/>
              <w:rPr>
                <w:sz w:val="16"/>
                <w:szCs w:val="16"/>
                <w:color w:val="auto"/>
              </w:rPr>
            </w:pPr>
          </w:p>
        </w:tc>
        <w:tc>
          <w:tcPr>
            <w:tcW w:w="170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76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4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197485</wp:posOffset>
            </wp:positionV>
            <wp:extent cx="54178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17820" cy="171450"/>
                    </a:xfrm>
                    <a:prstGeom prst="rect">
                      <a:avLst/>
                    </a:prstGeom>
                    <a:noFill/>
                  </pic:spPr>
                </pic:pic>
              </a:graphicData>
            </a:graphic>
          </wp:anchor>
        </w:drawing>
      </w:r>
    </w:p>
    <w:p>
      <w:pPr>
        <w:spacing w:after="0" w:line="29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Direct external research and development expenses:</w:t>
      </w:r>
    </w:p>
    <w:p>
      <w:pPr>
        <w:spacing w:after="0" w:line="63" w:lineRule="exact"/>
        <w:rPr>
          <w:sz w:val="20"/>
          <w:szCs w:val="20"/>
          <w:color w:val="auto"/>
        </w:rPr>
      </w:pPr>
    </w:p>
    <w:tbl>
      <w:tblPr>
        <w:tblLayout w:type="fixed"/>
        <w:tblInd w:w="1360" w:type="dxa"/>
        <w:tblCellMar>
          <w:top w:w="0" w:type="dxa"/>
          <w:left w:w="0" w:type="dxa"/>
          <w:bottom w:w="0" w:type="dxa"/>
          <w:right w:w="0" w:type="dxa"/>
        </w:tblCellMar>
      </w:tblPr>
      <w:tr>
        <w:trPr>
          <w:trHeight w:val="261"/>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Clinical program: imetelstat</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100" w:type="dxa"/>
            <w:vAlign w:val="bottom"/>
          </w:tcPr>
          <w:p>
            <w:pPr>
              <w:spacing w:after="0"/>
              <w:rPr>
                <w:sz w:val="22"/>
                <w:szCs w:val="22"/>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6,228</w:t>
            </w:r>
          </w:p>
        </w:tc>
      </w:tr>
      <w:tr>
        <w:trPr>
          <w:trHeight w:val="27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6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w:t>
            </w:r>
          </w:p>
        </w:tc>
      </w:tr>
      <w:tr>
        <w:trPr>
          <w:trHeight w:val="27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expenses</w:t>
            </w:r>
          </w:p>
        </w:tc>
        <w:tc>
          <w:tcPr>
            <w:tcW w:w="6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8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14,956</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15,078</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firstLine="1166"/>
        <w:spacing w:after="0" w:line="266" w:lineRule="auto"/>
        <w:rPr>
          <w:sz w:val="20"/>
          <w:szCs w:val="20"/>
          <w:color w:val="auto"/>
        </w:rPr>
      </w:pPr>
      <w:r>
        <w:rPr>
          <w:rFonts w:ascii="Times New Roman" w:cs="Times New Roman" w:eastAsia="Times New Roman" w:hAnsi="Times New Roman"/>
          <w:sz w:val="18"/>
          <w:szCs w:val="18"/>
          <w:color w:val="auto"/>
        </w:rPr>
        <w:t>The decrease in research and development expenses for the three months ended March 31, 2026, compared to the same period in 2025, was primarily due a decrease in personnel-related costs due to lower labor costs driven by a decrease in headcount as a result of the workforce reduction in December 2025, partially offset by higher clinical trial costs associated with an increase of activity in our IMpactMF study.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20" w:firstLine="1166"/>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$35.4 million for the three months ended March 31, 2026, compared to $40.0 million for the same period in 2025. The decrease in selling, general and administrative expenses for the three months ended March 31, 2026, compared to the same period in 2025, was primarily due to lower general and administrative personnel-related expenses from decreased headcount, partially offset by additional investment in marketing programs of approximately $1.8 million and approximately $1.0 million higher legal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229" w:lineRule="exact"/>
        <w:rPr>
          <w:sz w:val="20"/>
          <w:szCs w:val="20"/>
          <w:color w:val="auto"/>
        </w:rPr>
      </w:pPr>
    </w:p>
    <w:p>
      <w:pPr>
        <w:ind w:firstLine="1166"/>
        <w:spacing w:after="0" w:line="266" w:lineRule="auto"/>
        <w:rPr>
          <w:sz w:val="20"/>
          <w:szCs w:val="20"/>
          <w:color w:val="auto"/>
        </w:rPr>
      </w:pPr>
      <w:r>
        <w:rPr>
          <w:rFonts w:ascii="Times New Roman" w:cs="Times New Roman" w:eastAsia="Times New Roman" w:hAnsi="Times New Roman"/>
          <w:sz w:val="18"/>
          <w:szCs w:val="18"/>
          <w:color w:val="auto"/>
        </w:rPr>
        <w:t>In December 2025, we implemented a workforce reduction, representing approximately one-third of our workforce prior to the reduction in headcount and recorded restructuring charges of $17.0 million. Restructuring charges consisted of termination benefits such as one-time employee severance payments, healthcare and related benefits, and other employee-related costs.</w:t>
      </w:r>
    </w:p>
    <w:p>
      <w:pPr>
        <w:spacing w:after="0" w:line="284" w:lineRule="exact"/>
        <w:rPr>
          <w:sz w:val="20"/>
          <w:szCs w:val="20"/>
          <w:color w:val="auto"/>
        </w:rPr>
      </w:pPr>
    </w:p>
    <w:p>
      <w:pPr>
        <w:ind w:right="660" w:firstLine="1166"/>
        <w:spacing w:after="0" w:line="222" w:lineRule="exact"/>
        <w:rPr>
          <w:sz w:val="20"/>
          <w:szCs w:val="20"/>
          <w:color w:val="auto"/>
        </w:rPr>
      </w:pPr>
      <w:r>
        <w:rPr>
          <w:rFonts w:ascii="Times New Roman" w:cs="Times New Roman" w:eastAsia="Times New Roman" w:hAnsi="Times New Roman"/>
          <w:sz w:val="18"/>
          <w:szCs w:val="18"/>
          <w:color w:val="auto"/>
        </w:rPr>
        <w:t>For the three months ended March 31, 2026, a credit of $0.4 million in restructuring charges was recognized, primarily due to lower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expected utilization of previously accrued amounts related to healthcare and related benefits. The credit was recorded in the condensed consolidated statement of operations as restructuring charges.</w:t>
      </w:r>
    </w:p>
    <w:p>
      <w:pPr>
        <w:spacing w:after="0" w:line="199" w:lineRule="exact"/>
        <w:rPr>
          <w:sz w:val="20"/>
          <w:szCs w:val="20"/>
          <w:color w:val="auto"/>
        </w:rPr>
      </w:pPr>
    </w:p>
    <w:p>
      <w:pPr>
        <w:ind w:right="380" w:firstLine="1166"/>
        <w:spacing w:after="0" w:line="282" w:lineRule="auto"/>
        <w:rPr>
          <w:sz w:val="20"/>
          <w:szCs w:val="20"/>
          <w:color w:val="auto"/>
        </w:rPr>
      </w:pPr>
      <w:r>
        <w:rPr>
          <w:rFonts w:ascii="Times New Roman" w:cs="Times New Roman" w:eastAsia="Times New Roman" w:hAnsi="Times New Roman"/>
          <w:sz w:val="18"/>
          <w:szCs w:val="18"/>
          <w:color w:val="auto"/>
        </w:rPr>
        <w:t>The workforce reduction was substantially completed in the first quarter of 2026. There were no restructuring charges during the three months ended March 31, 2025.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right="80" w:firstLine="1166"/>
        <w:spacing w:after="0" w:line="266" w:lineRule="auto"/>
        <w:rPr>
          <w:sz w:val="20"/>
          <w:szCs w:val="20"/>
          <w:color w:val="auto"/>
        </w:rPr>
      </w:pPr>
      <w:r>
        <w:rPr>
          <w:rFonts w:ascii="Times New Roman" w:cs="Times New Roman" w:eastAsia="Times New Roman" w:hAnsi="Times New Roman"/>
          <w:sz w:val="18"/>
          <w:szCs w:val="18"/>
          <w:color w:val="auto"/>
        </w:rPr>
        <w:t>Interest income was $3.4 million for the three months ended March 31, 2026, compared to $5.2 million for the same period in 2025. The decrease in interest income for the three months ended March 31, 2026, compared to the same period in 2025, primarily reflects a decrease in interest rates between the periods and a smaller marketable securities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portfolio. Interest earned in future periods will depend on the size of our marketable securities portfolio and prevailing interest rates.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60" w:firstLine="1166"/>
        <w:spacing w:after="0" w:line="261" w:lineRule="auto"/>
        <w:rPr>
          <w:sz w:val="20"/>
          <w:szCs w:val="20"/>
          <w:color w:val="auto"/>
        </w:rPr>
      </w:pPr>
      <w:r>
        <w:rPr>
          <w:rFonts w:ascii="Times New Roman" w:cs="Times New Roman" w:eastAsia="Times New Roman" w:hAnsi="Times New Roman"/>
          <w:sz w:val="18"/>
          <w:szCs w:val="18"/>
          <w:color w:val="auto"/>
        </w:rPr>
        <w:t>Interest expense was $7.1 million for the three months ended March 31, 2026, compared to $8.2 million for the same period in 2025. The decrease in interest expense for the three months ended March 31, 2026, compared to the same period in 2025, was primarily due to lower average interest rates related to the Royalty Pharma Agreement and the Pharmakon Loan Agreement, which were entered into in November 2024. See Note 7 on Debt in Notes to Condensed Consolidated Financial Statements of this Report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-499745</wp:posOffset>
            </wp:positionV>
            <wp:extent cx="285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180" w:firstLine="1166"/>
        <w:spacing w:after="0" w:line="282" w:lineRule="auto"/>
        <w:rPr>
          <w:sz w:val="20"/>
          <w:szCs w:val="20"/>
          <w:color w:val="auto"/>
        </w:rPr>
      </w:pPr>
      <w:r>
        <w:rPr>
          <w:rFonts w:ascii="Times New Roman" w:cs="Times New Roman" w:eastAsia="Times New Roman" w:hAnsi="Times New Roman"/>
          <w:sz w:val="18"/>
          <w:szCs w:val="18"/>
          <w:color w:val="auto"/>
        </w:rPr>
        <w:t>Other income (expense), net was an expense of $0.1 million for each of the three months ended March 31, 2026 and 2025. Other income (expense), net primarily reflects realized losses on marketable securities and foreign currency transaction adjustments.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60" w:firstLine="1166"/>
        <w:spacing w:after="0" w:line="266" w:lineRule="auto"/>
        <w:rPr>
          <w:sz w:val="20"/>
          <w:szCs w:val="20"/>
          <w:color w:val="auto"/>
        </w:rPr>
      </w:pPr>
      <w:r>
        <w:rPr>
          <w:rFonts w:ascii="Times New Roman" w:cs="Times New Roman" w:eastAsia="Times New Roman" w:hAnsi="Times New Roman"/>
          <w:sz w:val="18"/>
          <w:szCs w:val="18"/>
          <w:color w:val="auto"/>
        </w:rPr>
        <w:t>As of March 31, 2026, we had cash, restricted cash, cash equivalents, and marketable securities of $341.0 million, compared to $401.1 million at December 31, 2025. The decrease in cash, restricted cash, cash equivalents and marketable securities during the three months ended March 31, 2026 was primarily the net result of cash used in operations partially offset by the receipt of net cash proceeds from accounts receivable.</w:t>
      </w:r>
    </w:p>
    <w:p>
      <w:pPr>
        <w:spacing w:after="0" w:line="176" w:lineRule="exact"/>
        <w:rPr>
          <w:sz w:val="20"/>
          <w:szCs w:val="20"/>
          <w:color w:val="auto"/>
        </w:rPr>
      </w:pPr>
    </w:p>
    <w:p>
      <w:pPr>
        <w:ind w:firstLine="1166"/>
        <w:spacing w:after="0" w:line="254" w:lineRule="auto"/>
        <w:rPr>
          <w:sz w:val="20"/>
          <w:szCs w:val="20"/>
          <w:color w:val="auto"/>
        </w:rPr>
      </w:pPr>
      <w:r>
        <w:rPr>
          <w:rFonts w:ascii="Times New Roman" w:cs="Times New Roman" w:eastAsia="Times New Roman" w:hAnsi="Times New Roman"/>
          <w:sz w:val="18"/>
          <w:szCs w:val="18"/>
          <w:color w:val="auto"/>
        </w:rPr>
        <w:t>On November 1, 2024, we entered into the Pharmakon Loan Agreement. We drew the Tranche A Loan of $125.0 million on November 1, 2024, a portion of which was utilized to repay all outstanding indebtedness associated with the Hercules Loan Agreement. The Pharmakon Loan Agreement provides two additional committed term loan tranches, the Tranche B Loan and the Tranche C Loan, in principal amounts of $75.0 million and $50.0 million, respectively, subject to customary conditions to fund and, in the case of the Tranche C Loan, achieving certain minimum net sales milestone. The Tranche B Loan and the Tranche C Loan could have been requested on or prior to December 31, 2025. The Term Loans mature on November 1, 2029. The Term Loans bear interest at a variable rate per annum equal to 5.75% plus three-month SOFR with a SOFR floor of 3.00%. On January 5, 2026, the Pharmakon Loan Agreement was amended to extend the date for requesting the Tranche B Loan and Tranche C Loan, once available, from December 31, 2025 to July 30, 2026. The amendment also extended the Makewhole Date from November 1, 2026 to May 1, 2027. See Note 7 on Debt in Notes to Condensed Consolidated Financial Statements of this Report for additional information on the Pharmakon Loan Agreement.</w:t>
      </w:r>
    </w:p>
    <w:p>
      <w:pPr>
        <w:spacing w:after="0" w:line="188" w:lineRule="exact"/>
        <w:rPr>
          <w:sz w:val="20"/>
          <w:szCs w:val="20"/>
          <w:color w:val="auto"/>
        </w:rPr>
      </w:pPr>
    </w:p>
    <w:p>
      <w:pPr>
        <w:ind w:right="40" w:firstLine="1166"/>
        <w:spacing w:after="0" w:line="256" w:lineRule="auto"/>
        <w:rPr>
          <w:sz w:val="20"/>
          <w:szCs w:val="20"/>
          <w:color w:val="auto"/>
        </w:rPr>
      </w:pPr>
      <w:r>
        <w:rPr>
          <w:rFonts w:ascii="Times New Roman" w:cs="Times New Roman" w:eastAsia="Times New Roman" w:hAnsi="Times New Roman"/>
          <w:sz w:val="18"/>
          <w:szCs w:val="18"/>
          <w:color w:val="auto"/>
        </w:rPr>
        <w:t>On November 1, 2024, we entered into the Royalty Pharma Agreement with Royalty Pharma. Pursuant to the Royalty Pharma Agreement, we received $125.0 million, or the Purchase Price, in exchange for which Royalty Pharma obtained the right to receive the Royalty Payments. The Royalty Payments to Royalty Pharma are capped, such that they will cease upon reaching a multiple of 1.65 times the Purchase Price if Royalty Pharma receives Royalty Payments in that amount in respect of net sales occurring on or before June 30, 2031, or upon reaching a multiple of 2.0 times the Purchase Price thereafter. There are no other royalties payable on RYTELO, which was developed internally and is exclusively owned by Geron. See Note 7 on Debt in Notes to Condensed Consolidated Financial Statements of this Report for additional information on the Royalty Pharma Agreement.</w:t>
      </w:r>
    </w:p>
    <w:p>
      <w:pPr>
        <w:spacing w:after="0" w:line="187" w:lineRule="exact"/>
        <w:rPr>
          <w:sz w:val="20"/>
          <w:szCs w:val="20"/>
          <w:color w:val="auto"/>
        </w:rPr>
      </w:pPr>
    </w:p>
    <w:p>
      <w:pPr>
        <w:ind w:right="100" w:firstLine="1166"/>
        <w:spacing w:after="0" w:line="258" w:lineRule="auto"/>
        <w:rPr>
          <w:sz w:val="20"/>
          <w:szCs w:val="20"/>
          <w:color w:val="auto"/>
        </w:rPr>
      </w:pPr>
      <w:r>
        <w:rPr>
          <w:rFonts w:ascii="Times New Roman" w:cs="Times New Roman" w:eastAsia="Times New Roman" w:hAnsi="Times New Roman"/>
          <w:sz w:val="18"/>
          <w:szCs w:val="18"/>
          <w:color w:val="auto"/>
        </w:rPr>
        <w:t>On November 1, 2023, we entered into an At Market Issuance Sales Agreement, or the 2023 Sales Agreement, with B. Riley Securities, pursuant to which we could have elected to issue and sell shares of our common stock having an aggregate offering price of up to $100.0 million in such quantities and on such minimum price terms as we set from time to time through B. Riley Securities as our sales agent. We have agreed to pay B. Riley Securities an aggregate commission equal to up to 3.0% of the gross proceeds of the sales under the agreement. No sales of common stock occurred under the 2023 Sales Agreement, which was terminated in January 2026.</w:t>
      </w:r>
    </w:p>
    <w:p>
      <w:pPr>
        <w:spacing w:after="0" w:line="183" w:lineRule="exact"/>
        <w:rPr>
          <w:sz w:val="20"/>
          <w:szCs w:val="20"/>
          <w:color w:val="auto"/>
        </w:rPr>
      </w:pPr>
    </w:p>
    <w:p>
      <w:pPr>
        <w:ind w:right="140" w:firstLine="1166"/>
        <w:spacing w:after="0" w:line="258" w:lineRule="auto"/>
        <w:rPr>
          <w:sz w:val="20"/>
          <w:szCs w:val="20"/>
          <w:color w:val="auto"/>
        </w:rPr>
      </w:pPr>
      <w:r>
        <w:rPr>
          <w:rFonts w:ascii="Times New Roman" w:cs="Times New Roman" w:eastAsia="Times New Roman" w:hAnsi="Times New Roman"/>
          <w:sz w:val="18"/>
          <w:szCs w:val="18"/>
          <w:color w:val="auto"/>
        </w:rPr>
        <w:t>On February 27, 2026, we entered into a sales agreement, or the 2026 Sales Agreement, with TD Securities (USA) LLC, or TD Cowen, pursuant to which we may issue and sell shares of our common stock having an aggregate offering price of up to $150 million from time to time through TD Cowen as the sales agent. We will pay TD Cowen an aggregate commission rate equal to up to 2.5% of the gross proceeds of the sales price per share for common stock sold through TD Cowen under the 2026 Sales Agreement. We are not obligated to make any sales of common stock under the 2026 Sales Agreement. To date, no sales of common stock have occurred under the 2026 Sales Agreement.</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30" w:name="page31"/>
    <w:bookmarkEnd w:id="30"/>
    <w:p>
      <w:pPr>
        <w:ind w:right="20" w:firstLine="1166"/>
        <w:spacing w:after="0" w:line="247" w:lineRule="auto"/>
        <w:rPr>
          <w:sz w:val="20"/>
          <w:szCs w:val="20"/>
          <w:color w:val="auto"/>
        </w:rPr>
      </w:pPr>
      <w:r>
        <w:rPr>
          <w:rFonts w:ascii="Times New Roman" w:cs="Times New Roman" w:eastAsia="Times New Roman" w:hAnsi="Times New Roman"/>
          <w:sz w:val="18"/>
          <w:szCs w:val="18"/>
          <w:color w:val="auto"/>
        </w:rPr>
        <w:t>We have an investment policy to invest our cash in liquid, investment grade securities, such as interest-bearing money market funds, certificates of deposit, U.S. Treasury securities, municipal securities, government and agency securities, commercial paper and corporate notes. Our investment portfolio does not contain securities with exposure to sub-prime mortgages, collateralized debt obligations, asset-backed securities or auction rate securities and, to date, we have not recognized any other-than-temporary impairment charges on our marketable securities or any significant changes in aggregate fair value that would impact our cash resources or liquidity. To date, we have not experienced lack of access to our invested cash and cash equivalents; however, access to our invested cash and cash equivalents may be impacted by adverse conditions in the financial and credit markets.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Strategy</w:t>
      </w:r>
    </w:p>
    <w:p>
      <w:pPr>
        <w:spacing w:after="0" w:line="229" w:lineRule="exact"/>
        <w:rPr>
          <w:sz w:val="20"/>
          <w:szCs w:val="20"/>
          <w:color w:val="auto"/>
        </w:rPr>
      </w:pPr>
    </w:p>
    <w:p>
      <w:pPr>
        <w:ind w:right="120" w:firstLine="1166"/>
        <w:spacing w:after="0" w:line="261" w:lineRule="auto"/>
        <w:rPr>
          <w:sz w:val="20"/>
          <w:szCs w:val="20"/>
          <w:color w:val="auto"/>
        </w:rPr>
      </w:pPr>
      <w:r>
        <w:rPr>
          <w:rFonts w:ascii="Times New Roman" w:cs="Times New Roman" w:eastAsia="Times New Roman" w:hAnsi="Times New Roman"/>
          <w:sz w:val="18"/>
          <w:szCs w:val="18"/>
          <w:color w:val="auto"/>
        </w:rPr>
        <w:t>We may, from time to time, consider additional funding through a combination of new collaborative arrangements, strategic alliances, and additional equity and debt financings or from other sources. We will continue to manage our capital structure and consider all financing opportunities, whenever they may occur, that could strengthen our long-term liquidity profile. Any such capital transactions may or may not be similar to transactions in which we have engaged in the past. There can be no assurance that any such financing opportunities will be available on acceptable terms, if at 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121" w:lineRule="exact"/>
        <w:rPr>
          <w:sz w:val="20"/>
          <w:szCs w:val="20"/>
          <w:color w:val="auto"/>
        </w:rPr>
      </w:pPr>
    </w:p>
    <w:p>
      <w:pPr>
        <w:ind w:right="100" w:firstLine="1166"/>
        <w:spacing w:after="0" w:line="253" w:lineRule="auto"/>
        <w:rPr>
          <w:sz w:val="20"/>
          <w:szCs w:val="20"/>
          <w:color w:val="auto"/>
        </w:rPr>
      </w:pPr>
      <w:r>
        <w:rPr>
          <w:rFonts w:ascii="Times New Roman" w:cs="Times New Roman" w:eastAsia="Times New Roman" w:hAnsi="Times New Roman"/>
          <w:sz w:val="18"/>
          <w:szCs w:val="18"/>
          <w:color w:val="auto"/>
        </w:rPr>
        <w:t>Successful drug development and commercialization requires significant amounts of capital. As of March 31, 2026, we had approximately $341.0 million in cash, cash equivalents, restricted cash and marketable securities. Based on our current operating plans and assumptions, we believe that our existing cash, cash equivalents, and marketable securities, together with anticipated net revenues from sales of RYTELO, will be sufficient to fund our projected operating requirements for the foreseeable future. However, if we do not generate net revenues from commercial sales of RYTELO at the levels we anticipate, if we experience unforeseen events or choose to make other investments in our business, or our assumptions regarding our projected operating expenses are otherwise incorrect, we may require additional funding, which could include a combination of public or private equity offerings, debt financings (including additional tranches under the Pharmakon Loan Agreement, if available), collaborations, strategic alliances, licensing arrangements or marketing and distribution arrangements, which may not be possible. For example, changes in our operations, such as increased development, manufacturing and clinical trial expenses, or our undertaking of additional programs, business activities, or entry into strategic transactions, including potential future acquisitions of products, technologies or businesses, may cause our operating expenses to increase, perhaps significantly, which could require us to raise additional funding. If adequate funds are not available to us when we need them, our RYTELO commercialization efforts may be adversely affected and we may be unable to pursue further development of imetelstat, which would severely harm our business and we might cease operations.</w:t>
      </w:r>
    </w:p>
    <w:p>
      <w:pPr>
        <w:spacing w:after="0" w:line="17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Despite receiving FDA approval of RYTELO in the U.S. in June 2024 and marketing authorization in the EU in March 2025, the outcome of any clinical activities and/or regulatory approval process is highly uncertain, and we cannot reasonably estimate whether our future development activities may succeed, whether we will obtain regulatory approval for RYTELO in any other jurisdictions or indications we are pursuing or may in the future pursue, or whether we will be able to effectively commercialize RYTELO in the U.S. or in the EU for lower-risk MDS or other potential indications, if at all. We may never recoup our investment in any RYTELO development, which would adversely affect our financial condition and our business and business prospects, and might cause us to cease operations. In addition, our plans and timing expectations could be further delayed or interrupted by the effects of macroeconomic or other global conditions, including those resulting from further changes in tariffs and other trade restrictions, renegotiation of existing international trade agreements or further escalation of trade tensions, inflation, fluctuations in interest rates, prospects of a recession, government shutdowns, bank failures and other disruptions to financial systems, civil or political unrest, military conflicts such as the ongoing Russia and Ukraine military conflict and the ongoing military conflict involving the U.S., Israel and Iran, pandemics or other health crises and supply chain and resource issues. Further, our future capital requirements are difficult to forecast and will depend on many factors, including:</w:t>
      </w:r>
    </w:p>
    <w:p>
      <w:pPr>
        <w:spacing w:after="0" w:line="6" w:lineRule="exact"/>
        <w:rPr>
          <w:sz w:val="20"/>
          <w:szCs w:val="20"/>
          <w:color w:val="auto"/>
        </w:rPr>
      </w:pPr>
    </w:p>
    <w:p>
      <w:pPr>
        <w:ind w:left="2260" w:hanging="1086"/>
        <w:spacing w:after="0"/>
        <w:tabs>
          <w:tab w:leader="none" w:pos="2260" w:val="left"/>
        </w:tabs>
        <w:numPr>
          <w:ilvl w:val="0"/>
          <w:numId w:val="6"/>
        </w:numPr>
        <w:rPr>
          <w:rFonts w:ascii="Arial" w:cs="Arial" w:eastAsia="Arial" w:hAnsi="Arial"/>
          <w:sz w:val="18"/>
          <w:szCs w:val="18"/>
          <w:color w:val="auto"/>
        </w:rPr>
      </w:pPr>
      <w:r>
        <w:rPr>
          <w:rFonts w:ascii="Times New Roman" w:cs="Times New Roman" w:eastAsia="Times New Roman" w:hAnsi="Times New Roman"/>
          <w:sz w:val="18"/>
          <w:szCs w:val="18"/>
          <w:color w:val="auto"/>
        </w:rPr>
        <w:t>the accuracy of the assumptions underlying our estimates for our capital needs;</w:t>
      </w:r>
    </w:p>
    <w:p>
      <w:pPr>
        <w:spacing w:after="0" w:line="98" w:lineRule="exact"/>
        <w:rPr>
          <w:rFonts w:ascii="Arial" w:cs="Arial" w:eastAsia="Arial" w:hAnsi="Arial"/>
          <w:sz w:val="18"/>
          <w:szCs w:val="18"/>
          <w:color w:val="auto"/>
        </w:rPr>
      </w:pPr>
    </w:p>
    <w:p>
      <w:pPr>
        <w:ind w:left="2260" w:hanging="1086"/>
        <w:spacing w:after="0"/>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level of sales and market acceptance of RYTELO;</w:t>
      </w:r>
    </w:p>
    <w:p>
      <w:pPr>
        <w:spacing w:after="0" w:line="211" w:lineRule="exact"/>
        <w:rPr>
          <w:rFonts w:ascii="Times New Roman" w:cs="Times New Roman" w:eastAsia="Times New Roman" w:hAnsi="Times New Roman"/>
          <w:sz w:val="18"/>
          <w:szCs w:val="18"/>
          <w:color w:val="auto"/>
        </w:rPr>
      </w:pPr>
    </w:p>
    <w:p>
      <w:pPr>
        <w:ind w:left="2280" w:right="140" w:hanging="1106"/>
        <w:spacing w:after="0" w:line="245" w:lineRule="auto"/>
        <w:tabs>
          <w:tab w:leader="none" w:pos="226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magnitude and costs of non-clinical and clinical development, manufacturing and commercialization of RYTELO, including commercialization in the U.S. and any commercialization in the EU for lower-risk MDS, or in any other jurisdictions or other indication we may pursue, subject to clearances and approvals by the FDA and similar international regulatory authorities;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1" w:name="page32"/>
    <w:bookmarkEnd w:id="31"/>
    <w:p>
      <w:pPr>
        <w:ind w:left="2280" w:right="220" w:hanging="1106"/>
        <w:spacing w:after="0" w:line="282" w:lineRule="auto"/>
        <w:tabs>
          <w:tab w:leader="none" w:pos="22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opening sites, screening and enrolling patients or treating and following patients, in our current or any potential future clinical trials of RYTELO;</w:t>
      </w:r>
    </w:p>
    <w:p>
      <w:pPr>
        <w:spacing w:after="0" w:line="161" w:lineRule="exact"/>
        <w:rPr>
          <w:rFonts w:ascii="Times New Roman" w:cs="Times New Roman" w:eastAsia="Times New Roman" w:hAnsi="Times New Roman"/>
          <w:sz w:val="18"/>
          <w:szCs w:val="18"/>
          <w:color w:val="auto"/>
        </w:rPr>
      </w:pPr>
    </w:p>
    <w:p>
      <w:pPr>
        <w:ind w:left="2260" w:hanging="1086"/>
        <w:spacing w:after="0"/>
        <w:tabs>
          <w:tab w:leader="none" w:pos="2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outcomes of regulatory reviews or other regulatory actions related to RYTELO,</w:t>
      </w:r>
    </w:p>
    <w:p>
      <w:pPr>
        <w:spacing w:after="0" w:line="225" w:lineRule="exact"/>
        <w:rPr>
          <w:rFonts w:ascii="Times New Roman" w:cs="Times New Roman" w:eastAsia="Times New Roman" w:hAnsi="Times New Roman"/>
          <w:sz w:val="18"/>
          <w:szCs w:val="18"/>
          <w:color w:val="auto"/>
        </w:rPr>
      </w:pPr>
    </w:p>
    <w:p>
      <w:pPr>
        <w:ind w:left="2280" w:right="460" w:hanging="1106"/>
        <w:spacing w:after="0" w:line="282" w:lineRule="auto"/>
        <w:tabs>
          <w:tab w:leader="none" w:pos="22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and maintaining, enforcing and defending intellectual property-related claims;</w:t>
      </w:r>
    </w:p>
    <w:p>
      <w:pPr>
        <w:spacing w:after="0" w:line="161" w:lineRule="exact"/>
        <w:rPr>
          <w:rFonts w:ascii="Times New Roman" w:cs="Times New Roman" w:eastAsia="Times New Roman" w:hAnsi="Times New Roman"/>
          <w:sz w:val="18"/>
          <w:szCs w:val="18"/>
          <w:color w:val="auto"/>
        </w:rPr>
      </w:pPr>
    </w:p>
    <w:p>
      <w:pPr>
        <w:ind w:left="2280" w:right="360" w:hanging="1106"/>
        <w:spacing w:after="0" w:line="282" w:lineRule="auto"/>
        <w:tabs>
          <w:tab w:leader="none" w:pos="22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developing, commercializing and marketing RYTELO, including with respect to third-party vendors and service providers and our ability to achieve any meaningful reduction in manufacturing costs;</w:t>
      </w:r>
    </w:p>
    <w:p>
      <w:pPr>
        <w:spacing w:after="0" w:line="161" w:lineRule="exact"/>
        <w:rPr>
          <w:rFonts w:ascii="Times New Roman" w:cs="Times New Roman" w:eastAsia="Times New Roman" w:hAnsi="Times New Roman"/>
          <w:sz w:val="18"/>
          <w:szCs w:val="18"/>
          <w:color w:val="auto"/>
        </w:rPr>
      </w:pPr>
    </w:p>
    <w:p>
      <w:pPr>
        <w:ind w:left="2260" w:hanging="1086"/>
        <w:spacing w:after="0"/>
        <w:tabs>
          <w:tab w:leader="none" w:pos="2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for RYTELO;</w:t>
      </w:r>
    </w:p>
    <w:p>
      <w:pPr>
        <w:spacing w:after="0" w:line="225" w:lineRule="exact"/>
        <w:rPr>
          <w:rFonts w:ascii="Times New Roman" w:cs="Times New Roman" w:eastAsia="Times New Roman" w:hAnsi="Times New Roman"/>
          <w:sz w:val="18"/>
          <w:szCs w:val="18"/>
          <w:color w:val="auto"/>
        </w:rPr>
      </w:pPr>
    </w:p>
    <w:p>
      <w:pPr>
        <w:ind w:left="2260" w:hanging="1086"/>
        <w:spacing w:after="0"/>
        <w:tabs>
          <w:tab w:leader="none" w:pos="2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third-party reimbursement for RYTELO;</w:t>
      </w:r>
    </w:p>
    <w:p>
      <w:pPr>
        <w:spacing w:after="0" w:line="225" w:lineRule="exact"/>
        <w:rPr>
          <w:rFonts w:ascii="Times New Roman" w:cs="Times New Roman" w:eastAsia="Times New Roman" w:hAnsi="Times New Roman"/>
          <w:sz w:val="18"/>
          <w:szCs w:val="18"/>
          <w:color w:val="auto"/>
        </w:rPr>
      </w:pPr>
    </w:p>
    <w:p>
      <w:pPr>
        <w:ind w:left="2280" w:right="100" w:hanging="1106"/>
        <w:spacing w:after="0" w:line="266" w:lineRule="auto"/>
        <w:tabs>
          <w:tab w:leader="none" w:pos="22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drugs and technologies, or invest in businesses, products or technologies, although we currently have no commitments or agreements relating to any of these types of transactions, or to which we out-license RYTELO;</w:t>
      </w:r>
    </w:p>
    <w:p>
      <w:pPr>
        <w:spacing w:after="0" w:line="175" w:lineRule="exact"/>
        <w:rPr>
          <w:rFonts w:ascii="Times New Roman" w:cs="Times New Roman" w:eastAsia="Times New Roman" w:hAnsi="Times New Roman"/>
          <w:sz w:val="18"/>
          <w:szCs w:val="18"/>
          <w:color w:val="auto"/>
        </w:rPr>
      </w:pPr>
    </w:p>
    <w:p>
      <w:pPr>
        <w:ind w:left="2280" w:hanging="1106"/>
        <w:spacing w:after="0" w:line="266" w:lineRule="auto"/>
        <w:tabs>
          <w:tab w:leader="none" w:pos="22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able to enter into and conduct successful commercial arrangements with third parties, including for the commercialization and marketing of RYTELO in the EU and in any other regions outside of the U.S., if approved for commercialization in such other regions;</w:t>
      </w:r>
    </w:p>
    <w:p>
      <w:pPr>
        <w:spacing w:after="0" w:line="175" w:lineRule="exact"/>
        <w:rPr>
          <w:rFonts w:ascii="Times New Roman" w:cs="Times New Roman" w:eastAsia="Times New Roman" w:hAnsi="Times New Roman"/>
          <w:sz w:val="18"/>
          <w:szCs w:val="18"/>
          <w:color w:val="auto"/>
        </w:rPr>
      </w:pPr>
    </w:p>
    <w:p>
      <w:pPr>
        <w:ind w:left="2280" w:right="500" w:hanging="1106"/>
        <w:spacing w:after="0" w:line="282" w:lineRule="auto"/>
        <w:tabs>
          <w:tab w:leader="none" w:pos="22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the pending putative securities class action and shareholder derivative lawsuits and potential additional related lawsuits, as well as any other litigation;</w:t>
      </w:r>
    </w:p>
    <w:p>
      <w:pPr>
        <w:spacing w:after="0" w:line="161" w:lineRule="exact"/>
        <w:rPr>
          <w:rFonts w:ascii="Times New Roman" w:cs="Times New Roman" w:eastAsia="Times New Roman" w:hAnsi="Times New Roman"/>
          <w:sz w:val="18"/>
          <w:szCs w:val="18"/>
          <w:color w:val="auto"/>
        </w:rPr>
      </w:pPr>
    </w:p>
    <w:p>
      <w:pPr>
        <w:ind w:left="2280" w:right="280" w:hanging="1106"/>
        <w:spacing w:after="0" w:line="282" w:lineRule="auto"/>
        <w:tabs>
          <w:tab w:leader="none" w:pos="22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scope of our selling, general and administrative expenses, including expenses associated with pending and potential future litigation;</w:t>
      </w:r>
    </w:p>
    <w:p>
      <w:pPr>
        <w:spacing w:after="0" w:line="161" w:lineRule="exact"/>
        <w:rPr>
          <w:rFonts w:ascii="Times New Roman" w:cs="Times New Roman" w:eastAsia="Times New Roman" w:hAnsi="Times New Roman"/>
          <w:sz w:val="18"/>
          <w:szCs w:val="18"/>
          <w:color w:val="auto"/>
        </w:rPr>
      </w:pPr>
    </w:p>
    <w:p>
      <w:pPr>
        <w:ind w:left="2260" w:hanging="1086"/>
        <w:spacing w:after="0"/>
        <w:tabs>
          <w:tab w:leader="none" w:pos="2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associated debt service obligations;</w:t>
      </w:r>
    </w:p>
    <w:p>
      <w:pPr>
        <w:spacing w:after="0" w:line="225" w:lineRule="exact"/>
        <w:rPr>
          <w:rFonts w:ascii="Times New Roman" w:cs="Times New Roman" w:eastAsia="Times New Roman" w:hAnsi="Times New Roman"/>
          <w:sz w:val="18"/>
          <w:szCs w:val="18"/>
          <w:color w:val="auto"/>
        </w:rPr>
      </w:pPr>
    </w:p>
    <w:p>
      <w:pPr>
        <w:ind w:left="2260" w:hanging="1086"/>
        <w:spacing w:after="0"/>
        <w:tabs>
          <w:tab w:leader="none" w:pos="2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and operating facilities in California and New Jersey, as well as higher expenses for travel;</w:t>
      </w:r>
    </w:p>
    <w:p>
      <w:pPr>
        <w:spacing w:after="0" w:line="225" w:lineRule="exact"/>
        <w:rPr>
          <w:rFonts w:ascii="Times New Roman" w:cs="Times New Roman" w:eastAsia="Times New Roman" w:hAnsi="Times New Roman"/>
          <w:sz w:val="18"/>
          <w:szCs w:val="18"/>
          <w:color w:val="auto"/>
        </w:rPr>
      </w:pPr>
    </w:p>
    <w:p>
      <w:pPr>
        <w:ind w:left="2280" w:right="120" w:hanging="1106"/>
        <w:spacing w:after="0" w:line="282" w:lineRule="auto"/>
        <w:tabs>
          <w:tab w:leader="none" w:pos="22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or other global conditions that may reduce our ability to access equity or debt capital or other financing on preferable terms, which may adversely affect future capital requirements and forecasts; and</w:t>
      </w:r>
    </w:p>
    <w:p>
      <w:pPr>
        <w:spacing w:after="0" w:line="161" w:lineRule="exact"/>
        <w:rPr>
          <w:rFonts w:ascii="Times New Roman" w:cs="Times New Roman" w:eastAsia="Times New Roman" w:hAnsi="Times New Roman"/>
          <w:sz w:val="18"/>
          <w:szCs w:val="18"/>
          <w:color w:val="auto"/>
        </w:rPr>
      </w:pPr>
    </w:p>
    <w:p>
      <w:pPr>
        <w:ind w:left="2280" w:right="40" w:hanging="1106"/>
        <w:spacing w:after="0" w:line="282" w:lineRule="auto"/>
        <w:tabs>
          <w:tab w:leader="none" w:pos="22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enabling our personnel to work remotely, including providing supplies, equipment and technology necessary for them to perform their responsibilities.</w:t>
      </w:r>
    </w:p>
    <w:p>
      <w:pPr>
        <w:spacing w:after="0" w:line="200" w:lineRule="exact"/>
        <w:rPr>
          <w:sz w:val="20"/>
          <w:szCs w:val="20"/>
          <w:color w:val="auto"/>
        </w:rPr>
      </w:pPr>
    </w:p>
    <w:p>
      <w:pPr>
        <w:spacing w:after="0" w:line="205" w:lineRule="exact"/>
        <w:rPr>
          <w:sz w:val="20"/>
          <w:szCs w:val="20"/>
          <w:color w:val="auto"/>
        </w:rPr>
      </w:pPr>
    </w:p>
    <w:p>
      <w:pPr>
        <w:ind w:right="20" w:firstLine="1166"/>
        <w:spacing w:after="0" w:line="253" w:lineRule="auto"/>
        <w:rPr>
          <w:sz w:val="20"/>
          <w:szCs w:val="20"/>
          <w:color w:val="auto"/>
        </w:rPr>
      </w:pPr>
      <w:r>
        <w:rPr>
          <w:rFonts w:ascii="Times New Roman" w:cs="Times New Roman" w:eastAsia="Times New Roman" w:hAnsi="Times New Roman"/>
          <w:sz w:val="18"/>
          <w:szCs w:val="18"/>
          <w:color w:val="auto"/>
        </w:rPr>
        <w:t>In the event we need to raise additional capital to fund our business, including pursuant to the 2026 Sales Agreement with TD Cowen, the Tranche B Loan and the Tranche C Loan under the Pharmakon Loan Agreement, which are subject to certain funding conditions, capital lease transactions or other financing sources, such additional capital may not be available on acceptable terms, or at all. We may be unable to raise equity capital, or may be forced to do so at a stock price or on other terms that could result in substantial dilution of ownership for our stockholders. The receptivity of the public and private debt and equity markets to proposed financings has been substantially affected by uncertainty in the general economic, market and political climate due to the effects of macroeconomic or other global conditions, such as further changes in tariffs and other trade restrictions and uncertainty around further escalation of trade tensions and renegotiation of existing international trade agreements, inflation, fluctuations in interest rates, prospects of a recession, government shutdowns, bank failures and other disruptions to financial systems, civil or political unrest, military conflicts, pandemics or other health crises and supply chain and resource issues, and may in the future be affected by other factors which are unpredictable and over which we have no control. These effects have increased market volatility and could result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2" w:name="page33"/>
    <w:bookmarkEnd w:id="32"/>
    <w:p>
      <w:pPr>
        <w:ind w:right="60"/>
        <w:spacing w:after="0" w:line="253" w:lineRule="auto"/>
        <w:rPr>
          <w:sz w:val="20"/>
          <w:szCs w:val="20"/>
          <w:color w:val="auto"/>
        </w:rPr>
      </w:pPr>
      <w:r>
        <w:rPr>
          <w:rFonts w:ascii="Times New Roman" w:cs="Times New Roman" w:eastAsia="Times New Roman" w:hAnsi="Times New Roman"/>
          <w:sz w:val="18"/>
          <w:szCs w:val="18"/>
          <w:color w:val="auto"/>
        </w:rPr>
        <w:t>in a significant long-term disruption of global financial markets, which could reduce or eliminate our ability to raise additional funds through financings, and could negatively impact the terms upon which we may raise those funds. Similarly, these macroeconomic conditions have created extreme volatility and disruption in the equity and credit markets and is expected to have further global economic consequences. For example, the ongoing Russia-Ukraine military conflict and the ongoing military conflict involving the U.S., Israel and Iran have created extreme volatility and disruption in the equity and credit markets and have had and may continue to have further global economic consequences, including continued disruptions of the global supply chain and energy markets, which could continue to drive inflationary pressures and increase global recession risk. If the equity and credit markets deteriorate, including as a result of macroeconomic or other global conditions, such as inflation, changes in interest rates, prospects of a recession, government shutdowns, further changes in tariffs and other trade restrictions, bank failures and other disruptions to financial systems, civil or political unrest, military conflicts, pandemics or other health crises and supply chain and resource issues, it may make any necessary debt or equity financing more difficult to obtain in a timely manner or on favorable terms, more costly or more dilutive. If we are unable to effectively commercialize RYTELO, or raise additional capital, if needed, or establish alternative collaborative arrangements with third-party collaborative partners for RYTELO, when needed, the development and commercialization of RYTELO may be further delayed, altered or abandoned, which might cause us to cease operations.</w:t>
      </w:r>
    </w:p>
    <w:p>
      <w:pPr>
        <w:spacing w:after="0" w:line="298" w:lineRule="exact"/>
        <w:rPr>
          <w:sz w:val="20"/>
          <w:szCs w:val="20"/>
          <w:color w:val="auto"/>
        </w:rPr>
      </w:pPr>
    </w:p>
    <w:p>
      <w:pPr>
        <w:ind w:firstLine="1166"/>
        <w:spacing w:after="0" w:line="253" w:lineRule="auto"/>
        <w:rPr>
          <w:sz w:val="20"/>
          <w:szCs w:val="20"/>
          <w:color w:val="auto"/>
        </w:rPr>
      </w:pPr>
      <w:r>
        <w:rPr>
          <w:rFonts w:ascii="Times New Roman" w:cs="Times New Roman" w:eastAsia="Times New Roman" w:hAnsi="Times New Roman"/>
          <w:sz w:val="18"/>
          <w:szCs w:val="18"/>
          <w:color w:val="auto"/>
        </w:rPr>
        <w:t>In addition, we may seek additional capital due to market conditions or strategic considerations even if we believe we have sufficient funds for our current or future operating plans. Due to uncertainty in the general economic, market and political climate, we may determine that it is necessary or appropriate to raise additional funds proactively to meet longer-term anticipated operating plans. To the extent that we raise additional capital through the sale of equity or convertible debt securities, including pursuant to the 2026 Sales Agreement, our stockholders may be diluted, and the terms may include liquidation or other preferences that could materially and adversely affect the rights of our existing stockholders. In addition, we have borrowed, and in the future may borrow, additional capital from institutional and commercial banking sources to fund development and our future growth, including pursuant to our Pharmakon Loan Agreement or potentially pursuant to new arrangements with different lenders. We may borrow funds on terms under agreements, such as our Pharmakon Loan Agreement, that include restrictive covenants, including covenants limiting or restricting our ability to take specific actions, such as incurring additional debt, making capital expenditures or declaring dividends. Moreover, if we raise additional funds through alliance, collaborative or licensing arrangements with third parties, we may have to relinquish valuable rights to RYTELO or our technologies or grant licenses on terms that are not favorable to us.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Used in Operating Activities</w:t>
      </w:r>
    </w:p>
    <w:p>
      <w:pPr>
        <w:spacing w:after="0" w:line="108" w:lineRule="exact"/>
        <w:rPr>
          <w:sz w:val="20"/>
          <w:szCs w:val="20"/>
          <w:color w:val="auto"/>
        </w:rPr>
      </w:pPr>
    </w:p>
    <w:p>
      <w:pPr>
        <w:ind w:firstLine="1166"/>
        <w:spacing w:after="0" w:line="266" w:lineRule="auto"/>
        <w:rPr>
          <w:sz w:val="20"/>
          <w:szCs w:val="20"/>
          <w:color w:val="auto"/>
        </w:rPr>
      </w:pPr>
      <w:r>
        <w:rPr>
          <w:rFonts w:ascii="Times New Roman" w:cs="Times New Roman" w:eastAsia="Times New Roman" w:hAnsi="Times New Roman"/>
          <w:sz w:val="18"/>
          <w:szCs w:val="18"/>
          <w:color w:val="auto"/>
        </w:rPr>
        <w:t>Net cash used in operations for the three months ended March 31, 2026 and 2025 was $62.9 million and $48.0 million, respectively. The increase in net cash used in operations for the three months ended March 31, 2026, compared to the same period in 2025, primarily due to payments related to workforce reduction and inventory purchases.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121" w:lineRule="exact"/>
        <w:rPr>
          <w:sz w:val="20"/>
          <w:szCs w:val="20"/>
          <w:color w:val="auto"/>
        </w:rPr>
      </w:pPr>
    </w:p>
    <w:p>
      <w:pPr>
        <w:ind w:right="220" w:firstLine="1166"/>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2026 and 2025 was $51.9 million and $52.4 million, respectively. The decrease in net cash provided by investing activities for the three months ended March 31, 2026, compared to the same period in 2025, primarily reflects decreased proceeds the sale and maturities of marketable securities, partially offset by lower purchases of marketable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121" w:lineRule="exact"/>
        <w:rPr>
          <w:sz w:val="20"/>
          <w:szCs w:val="20"/>
          <w:color w:val="auto"/>
        </w:rPr>
      </w:pPr>
    </w:p>
    <w:p>
      <w:pPr>
        <w:ind w:right="60" w:firstLine="1166"/>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2026 and 2025 was $2.4 million and $0.3 million, respectively. The increase in net cash provided by financing activities primarily reflects higher proceeds from issuances of common stock under our equity plans and proceeds from the exercise of warrants.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20" w:firstLine="1166"/>
        <w:spacing w:after="0" w:line="282" w:lineRule="auto"/>
        <w:rPr>
          <w:sz w:val="20"/>
          <w:szCs w:val="20"/>
          <w:color w:val="auto"/>
        </w:rPr>
      </w:pPr>
      <w:r>
        <w:rPr>
          <w:rFonts w:ascii="Times New Roman" w:cs="Times New Roman" w:eastAsia="Times New Roman" w:hAnsi="Times New Roman"/>
          <w:sz w:val="18"/>
          <w:szCs w:val="18"/>
          <w:color w:val="auto"/>
        </w:rPr>
        <w:t>Our operating expenditures primarily consist of our obligations under commercial purchase commitments related to our manufacturing and supply agreements for RYTELO and operating leases.</w:t>
      </w:r>
    </w:p>
    <w:p>
      <w:pPr>
        <w:spacing w:after="0" w:line="162" w:lineRule="exact"/>
        <w:rPr>
          <w:sz w:val="20"/>
          <w:szCs w:val="20"/>
          <w:color w:val="auto"/>
        </w:rPr>
      </w:pPr>
    </w:p>
    <w:p>
      <w:pPr>
        <w:ind w:right="80" w:firstLine="1166"/>
        <w:spacing w:after="0" w:line="282" w:lineRule="auto"/>
        <w:rPr>
          <w:sz w:val="20"/>
          <w:szCs w:val="20"/>
          <w:color w:val="auto"/>
        </w:rPr>
      </w:pPr>
      <w:r>
        <w:rPr>
          <w:rFonts w:ascii="Times New Roman" w:cs="Times New Roman" w:eastAsia="Times New Roman" w:hAnsi="Times New Roman"/>
          <w:sz w:val="18"/>
          <w:szCs w:val="18"/>
          <w:color w:val="auto"/>
        </w:rPr>
        <w:t>RYTELO requires long lead times to manufacture. Therefore, we make substantial and often long-term investments in our supply chain in order to ensure we have enough drug product to meet potential future commercialization requirements, as well as clinical trial needs.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33" w:name="page34"/>
    <w:bookmarkEnd w:id="33"/>
    <w:p>
      <w:pPr>
        <w:ind w:right="300" w:firstLine="1166"/>
        <w:spacing w:after="0" w:line="228" w:lineRule="exact"/>
        <w:rPr>
          <w:sz w:val="20"/>
          <w:szCs w:val="20"/>
          <w:color w:val="auto"/>
        </w:rPr>
      </w:pPr>
      <w:r>
        <w:rPr>
          <w:rFonts w:ascii="Times New Roman" w:cs="Times New Roman" w:eastAsia="Times New Roman" w:hAnsi="Times New Roman"/>
          <w:sz w:val="18"/>
          <w:szCs w:val="18"/>
          <w:color w:val="auto"/>
        </w:rPr>
        <w:t>We have engaged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 manufacturers to manufacture and supply additional quantities of RYTELO that meet applicable regulatory standards for current and potential future clinical trials and commercial uses. Related to those contract manufacturing agreements, we have binding commercial purchase commitments of approximately $15.9 million that can be cancelled, but would incur cancellation penalties, and approximately $37.7 million in agreed upon manufacturing commitments that can be adjusted based on commercial demand of RYTELO. We expect to utilize all related commercial purchase commitments.</w:t>
      </w:r>
    </w:p>
    <w:p>
      <w:pPr>
        <w:spacing w:after="0" w:line="19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As of March 31, 2026, we had a long-term principal debt balance of $119.8 million related to the Pharmakon Loan Agreement.</w:t>
      </w:r>
    </w:p>
    <w:p>
      <w:pPr>
        <w:spacing w:after="0" w:line="225" w:lineRule="exact"/>
        <w:rPr>
          <w:sz w:val="20"/>
          <w:szCs w:val="20"/>
          <w:color w:val="auto"/>
        </w:rPr>
      </w:pPr>
    </w:p>
    <w:p>
      <w:pPr>
        <w:ind w:right="100" w:firstLine="1166"/>
        <w:spacing w:after="0" w:line="255" w:lineRule="auto"/>
        <w:rPr>
          <w:sz w:val="20"/>
          <w:szCs w:val="20"/>
          <w:color w:val="auto"/>
        </w:rPr>
      </w:pPr>
      <w:r>
        <w:rPr>
          <w:rFonts w:ascii="Times New Roman" w:cs="Times New Roman" w:eastAsia="Times New Roman" w:hAnsi="Times New Roman"/>
          <w:sz w:val="18"/>
          <w:szCs w:val="18"/>
          <w:color w:val="auto"/>
        </w:rPr>
        <w:t>On November 1, 2024, we entered into the Pharmakon Loan Agreement, and in connection with this transaction, all obligations outstanding under the Hercules Loan Agreement were repaid in full on November 1, 2024, upon which the Hercules Loan Agreement was terminated. On January 5, 2026, the Pharmakon Loan Agreement was amended to extend the date for requesting the Tranche B Loan and Tranche C Loan, once available, from December 31, 2025 to July 30, 2026. The amendment also extended the Makewhole Date from November 1, 2026 to May 1, 2027. We expect our interest expense to increase in future periods due to the draw down of the Tranche A Loan and potential future draw downs of the other Term Loans under the Pharmakon Loan Agreement. See Note 7 on Debt in Notes to Condensed Consolidated Financial Statements of this Report for additional information on the Pharmakon Loan Agreement.</w:t>
      </w:r>
    </w:p>
    <w:p>
      <w:pPr>
        <w:spacing w:after="0" w:line="189" w:lineRule="exact"/>
        <w:rPr>
          <w:sz w:val="20"/>
          <w:szCs w:val="20"/>
          <w:color w:val="auto"/>
        </w:rPr>
      </w:pPr>
    </w:p>
    <w:p>
      <w:pPr>
        <w:ind w:right="60" w:firstLine="1166"/>
        <w:spacing w:after="0" w:line="256" w:lineRule="auto"/>
        <w:rPr>
          <w:sz w:val="20"/>
          <w:szCs w:val="20"/>
          <w:color w:val="auto"/>
        </w:rPr>
      </w:pPr>
      <w:r>
        <w:rPr>
          <w:rFonts w:ascii="Times New Roman" w:cs="Times New Roman" w:eastAsia="Times New Roman" w:hAnsi="Times New Roman"/>
          <w:sz w:val="18"/>
          <w:szCs w:val="18"/>
          <w:color w:val="auto"/>
        </w:rPr>
        <w:t>On November 1, 2024, we entered into the Royalty Pharma Agreement, pursuant to which we received an upfront payment of $125.0 million and Royalty Pharma obtained the right to receive Royalty Payments on future U.S. net sales of RYTELO for each calendar quarter during the term of the agreement. We are obligated to make Royalty Payments each quarter based on U.S. net sales of RYTELO at the royalty rates set forth in the agreement, which Royalty Payments are not determinable at this time, until the date when the aggregate Royalty Payments equal or exceed 1.65 times the Purchase Price, if this occurs by June 30, 2031, or the date when the aggregate Royalty Payments equal or exceed 2.0 times the Purchase Price. See Note 7 on Debt in Notes to Condensed Consolidated Financial Statements of this Report for additional information on the Royalty Pharma Agreement.</w:t>
      </w:r>
    </w:p>
    <w:p>
      <w:pPr>
        <w:spacing w:after="0" w:line="187" w:lineRule="exact"/>
        <w:rPr>
          <w:sz w:val="20"/>
          <w:szCs w:val="20"/>
          <w:color w:val="auto"/>
        </w:rPr>
      </w:pPr>
    </w:p>
    <w:p>
      <w:pPr>
        <w:ind w:firstLine="1166"/>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we enter into agreements with CROs for clinical trials and with other vendors for preclinical research studies, investigator-led trials and other services and products for operating purposes. We have not considered these commitments to be contractual obligations since the contracts are generally cancellable at any time by us upon less than 180 days’ prior written notice. We also have certain in-license agreements that require us to pay milestones to such third parties upon achievement of certain development, regulatory or commercial milestones. Amounts related to contingent milestone payments are not considered contractual obligations as they are contingent on the successful achievement of certain development, regulatory approval and commercial milestones, which may not be achieved.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firstLine="116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there were no material changes to our quantitative and qualitative disclosures about market risk as set forth in Part II, Item 7A "Quantitative and Qualitative Disclosures About Market Risk" of our 2025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20" w:firstLine="1166"/>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our disclosure controls and procedures as defined in Rules 13a-15(e) and 15d-15(e) under the Exchange Act, prior to the filing of this Report. Based on that evaluation, our Chief Executive Officer and our Chief Financial Officer have concluded that, as of the end of the period covered by this Report, our disclosure controls and procedures were effective at the reasonable assurance level.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80" w:firstLine="1166"/>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to which this Report relates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ind w:firstLine="1166"/>
        <w:spacing w:after="0" w:line="254" w:lineRule="auto"/>
        <w:rPr>
          <w:sz w:val="20"/>
          <w:szCs w:val="20"/>
          <w:color w:val="auto"/>
        </w:rPr>
      </w:pPr>
      <w:r>
        <w:rPr>
          <w:rFonts w:ascii="Times New Roman" w:cs="Times New Roman" w:eastAsia="Times New Roman" w:hAnsi="Times New Roman"/>
          <w:sz w:val="18"/>
          <w:szCs w:val="18"/>
          <w:color w:val="auto"/>
        </w:rPr>
        <w:t>In designing and evaluating disclosure controls and procedures, our management recognizes that any system of controls, however well designed and operated, can provide only reasonable assurance, and not absolute assurance, that the desired control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in all future circumstances. Accordingly, our disclosure controls and procedures are designed to provide reasonable, not absolute, assurance that the objectives of our disclosure control system are met and, as set forth above, our Chief Executive Officer and our Chief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35" w:name="page36"/>
    <w:bookmarkEnd w:id="3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80" w:firstLine="1166"/>
        <w:spacing w:after="0" w:line="282" w:lineRule="auto"/>
        <w:rPr>
          <w:sz w:val="20"/>
          <w:szCs w:val="20"/>
          <w:color w:val="auto"/>
        </w:rPr>
      </w:pPr>
      <w:r>
        <w:rPr>
          <w:rFonts w:ascii="Times New Roman" w:cs="Times New Roman" w:eastAsia="Times New Roman" w:hAnsi="Times New Roman"/>
          <w:sz w:val="18"/>
          <w:szCs w:val="18"/>
          <w:color w:val="auto"/>
        </w:rPr>
        <w:t>See Note 8 on Commitments and Contingencies in Notes to Condensed Consolidated Financial Statements of this Report for information on legal proceedings.</w:t>
      </w:r>
    </w:p>
    <w:p>
      <w:pPr>
        <w:spacing w:after="0" w:line="26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56" w:lineRule="exact"/>
        <w:rPr>
          <w:sz w:val="20"/>
          <w:szCs w:val="20"/>
          <w:color w:val="auto"/>
        </w:rPr>
      </w:pPr>
    </w:p>
    <w:p>
      <w:pPr>
        <w:jc w:val="both"/>
        <w:ind w:right="40" w:firstLine="1166"/>
        <w:spacing w:after="0" w:line="272" w:lineRule="auto"/>
        <w:rPr>
          <w:sz w:val="20"/>
          <w:szCs w:val="20"/>
          <w:color w:val="auto"/>
        </w:rPr>
      </w:pPr>
      <w:r>
        <w:rPr>
          <w:rFonts w:ascii="Times New Roman" w:cs="Times New Roman" w:eastAsia="Times New Roman" w:hAnsi="Times New Roman"/>
          <w:sz w:val="17"/>
          <w:szCs w:val="17"/>
          <w:color w:val="auto"/>
        </w:rPr>
        <w:t>Below is a summary of material factors that make an investment in our common stock speculative or risky. Importantly, this summary does not address all of the risks and uncertainties that we face. You should understand that it is not possible to predict or identify all such factors. Consequently, you should not consider this summary to be a complete discussion of all potential risks or uncertainties that may substantially impact our business.</w:t>
      </w:r>
    </w:p>
    <w:p>
      <w:pPr>
        <w:spacing w:after="0" w:line="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Additional discussion of the risks and uncertainties summarized in this risk factor summary, as well as other risks and uncertainties that we face, can be found under “Risk Factors” in Part I, Item 1A of this Report. The summary below is qualified in its entirety by that more complete discussion of such risks and uncertainties. Moreover, we operate in a competitive and rapidly changing environment. New factors emerge from time to time and it is not possible to predict the impact of all of these factors on our business, financial condition or results of operations. You should consider carefully the risks and uncertainties described under “Risk Factors” in Part I, Item 1A of this Report as part of your evaluation of an investment in our common stock.</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Commercialization of RYTELO® (Imetelstat)</w:t>
      </w:r>
    </w:p>
    <w:p>
      <w:pPr>
        <w:spacing w:after="0" w:line="256" w:lineRule="exact"/>
        <w:rPr>
          <w:sz w:val="20"/>
          <w:szCs w:val="20"/>
          <w:color w:val="auto"/>
        </w:rPr>
      </w:pPr>
    </w:p>
    <w:p>
      <w:pPr>
        <w:ind w:left="660" w:right="200" w:hanging="328"/>
        <w:spacing w:after="0" w:line="25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near-term prospects are wholly dependent on RYTELO. We have limited experience with the commercialization of RYTELO, and if we are unable to successfully commercialize RYTELO in the U.S. for lower-risk MDS, or to expand its indication of use, our ability to generate meaningful revenue or achieve profitability will be materially and adversely affected.</w:t>
      </w:r>
    </w:p>
    <w:p>
      <w:pPr>
        <w:spacing w:after="0" w:line="1" w:lineRule="exact"/>
        <w:rPr>
          <w:rFonts w:ascii="Times New Roman" w:cs="Times New Roman" w:eastAsia="Times New Roman" w:hAnsi="Times New Roman"/>
          <w:sz w:val="18"/>
          <w:szCs w:val="18"/>
          <w:color w:val="auto"/>
        </w:rPr>
      </w:pPr>
    </w:p>
    <w:p>
      <w:pPr>
        <w:ind w:left="660" w:right="200" w:hanging="328"/>
        <w:spacing w:after="0" w:line="265" w:lineRule="auto"/>
        <w:tabs>
          <w:tab w:leader="none" w:pos="65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we have established commercial operations and sales, marketing and distribution infrastructure for RYTELO, we have limited experience in sustaining and scaling these operations and our commercialization efforts may be unsuccessful or less successful than anticipated.</w:t>
      </w:r>
    </w:p>
    <w:p>
      <w:pPr>
        <w:ind w:left="660" w:right="18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continue to execute on our sales, marketing and distribution plans to commercialize RYTELO, we may be unable to generate meaningful product revenue.</w:t>
      </w:r>
    </w:p>
    <w:p>
      <w:pPr>
        <w:ind w:left="660" w:right="2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existing products, product candidates and technologies, and competitors may develop new products and technologies. If these products, product candidates or technologies are deemed by the healthcare community to be superior to or more cost-effective than RYTELO, it would significantly impact the development and commercial viability of RYTELO, which would severely and adversely affect our financial results, business and business prospects, and the future of RYTELO, and might cause us to cease operations.</w:t>
      </w:r>
    </w:p>
    <w:p>
      <w:pPr>
        <w:spacing w:after="0" w:line="1" w:lineRule="exact"/>
        <w:rPr>
          <w:rFonts w:ascii="Times New Roman" w:cs="Times New Roman" w:eastAsia="Times New Roman" w:hAnsi="Times New Roman"/>
          <w:sz w:val="18"/>
          <w:szCs w:val="18"/>
          <w:color w:val="auto"/>
        </w:rPr>
      </w:pPr>
    </w:p>
    <w:p>
      <w:pPr>
        <w:ind w:left="660" w:right="940" w:hanging="328"/>
        <w:spacing w:after="0" w:line="26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pricing and reimbursement regulations in the European Union, or EU, which may materially affect our ability to commercialize and receive reimbursement coverage for RYTELO in the EU.</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Approval of RYTELO</w:t>
      </w:r>
    </w:p>
    <w:p>
      <w:pPr>
        <w:spacing w:after="0" w:line="256" w:lineRule="exact"/>
        <w:rPr>
          <w:sz w:val="20"/>
          <w:szCs w:val="20"/>
          <w:color w:val="auto"/>
        </w:rPr>
      </w:pPr>
    </w:p>
    <w:p>
      <w:pPr>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maintain regulatory approvals for RYTELO in the U.S. and the EU for lower-risk MDS, which would severely and adversely affect our business and business prospects, and might cause us to cease operations.</w:t>
      </w:r>
    </w:p>
    <w:p>
      <w:pPr>
        <w:ind w:left="660" w:right="40" w:hanging="328"/>
        <w:spacing w:after="0" w:line="255"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regulatory approval for RYTELO in the U.S. and in the EU for certain patients with lower-risk MDS is subject to post-marketing requirements and commitments, and we may be subject to penalties or product withdrawal if we fail to comply with these regulatory requirements and commitments, or if we experience unanticipated problems with RYTELO.</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Compliance with Healthcare Laws</w:t>
      </w:r>
    </w:p>
    <w:p>
      <w:pPr>
        <w:spacing w:after="0" w:line="256" w:lineRule="exact"/>
        <w:rPr>
          <w:sz w:val="20"/>
          <w:szCs w:val="20"/>
          <w:color w:val="auto"/>
        </w:rPr>
      </w:pPr>
    </w:p>
    <w:p>
      <w:pPr>
        <w:jc w:val="both"/>
        <w:ind w:left="660" w:right="30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healthcare providers, including physicians and third-party payors, the methods by which we promote RYTELO, and the content of our promotional materials and programs, are subject to applicable promotional, anti-kickback, fraud and abuse, and other healthcare laws and regulations, and our failure to comply</w:t>
      </w: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36" w:name="page37"/>
    <w:bookmarkEnd w:id="36"/>
    <w:p>
      <w:pPr>
        <w:ind w:left="660" w:right="760"/>
        <w:spacing w:after="0" w:line="261" w:lineRule="auto"/>
        <w:rPr>
          <w:sz w:val="20"/>
          <w:szCs w:val="20"/>
          <w:color w:val="auto"/>
        </w:rPr>
      </w:pPr>
      <w:r>
        <w:rPr>
          <w:rFonts w:ascii="Times New Roman" w:cs="Times New Roman" w:eastAsia="Times New Roman" w:hAnsi="Times New Roman"/>
          <w:sz w:val="18"/>
          <w:szCs w:val="18"/>
          <w:color w:val="auto"/>
        </w:rPr>
        <w:t>with these laws could expose us to criminal sanctions, civil penalties, exclusion from federal health care programs, contractual damages, reputational harm and may adversely affect our business and financial results.</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Further Development of Imetelstat</w:t>
      </w:r>
    </w:p>
    <w:p>
      <w:pPr>
        <w:spacing w:after="0" w:line="234" w:lineRule="exact"/>
        <w:rPr>
          <w:sz w:val="20"/>
          <w:szCs w:val="20"/>
          <w:color w:val="auto"/>
        </w:rPr>
      </w:pPr>
    </w:p>
    <w:p>
      <w:pPr>
        <w:ind w:left="660" w:righ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be certain that we will be able to continue to develop imetelstat or advance it in clinical trials, or that we will be able to receive regulatory approval for imetelstat in any other indications in the U.S., the EU or any other region, on a timely basis or at all.</w:t>
      </w:r>
    </w:p>
    <w:p>
      <w:pPr>
        <w:ind w:left="660" w:right="30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RYTELO may cause, or have attributed to it, undesirable or unintended side effects or other adverse events that could halt or limit its further commercialization, delay or prevent its regulatory approval in any other jurisdiction or indication, or cause us to delay or terminate our clinical trials.</w:t>
      </w:r>
    </w:p>
    <w:p>
      <w:pPr>
        <w:spacing w:after="0" w:line="1" w:lineRule="exact"/>
        <w:rPr>
          <w:rFonts w:ascii="Times New Roman" w:cs="Times New Roman" w:eastAsia="Times New Roman" w:hAnsi="Times New Roman"/>
          <w:sz w:val="18"/>
          <w:szCs w:val="18"/>
          <w:color w:val="auto"/>
        </w:rPr>
      </w:pPr>
    </w:p>
    <w:p>
      <w:pPr>
        <w:ind w:left="660" w:right="60" w:hanging="328"/>
        <w:spacing w:after="0" w:line="255"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and data we disclosed from prior non-clinical studies and clinical trials, as well as any data disclosed as a result of an interim analysis, may not predict success in later clinical trials or the final analysis, and we cannot assure you that any ongoing or future clinical trials of imetelstat, including IMpactMF, will lead to similar results and data that could potentially enable us to obtain any further regulatory approvals.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Manufacturing RYTELO (Imetelstat)</w:t>
      </w:r>
    </w:p>
    <w:p>
      <w:pPr>
        <w:spacing w:after="0" w:line="256" w:lineRule="exact"/>
        <w:rPr>
          <w:sz w:val="20"/>
          <w:szCs w:val="20"/>
          <w:color w:val="auto"/>
        </w:rPr>
      </w:pPr>
    </w:p>
    <w:p>
      <w:pPr>
        <w:ind w:left="660" w:right="1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maintain a manufacturing supply chain to appropriately and adequately supply RYTELO for commercial and future clinical uses would adversely affect our ability to commercialize RYTELO and result in a further delay in or cessation of clinical trials, and our business and business prospects could be severely harmed, and we could cease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Operating Results, Financial Position and Need for Additional Capital</w:t>
      </w:r>
    </w:p>
    <w:p>
      <w:pPr>
        <w:spacing w:after="0" w:line="25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may not achieve consistent future profitability for some time, if ever.</w:t>
      </w:r>
    </w:p>
    <w:p>
      <w:pPr>
        <w:spacing w:after="0" w:line="27" w:lineRule="exact"/>
        <w:rPr>
          <w:rFonts w:ascii="Times New Roman" w:cs="Times New Roman" w:eastAsia="Times New Roman" w:hAnsi="Times New Roman"/>
          <w:sz w:val="18"/>
          <w:szCs w:val="18"/>
          <w:color w:val="auto"/>
        </w:rPr>
      </w:pPr>
    </w:p>
    <w:p>
      <w:pPr>
        <w:ind w:left="660" w:right="420" w:hanging="328"/>
        <w:spacing w:after="0" w:line="255"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obtain additional capital, if and when needed, would force us to further delay, reduce or eliminate the further development of RYTELO, or to halt the commercialization of RYTELO, any of which would severely and adversely affect our financial results, business and business prospects, and might cause us to cease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 and Royalty Payment Obligations</w:t>
      </w:r>
    </w:p>
    <w:p>
      <w:pPr>
        <w:spacing w:after="0" w:line="256" w:lineRule="exact"/>
        <w:rPr>
          <w:sz w:val="20"/>
          <w:szCs w:val="20"/>
          <w:color w:val="auto"/>
        </w:rPr>
      </w:pPr>
    </w:p>
    <w:p>
      <w:pPr>
        <w:ind w:left="660" w:right="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debt service obligations could adversely affect our financial condition and may make it more difficult for us to fund our operations, including by limiting our operating and financial flexibility.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Protecting Our Intellectual Property</w:t>
      </w:r>
    </w:p>
    <w:p>
      <w:pPr>
        <w:spacing w:after="0" w:line="31" w:lineRule="exact"/>
        <w:rPr>
          <w:sz w:val="20"/>
          <w:szCs w:val="20"/>
          <w:color w:val="auto"/>
        </w:rPr>
      </w:pPr>
    </w:p>
    <w:p>
      <w:pPr>
        <w:ind w:left="660" w:right="260" w:hanging="328"/>
        <w:spacing w:after="0" w:line="255"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intellectual property protection and relevant regulatory exclusivities for RYTELO, both in the U.S. and in other countries, our competitors could develop and commercialize products similar or identical to RYTELO, and our ability to successfully commercialize RYTELO may be adversely affected.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Managing Our Growth and Other Business Operations</w:t>
      </w:r>
    </w:p>
    <w:p>
      <w:pPr>
        <w:spacing w:after="0" w:line="256" w:lineRule="exact"/>
        <w:rPr>
          <w:sz w:val="20"/>
          <w:szCs w:val="20"/>
          <w:color w:val="auto"/>
        </w:rPr>
      </w:pPr>
    </w:p>
    <w:p>
      <w:pPr>
        <w:ind w:left="660" w:right="14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restructuring plan and the associated workforce reduction implemented in December 2025 may not result in anticipated savings and long-term value creation, could result in total costs and operating expenses that are greater than expected and could disrupt our business.</w:t>
      </w:r>
    </w:p>
    <w:p>
      <w:pPr>
        <w:ind w:left="660" w:right="200" w:hanging="328"/>
        <w:spacing w:after="0" w:line="255"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certain of our current and former officers and directors have been named as defendants in securities class action lawsuits and derivative lawsuits. These lawsuits, and potential similar or related lawsuits, are costly to defend, could result in substantial damages, divert management’s time and attention from our business, and have a material adverse effect on our results of operations.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RISK FACTORS</w:t>
      </w:r>
    </w:p>
    <w:p>
      <w:pPr>
        <w:spacing w:after="0" w:line="25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We operate in a dynamic and rapidly changing environment involving numerous risks and uncertainties that may have a material adverse effect on our business, financial condition or results of operations. You should carefully consider the risks and uncertainties described below, together with all of the other information included in this Report. Our business faces significant risks and uncertainties, and those described below may not be the only risks and uncertainties we face. Additional risks and uncertainties not presently known to us or that we currently believe are immaterial may also significantly impair our business, financial condition or results of operations. If any of these risks or uncertainties occur,</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7" w:name="page38"/>
    <w:bookmarkEnd w:id="37"/>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our business, financial condition or results of operations could suffer, the market price of our common stock could decline and you could lose all or part of your investment in our common stock.</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RISKS RELATED TO THE COMMERCIALIZATION OF RYTELO</w:t>
      </w:r>
    </w:p>
    <w:p>
      <w:pPr>
        <w:spacing w:after="0" w:line="248"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near-term prospects are wholly dependent on RYTELO. We have limited experience with the commercialization of RYTELO, and if we are unable to successfully commercialize RYTELO in the U.S. for lower-risk MDS, or to expand its indication of use, our ability to generate meaningful revenue or achieve profitability will be materially and adversely affected.</w:t>
      </w:r>
    </w:p>
    <w:p>
      <w:pPr>
        <w:spacing w:after="0" w:line="202" w:lineRule="exact"/>
        <w:rPr>
          <w:sz w:val="20"/>
          <w:szCs w:val="20"/>
          <w:color w:val="auto"/>
        </w:rPr>
      </w:pPr>
    </w:p>
    <w:p>
      <w:pPr>
        <w:ind w:firstLine="1166"/>
        <w:spacing w:after="0" w:line="256" w:lineRule="auto"/>
        <w:rPr>
          <w:sz w:val="20"/>
          <w:szCs w:val="20"/>
          <w:color w:val="auto"/>
        </w:rPr>
      </w:pPr>
      <w:r>
        <w:rPr>
          <w:rFonts w:ascii="Times New Roman" w:cs="Times New Roman" w:eastAsia="Times New Roman" w:hAnsi="Times New Roman"/>
          <w:sz w:val="18"/>
          <w:szCs w:val="18"/>
          <w:color w:val="auto"/>
        </w:rPr>
        <w:t>In June 2024, we received FDA approval to commercialize RYTELO in the U.S. for certain patients with lower-risk MDS, and we initiated a commercial launch of RYTELO in the U.S. in that indication. While we have generated revenue from U.S. sales of RYTELO since mid-2024, the commercialization of RYTELO marks our first effort to commercially launch a product candidate, and our ability to grow revenue on a sustained basis has not yet been proven. RYTELO is our only product approved for marketing by the FDA, and our ability to generate meaningful revenue from product sales and achieve profitability is wholly dependent on our ability to successfully commercialize RYTELO in the U.S. for lower-risk MDS or to expand its indications of use. We may not be able to successfully commercialize RYTELO for a number of reasons, including:</w:t>
      </w:r>
    </w:p>
    <w:p>
      <w:pPr>
        <w:spacing w:after="0" w:line="214" w:lineRule="exact"/>
        <w:rPr>
          <w:sz w:val="20"/>
          <w:szCs w:val="20"/>
          <w:color w:val="auto"/>
        </w:rPr>
      </w:pPr>
    </w:p>
    <w:p>
      <w:pPr>
        <w:ind w:left="660" w:right="20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establish or demonstrate in the medical community the safety and efficacy of RYTELO and its potential advantages over, and side effects compared to, existing treatments;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may be reluctant to prescribe RYTELO until longer-term efficacy and safety data exists;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historical experience in marketing, selling and distributing RYTELO;</w:t>
      </w:r>
    </w:p>
    <w:p>
      <w:pPr>
        <w:spacing w:after="0" w:line="9" w:lineRule="exact"/>
        <w:rPr>
          <w:rFonts w:ascii="Times New Roman" w:cs="Times New Roman" w:eastAsia="Times New Roman" w:hAnsi="Times New Roman"/>
          <w:sz w:val="18"/>
          <w:szCs w:val="18"/>
          <w:color w:val="auto"/>
        </w:rPr>
      </w:pPr>
    </w:p>
    <w:p>
      <w:pPr>
        <w:ind w:left="660" w:right="62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increase physician adoption of RYTELO through our commercialization strategy and plans, including any potential amendments or adjustments to those plans;</w:t>
      </w:r>
    </w:p>
    <w:p>
      <w:pPr>
        <w:ind w:left="660" w:right="2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achieve and maintain revenue growth in the near future under our current commercialization strategy and plans or any potential further amendments or adjustments thereto;</w:t>
      </w:r>
    </w:p>
    <w:p>
      <w:pPr>
        <w:ind w:left="660" w:right="32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changes in the reimbursement and coverage policies of government and private payors such as Medicare, Medicaid, insurance companies, health maintenance organizations and other plan administrators;</w:t>
      </w:r>
    </w:p>
    <w:p>
      <w:pPr>
        <w:ind w:left="660" w:right="520" w:hanging="328"/>
        <w:spacing w:after="0" w:line="265" w:lineRule="auto"/>
        <w:tabs>
          <w:tab w:leader="none" w:pos="65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relative position of RYTELO as compared to alternative treatment options in healthcare guidelines and recommendations, such as those developed by the National Comprehensive Cancer Network, or NCCN, and similar guidelines and recommendations outside the U.S.;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price of RYTELO as compared to alternative treatment options;</w:t>
      </w:r>
    </w:p>
    <w:p>
      <w:pPr>
        <w:spacing w:after="0" w:line="9" w:lineRule="exact"/>
        <w:rPr>
          <w:rFonts w:ascii="Times New Roman" w:cs="Times New Roman" w:eastAsia="Times New Roman" w:hAnsi="Times New Roman"/>
          <w:sz w:val="18"/>
          <w:szCs w:val="18"/>
          <w:color w:val="auto"/>
        </w:rPr>
      </w:pPr>
    </w:p>
    <w:p>
      <w:pPr>
        <w:ind w:left="660" w:right="60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relatively low incidence and prevalence of patients in RYTELO’s approved indication, including the reliability of our market and sales estimates;</w:t>
      </w:r>
    </w:p>
    <w:p>
      <w:pPr>
        <w:ind w:left="660" w:right="20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penetration rate of RYTELO across the breadth of eligible patient segments in its approved indication may continue to be lower than our expectations;</w:t>
      </w:r>
    </w:p>
    <w:p>
      <w:pPr>
        <w:ind w:left="660" w:right="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projections regarding the market opportunities for RYTELO may not be accurate, and the actual market for RYTELO may be smaller than we estimate;</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competitive or other market factors may adversely affect the commercial potential of RYTELO;</w:t>
      </w:r>
    </w:p>
    <w:p>
      <w:pPr>
        <w:spacing w:after="0" w:line="9" w:lineRule="exact"/>
        <w:rPr>
          <w:rFonts w:ascii="Times New Roman" w:cs="Times New Roman" w:eastAsia="Times New Roman" w:hAnsi="Times New Roman"/>
          <w:sz w:val="18"/>
          <w:szCs w:val="18"/>
          <w:color w:val="auto"/>
        </w:rPr>
      </w:pPr>
    </w:p>
    <w:p>
      <w:pPr>
        <w:ind w:left="660" w:right="48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 maintain regulatory approvals for RYTELO in any other jurisdictions for lower-risk MDS or for any other indications, including relapsed/refractory MF;</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changed or increased regulatory restrictions;</w:t>
      </w:r>
    </w:p>
    <w:p>
      <w:pPr>
        <w:spacing w:after="0" w:line="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label for RYTELO that further restrict how we market and sell RYTELO, including adverse events observed in ongoing and future studies of imetelstat, such as our Phase 3 IMpactMF clinical trial;</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capabilities of third party manufacturers may adversely affect the success of our commercialization of RYTELO;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financial or other resources that might not be available to us to successfully commercialize RYTELO;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adequate commercial supplies of RYTELO to meet demand or at an acceptable cost or at all.</w:t>
      </w:r>
    </w:p>
    <w:p>
      <w:pPr>
        <w:spacing w:after="0" w:line="234" w:lineRule="exact"/>
        <w:rPr>
          <w:sz w:val="20"/>
          <w:szCs w:val="20"/>
          <w:color w:val="auto"/>
        </w:rPr>
      </w:pPr>
    </w:p>
    <w:p>
      <w:pPr>
        <w:ind w:right="100" w:firstLine="1166"/>
        <w:spacing w:after="0" w:line="261" w:lineRule="auto"/>
        <w:rPr>
          <w:sz w:val="20"/>
          <w:szCs w:val="20"/>
          <w:color w:val="auto"/>
        </w:rPr>
      </w:pPr>
      <w:r>
        <w:rPr>
          <w:rFonts w:ascii="Times New Roman" w:cs="Times New Roman" w:eastAsia="Times New Roman" w:hAnsi="Times New Roman"/>
          <w:sz w:val="18"/>
          <w:szCs w:val="18"/>
          <w:color w:val="auto"/>
        </w:rPr>
        <w:t>Moreover, commercialization of RYTELO may not generate sufficient revenue from product sales, and we may not become profitable in the near term, or at all. In any event, if we are unable to successfully commercialize RYTELO in the U.S. for lower-risk MDS, or to expand its indications of use, our ability to generate meaningful revenue from product sales and achieve profitability will be materially and adversely affected, which in turn would severely and adversely affect our financial results, business and business prospects, and might cause us to cease operations.</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5" w:right="379" w:bottom="1440" w:gutter="0" w:footer="0" w:header="0"/>
        </w:sectPr>
      </w:pPr>
    </w:p>
    <w:bookmarkStart w:id="38" w:name="page39"/>
    <w:bookmarkEnd w:id="38"/>
    <w:p>
      <w:pPr>
        <w:ind w:right="1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have established commercial operations and sales, marketing and distribution infrastructure for RYTELO in the U.S., our commercialization strategy may ultimately be unsuccessful or less successful than anticipated</w:t>
      </w:r>
    </w:p>
    <w:p>
      <w:pPr>
        <w:spacing w:after="0" w:line="186" w:lineRule="exact"/>
        <w:rPr>
          <w:sz w:val="20"/>
          <w:szCs w:val="20"/>
          <w:color w:val="auto"/>
        </w:rPr>
      </w:pPr>
    </w:p>
    <w:p>
      <w:pPr>
        <w:ind w:firstLine="1134"/>
        <w:spacing w:after="0" w:line="252" w:lineRule="auto"/>
        <w:rPr>
          <w:sz w:val="20"/>
          <w:szCs w:val="20"/>
          <w:color w:val="auto"/>
        </w:rPr>
      </w:pPr>
      <w:r>
        <w:rPr>
          <w:rFonts w:ascii="Times New Roman" w:cs="Times New Roman" w:eastAsia="Times New Roman" w:hAnsi="Times New Roman"/>
          <w:sz w:val="18"/>
          <w:szCs w:val="18"/>
          <w:color w:val="auto"/>
        </w:rPr>
        <w:t>As a company, we have limited prior experience in selling and marketing or commercializing an approved drug product in the U.S., and we have no experience selling, marketing or commercializing an approved drug outside of the U.S. The success of our commercialization efforts is subject to, among other things, managing our internal sales, marketing, and distribution capabilities and our ability to navigate the significant expenses and risks involved with the management of such capabilities. Our initial commercialization efforts in the U.S. have not to date achieved meaningful sales growth. Our RYTELO sales trends and resulting revenue have been and may continue to be variable. Net product revenue was approximately $51.8 million in the first quarter of 2026, $48.0 million in the fourth quarter of 2025, $47.2 million in the third quarter of 2025, and $49.0 million in the second quarter of 2025. In an effort to better execute on our plans to commercialize RYTELO and generate more meaningful product revenue, we decided to focus our commercial execution on targeted engagement with high-volume accounts that treat earlier-line patients, and invest in non-personal promotion and third-party education to reach the full breadth of the eligible patient population, while cross-functionally collaborating for effective account management. However, our revised strategy to drive RYTELO commercial growth may still not achieve meaningful sales growth, which may require us to, among other things, further adjust or amend our commercialization strategy and plans and incur significant expenses, and there can be no assurance that we will be able to meet or grow projected RYTELO net product revenue in future periods. In particular, our strategy may not drive new patient starts in lower-risk MDS U.S. patients, particularly in second-line lower-risk MDS, in a timely manner or at all, or the duration of therapy could be shorter than we expect, each of which would limit RYTELO's growth potential and could preclude or delay our ability to generate meaningful revenue from product sales and to achieve profitability. If we are unsuccessful in accomplishing our objectives from our commercialization efforts and strategy, we may not be able to generate meaningful revenue from the commercialization of RYTELO in lower-risk MDS, or may require significant additional capital and financial resources to do make further investment in our commercial operations. Any of these outcomes would severely and adversely affect our financial results, business and business prospects, and might cause us to cease operations.</w:t>
      </w:r>
    </w:p>
    <w:p>
      <w:pPr>
        <w:spacing w:after="0" w:line="219" w:lineRule="exact"/>
        <w:rPr>
          <w:sz w:val="20"/>
          <w:szCs w:val="20"/>
          <w:color w:val="auto"/>
        </w:rPr>
      </w:pPr>
    </w:p>
    <w:p>
      <w:pPr>
        <w:ind w:right="20" w:firstLine="1166"/>
        <w:spacing w:after="0" w:line="253" w:lineRule="auto"/>
        <w:rPr>
          <w:sz w:val="20"/>
          <w:szCs w:val="20"/>
          <w:color w:val="auto"/>
        </w:rPr>
      </w:pPr>
      <w:r>
        <w:rPr>
          <w:rFonts w:ascii="Times New Roman" w:cs="Times New Roman" w:eastAsia="Times New Roman" w:hAnsi="Times New Roman"/>
          <w:sz w:val="18"/>
          <w:szCs w:val="18"/>
          <w:color w:val="auto"/>
        </w:rPr>
        <w:t>In December 2025, we announced a strategic restructuring plan designed to position us for long-term value creation and improve our financial discipline. However, there can be no assurance that our recent restructuring will result in long-term value creation or that our commercialization strategy will result in meaningful improvement in our sales performance. Additionally, we may determine that we need further changes in the future that require additional hiring or other organizational changes to adequately support our strategy, which could further increase our costs. As such, we continue to compete with many companies that currently have extensive, experienced and well-funded sales, distribution and marketing operations to recruit, hire, train and retain marketing and sales personnel. If we are unable to recruit, retain and effectively train marketing, sales and medical personnel as needed and equip them with compliant and effective materials, our efforts to successfully commercialize RYTELO could be adversely affected.</w:t>
      </w:r>
    </w:p>
    <w:p>
      <w:pPr>
        <w:spacing w:after="0" w:line="3" w:lineRule="exact"/>
        <w:rPr>
          <w:sz w:val="20"/>
          <w:szCs w:val="20"/>
          <w:color w:val="auto"/>
        </w:rPr>
      </w:pPr>
    </w:p>
    <w:p>
      <w:pPr>
        <w:ind w:right="20" w:firstLine="1166"/>
        <w:spacing w:after="0" w:line="251" w:lineRule="auto"/>
        <w:rPr>
          <w:sz w:val="20"/>
          <w:szCs w:val="20"/>
          <w:color w:val="auto"/>
        </w:rPr>
      </w:pPr>
      <w:r>
        <w:rPr>
          <w:rFonts w:ascii="Times New Roman" w:cs="Times New Roman" w:eastAsia="Times New Roman" w:hAnsi="Times New Roman"/>
          <w:sz w:val="18"/>
          <w:szCs w:val="18"/>
          <w:color w:val="auto"/>
        </w:rPr>
        <w:t>Further, although we received marketing authorization for RYTELO in the EU for the treatment of certain adult patients with TD anemia due to lower-risk MDS in March 2025, we currently have no marketing or sales organization outside of the U.S., and as a company, we have no experience selling and marketing approved drugs outside of the U.S. To successfully commercialize RYTELO in the EU or in any other regions outside the U.S. where we might seek marketing authorization in the future, we will need to develop these capabilities, which we plan to do at this time by working with experienced third-party contractors or commercialization partners. Doing so will require additional investment of capital and time. We currently intend to seek contractual arrangements, strategic partnerships, collaborations, alliances or licensing arrangements with third parties to assist us in the commercialization of RYTELO in the EU and in any other regions outside of the U.S. Any failure or delay in entering into and conducting such contractual arrangements, strategic partnerships, collaborations, alliances or licensing arrangements with third parties would adversely impact the commercialization of RYTELO in the EU or in any other regions outside the U.S. where RYTELO may be approved for marketing in the future.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maintain acceptable prices or adequate reimbursement for RYTELO, the use of RYTELO could be severely limited.</w:t>
      </w:r>
    </w:p>
    <w:p>
      <w:pPr>
        <w:spacing w:after="0" w:line="31" w:lineRule="exact"/>
        <w:rPr>
          <w:sz w:val="20"/>
          <w:szCs w:val="20"/>
          <w:color w:val="auto"/>
        </w:rPr>
      </w:pPr>
    </w:p>
    <w:p>
      <w:pPr>
        <w:ind w:right="300" w:firstLine="1166"/>
        <w:spacing w:after="0" w:line="253" w:lineRule="auto"/>
        <w:rPr>
          <w:sz w:val="20"/>
          <w:szCs w:val="20"/>
          <w:color w:val="auto"/>
        </w:rPr>
      </w:pPr>
      <w:r>
        <w:rPr>
          <w:rFonts w:ascii="Times New Roman" w:cs="Times New Roman" w:eastAsia="Times New Roman" w:hAnsi="Times New Roman"/>
          <w:sz w:val="18"/>
          <w:szCs w:val="18"/>
          <w:color w:val="auto"/>
        </w:rPr>
        <w:t>Our ability to successfully commercialize RYTELO will depend significantly on maintaining acceptable prices and the availability of coverage and adequate reimbursement to patients from third-party payors. Government payors, such as the Medicare and Medicaid programs, and other third-party payors, such as private health insurers and health maintenance organizations, determine which medications they will cover and the reimbursement levels. The resulting reimbursement payment rates may not be adequate or may require significant restrictions on use or increased co-payments from commercially insured patients that patients may find unacceptably high. Patients are unlikely to use</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9" w:name="page40"/>
    <w:bookmarkEnd w:id="39"/>
    <w:p>
      <w:pPr>
        <w:ind w:right="340"/>
        <w:spacing w:after="0" w:line="282" w:lineRule="auto"/>
        <w:rPr>
          <w:sz w:val="20"/>
          <w:szCs w:val="20"/>
          <w:color w:val="auto"/>
        </w:rPr>
      </w:pPr>
      <w:r>
        <w:rPr>
          <w:rFonts w:ascii="Times New Roman" w:cs="Times New Roman" w:eastAsia="Times New Roman" w:hAnsi="Times New Roman"/>
          <w:sz w:val="18"/>
          <w:szCs w:val="18"/>
          <w:color w:val="auto"/>
        </w:rPr>
        <w:t>RYTELO unless coverage is provided, and reimbursement is adequate to cover all or a significant portion of its cost. Therefore, coverage and adequate reimbursement are critical to market acceptance of RYTELO.</w:t>
      </w:r>
    </w:p>
    <w:p>
      <w:pPr>
        <w:spacing w:after="0" w:line="189" w:lineRule="exact"/>
        <w:rPr>
          <w:sz w:val="20"/>
          <w:szCs w:val="20"/>
          <w:color w:val="auto"/>
        </w:rPr>
      </w:pPr>
    </w:p>
    <w:p>
      <w:pPr>
        <w:ind w:right="140" w:firstLine="1166"/>
        <w:spacing w:after="0" w:line="255" w:lineRule="auto"/>
        <w:rPr>
          <w:sz w:val="20"/>
          <w:szCs w:val="20"/>
          <w:color w:val="auto"/>
        </w:rPr>
      </w:pPr>
      <w:r>
        <w:rPr>
          <w:rFonts w:ascii="Times New Roman" w:cs="Times New Roman" w:eastAsia="Times New Roman" w:hAnsi="Times New Roman"/>
          <w:sz w:val="18"/>
          <w:szCs w:val="18"/>
          <w:color w:val="auto"/>
        </w:rPr>
        <w:t>In the U.S. and some jurisdictions outside the U.S., there have been a number of legislative and regulatory changes and proposed changes regarding the healthcare system that could impact our business. Generally, there has been increasing legislative and enforcement interest in the U.S. with respect to drug pricing, including specialty drug pricing practices, in light of the rising cost of prescription drugs and biologics. Specifically, there have been U.S. Congressional inquiries and federal and state legislative activity designed to, among other things, bring more transparency to drug pricing, review the relationship between pricing and manufacturer patient programs, reduce the price of drugs under Medicare, and reform government program reimbursement methodologies for drugs and biologics. For details regarding these legislative and regulatory changes and proposed changes regarding the healthcare system that may affect our ability to operate, see Item 1 “Business - Healthcare Reform” in the 2025 Form 10-K.</w:t>
      </w:r>
    </w:p>
    <w:p>
      <w:pPr>
        <w:spacing w:after="0" w:line="216" w:lineRule="exact"/>
        <w:rPr>
          <w:sz w:val="20"/>
          <w:szCs w:val="20"/>
          <w:color w:val="auto"/>
        </w:rPr>
      </w:pPr>
    </w:p>
    <w:p>
      <w:pPr>
        <w:ind w:firstLine="1166"/>
        <w:spacing w:after="0" w:line="253" w:lineRule="auto"/>
        <w:rPr>
          <w:sz w:val="20"/>
          <w:szCs w:val="20"/>
          <w:color w:val="auto"/>
        </w:rPr>
      </w:pPr>
      <w:r>
        <w:rPr>
          <w:rFonts w:ascii="Times New Roman" w:cs="Times New Roman" w:eastAsia="Times New Roman" w:hAnsi="Times New Roman"/>
          <w:sz w:val="18"/>
          <w:szCs w:val="18"/>
          <w:color w:val="auto"/>
        </w:rPr>
        <w:t>In addition, government authorities and other third-party payors in the U.S. and other jurisdictions are developing increasingly sophisticated methods of controlling healthcare costs, such as by limiting coverage and the amount of reimbursement for particular medications. Increasingly, third-party payors are requiring that drug companies provide them with predetermined discounts from list prices as a condition of coverage, are using restrictive formularies and preferred drug lists to leverage greater discounts in competitive classes, and are challenging the prices charged for medical products. The Inflation Reduction Act of 2022 includes several provisions to lower prescription drug costs for people with Medicare and reduce drug spending by the federal government, including the Medicare Drug Price Negotiation Program, which may ultimately have a negative effect on the pricing for RYTELO. However, the Medicare Drug Pricing Negotiation Program provisions of the law are currently subject to legal challenges. Further, the final CY 2026 Medicare Physician Fee Schedule rule, issued by the Centers for Medicare &amp; Medicaid Services, among other things, increases bona fide service fee documentation requirements, defines “bundled arrangement,” to require “unbundling” of both contingent and non-contingent discounts and includes sales of Part B units at the Maximum Fair Price in average sales price calculations. These changes could lower reimbursement for Medicare Part B utilization and require manufacturers to comply with new, uncertain or complex reporting obligations and drug pricing documentation practices.</w:t>
      </w:r>
    </w:p>
    <w:p>
      <w:pPr>
        <w:spacing w:after="0" w:line="219" w:lineRule="exact"/>
        <w:rPr>
          <w:sz w:val="20"/>
          <w:szCs w:val="20"/>
          <w:color w:val="auto"/>
        </w:rPr>
      </w:pPr>
    </w:p>
    <w:p>
      <w:pPr>
        <w:ind w:right="40" w:firstLine="1166"/>
        <w:spacing w:after="0" w:line="261" w:lineRule="auto"/>
        <w:rPr>
          <w:sz w:val="20"/>
          <w:szCs w:val="20"/>
          <w:color w:val="auto"/>
        </w:rPr>
      </w:pPr>
      <w:r>
        <w:rPr>
          <w:rFonts w:ascii="Times New Roman" w:cs="Times New Roman" w:eastAsia="Times New Roman" w:hAnsi="Times New Roman"/>
          <w:sz w:val="18"/>
          <w:szCs w:val="18"/>
          <w:color w:val="auto"/>
        </w:rPr>
        <w:t>Further, no uniform policy requirement for coverage and reimbursement for drug products exists among third-party payors in the U.S. As a result, the coverage determination process is often time-consuming and costly, and it will require us to provide scientific and clinical support for the use of RYTELO to each payor separately, with no assurance that coverage and adequate reimbursement will be applied consistently or obtained in the first instance.</w:t>
      </w:r>
    </w:p>
    <w:p>
      <w:pPr>
        <w:spacing w:after="0" w:line="193" w:lineRule="exact"/>
        <w:rPr>
          <w:sz w:val="20"/>
          <w:szCs w:val="20"/>
          <w:color w:val="auto"/>
        </w:rPr>
      </w:pPr>
    </w:p>
    <w:p>
      <w:pPr>
        <w:ind w:right="60" w:firstLine="1166"/>
        <w:spacing w:after="0" w:line="236" w:lineRule="auto"/>
        <w:rPr>
          <w:sz w:val="20"/>
          <w:szCs w:val="20"/>
          <w:color w:val="auto"/>
        </w:rPr>
      </w:pPr>
      <w:r>
        <w:rPr>
          <w:rFonts w:ascii="Times New Roman" w:cs="Times New Roman" w:eastAsia="Times New Roman" w:hAnsi="Times New Roman"/>
          <w:sz w:val="18"/>
          <w:szCs w:val="18"/>
          <w:color w:val="auto"/>
        </w:rPr>
        <w:t>Although we have received a permanent and product-specific J-Code (J0870) for RYTELO which became effective on January 1, 2025, coverage may significantly change or may be more limited than the indications for which the drug is approved by the FDA or similar international regulatory authorities. Coverage and reimbursement may impact the demand for, or the price of RYTELO, and reimbursement policies in the U.S., the EU, and other jurisdictions may evolve which may adversely impact our ability to successfully commercialize RYTELO. Even if favorable coverage and reimbursement status is attained for RYTELO in additional indications or jurisdictions for which we receive regulatory approval, less favorable coverage policies and reimbursement rates may be implemented in the future. Moreover, we have in the past increased and may in the future increase the price of RYTELO, and there is no guarantee that price adjustments that we have taken or may take in the future will not negatively affect our ability to secure and maintain coverage and reimbursement for RYTELO, which could limit the price that we charge for RYTELO, limit the commercial opportunities for RYTELO and/or negatively impact our sales volumes and net revenues from sales of RYTELO. In any event, if coverage and reimbursement are not available or the reimbursement amount is inadequate, we may not be able to successfully commercialize RYTELO, which would negatively impact our business and business prospects.</w:t>
      </w:r>
    </w:p>
    <w:p>
      <w:pPr>
        <w:spacing w:after="0" w:line="232" w:lineRule="exact"/>
        <w:rPr>
          <w:sz w:val="20"/>
          <w:szCs w:val="20"/>
          <w:color w:val="auto"/>
        </w:rPr>
      </w:pPr>
    </w:p>
    <w:p>
      <w:pPr>
        <w:ind w:right="20" w:firstLine="1166"/>
        <w:spacing w:after="0" w:line="254" w:lineRule="auto"/>
        <w:rPr>
          <w:sz w:val="20"/>
          <w:szCs w:val="20"/>
          <w:color w:val="auto"/>
        </w:rPr>
      </w:pPr>
      <w:r>
        <w:rPr>
          <w:rFonts w:ascii="Times New Roman" w:cs="Times New Roman" w:eastAsia="Times New Roman" w:hAnsi="Times New Roman"/>
          <w:sz w:val="18"/>
          <w:szCs w:val="18"/>
          <w:color w:val="auto"/>
        </w:rPr>
        <w:t>If future legislation were to impose direct governmental price controls and access restrictions, it could have a significant adverse impact on our business and financial results. Managed care organizations, as well as Medicaid and other government authorities, continue to seek price discounts. At the state level, legislatures have increasingly passed legislation and implemented regulations designed to control pharmaceutical and biologic product pricing, including price or patient reimbursement constraints, discounts, restrictions on certain product access and marketing cost disclosure and transparency measures, and, in some cases, to encourage importation from other countries and bulk purchasing.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future sales of RYTELO in the U.S., the EU, and in any other jurisdictions where we may seek approval in the future.</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0" w:name="page41"/>
    <w:bookmarkEnd w:id="40"/>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be commercially successful, RYTELO must be accepted by the healthcare community, which can be slow to adopt or unreceptive to new technologies and products.</w:t>
      </w:r>
    </w:p>
    <w:p>
      <w:pPr>
        <w:spacing w:after="0" w:line="186" w:lineRule="exact"/>
        <w:rPr>
          <w:sz w:val="20"/>
          <w:szCs w:val="20"/>
          <w:color w:val="auto"/>
        </w:rPr>
      </w:pPr>
    </w:p>
    <w:p>
      <w:pPr>
        <w:ind w:right="20" w:firstLine="1166"/>
        <w:spacing w:after="0" w:line="254" w:lineRule="auto"/>
        <w:rPr>
          <w:sz w:val="20"/>
          <w:szCs w:val="20"/>
          <w:color w:val="auto"/>
        </w:rPr>
      </w:pPr>
      <w:r>
        <w:rPr>
          <w:rFonts w:ascii="Times New Roman" w:cs="Times New Roman" w:eastAsia="Times New Roman" w:hAnsi="Times New Roman"/>
          <w:sz w:val="18"/>
          <w:szCs w:val="18"/>
          <w:color w:val="auto"/>
        </w:rPr>
        <w:t>Our strategy to drive sales growth and our ongoing commercialization efforts has not to date achieved and may not in the future achieve the rate of market acceptance by the healthcare community or breadth of eligible patient segments that we expect, which may require us to, among others, further adjust or amend our commercialization strategy and plans and incur significant expenses, and there can be no assurance that we will be able to grow RYTELO net product revenue in future periods. While our current priority is to drive new patient starts across the breadth of the eligible patient population in RYTELO's approved indication, we may be unable to do so in a timely manner or at all, which would limit RYTELO's growth potential and which could delay or preclude our ability to generate meaningful revenue from product sales and to achieve profitability. Furthermore, RYTELO competes with a number of conventional and widely accepted drugs and therapies manufactured and marketed by major pharmaceutical companies. The degree of market acceptance of RYTELO depends on a number of factors, including:</w:t>
      </w:r>
    </w:p>
    <w:p>
      <w:pPr>
        <w:spacing w:after="0" w:line="21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RYTELO is or may in the future be approved;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and demonstration to the medical community of the clinical efficacy and safety of RYTELO;</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demonstrate that RYTELO is superior to alternatives on the market at the time, including with respect to efficacy, safety, cost or route of administration;</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medical professionals to prescribe, and patients to use, RYTELO, or to continue to use RYTELO;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publication of favorable safety or efficacy data concerning RYTELO by third parties or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use of RYTELO alone or in combination with other products;</w:t>
      </w:r>
    </w:p>
    <w:p>
      <w:pPr>
        <w:spacing w:after="0" w:line="9"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label and promotional claims allowed by the FDA for RYTELO, as well as any such claims allowed by similar international regulatory authorities for RYTELO, including usage for only certain indications and any limitations or warnings about the prevalence or severity of any side effects;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RYTELO for new indications;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marketing and distribution infrastructure for RYTELO;</w:t>
      </w:r>
    </w:p>
    <w:p>
      <w:pPr>
        <w:spacing w:after="0" w:line="9" w:lineRule="exact"/>
        <w:rPr>
          <w:rFonts w:ascii="Times New Roman" w:cs="Times New Roman" w:eastAsia="Times New Roman" w:hAnsi="Times New Roman"/>
          <w:sz w:val="18"/>
          <w:szCs w:val="18"/>
          <w:color w:val="auto"/>
        </w:rPr>
      </w:pPr>
    </w:p>
    <w:p>
      <w:pPr>
        <w:ind w:left="660" w:right="60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third-party distributors and specialty pharmacies we contract with to process prescriptions and dispense RYTELO and the processes required to place orders with such distributors and specialty pharmacies;</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RYTELO is approved for inclusion on formularies in hospitals and managed care organizations;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RYTELO, both in absolute terms and relative to alternative treatments;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by government and third-party payors;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coverage by third-party payors, including governmental authorities.</w:t>
      </w:r>
    </w:p>
    <w:p>
      <w:pPr>
        <w:spacing w:after="0" w:line="234" w:lineRule="exact"/>
        <w:rPr>
          <w:sz w:val="20"/>
          <w:szCs w:val="20"/>
          <w:color w:val="auto"/>
        </w:rPr>
      </w:pPr>
    </w:p>
    <w:p>
      <w:pPr>
        <w:ind w:right="260" w:firstLine="1166"/>
        <w:spacing w:after="0" w:line="256" w:lineRule="auto"/>
        <w:rPr>
          <w:sz w:val="20"/>
          <w:szCs w:val="20"/>
          <w:color w:val="auto"/>
        </w:rPr>
      </w:pPr>
      <w:r>
        <w:rPr>
          <w:rFonts w:ascii="Times New Roman" w:cs="Times New Roman" w:eastAsia="Times New Roman" w:hAnsi="Times New Roman"/>
          <w:sz w:val="18"/>
          <w:szCs w:val="18"/>
          <w:color w:val="auto"/>
        </w:rPr>
        <w:t>We may be unable to demonstrate any therapeutic or economic advantage for RYTELO compared to established or standard-of-care therapies, or newly developed therapies, for myeloid hematologic malignancies. National health insurance and/or third-party payors may decide that any potential benefit that RYTELO may provide to clinical outcomes in myeloid hematologic malignancies is not adequate to justify the potential adverse effects or the costs of treatment with RYTELO. If the healthcare community does not accept RYTELO for any of the foregoing reasons, or for any other reasons, our ability to commercialize RYTELO in the U.S. or the EU for lower-risk MDS or for any other indications for which RYTELO may be approved, may be negatively impacted or precluded altogether, which would seriously and adversely affect our business and business prospects.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market opportunities for RYTELO are smaller than we believe, our revenue may be adversely affected, and our business may suffer.</w:t>
      </w:r>
    </w:p>
    <w:p>
      <w:pPr>
        <w:spacing w:after="0" w:line="256" w:lineRule="exact"/>
        <w:rPr>
          <w:sz w:val="20"/>
          <w:szCs w:val="20"/>
          <w:color w:val="auto"/>
        </w:rPr>
      </w:pPr>
    </w:p>
    <w:p>
      <w:pPr>
        <w:ind w:right="20" w:firstLine="1166"/>
        <w:spacing w:after="0" w:line="254" w:lineRule="auto"/>
        <w:rPr>
          <w:sz w:val="20"/>
          <w:szCs w:val="20"/>
          <w:color w:val="auto"/>
        </w:rPr>
      </w:pPr>
      <w:r>
        <w:rPr>
          <w:rFonts w:ascii="Times New Roman" w:cs="Times New Roman" w:eastAsia="Times New Roman" w:hAnsi="Times New Roman"/>
          <w:sz w:val="18"/>
          <w:szCs w:val="18"/>
          <w:color w:val="auto"/>
        </w:rPr>
        <w:t>We are commercializing RYTELO in lower-risk MDS, and the addressable patient population in lower-risk MDS is based on our estimates. These estimates, which have been derived from a variety of sources, including scientific literature, surveys of clinics, patient foundations and market research, may prove to be incorrect. Further, new information from us or others may change the estimated incidence or prevalence of patients with lower-risk MDS in the U.S. or the EU. Additionally, the potentially addressable patient population for RYTELO may not ultimately be amenable to treatment with RYTELO, we may be unable to successfully identify patients and achieve a significant market share in all eligible patient segments in RYTELO’s approved indication, or the duration of therapy for patients receiving RYTELO could be shorter than we expect, each of which would have a negative impact on sales of RYTELO in the future and may limit its growth potential. Our commercialization of RYTELO in the U.S. and our planned commercialization in the EU is limited to certain patients with lower-risk MDS, and any future potential commercialization will be limited to the therapeutic indications</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1" w:name="page42"/>
    <w:bookmarkEnd w:id="41"/>
    <w:p>
      <w:pPr>
        <w:ind w:right="480"/>
        <w:spacing w:after="0" w:line="266" w:lineRule="auto"/>
        <w:rPr>
          <w:sz w:val="20"/>
          <w:szCs w:val="20"/>
          <w:color w:val="auto"/>
        </w:rPr>
      </w:pPr>
      <w:r>
        <w:rPr>
          <w:rFonts w:ascii="Times New Roman" w:cs="Times New Roman" w:eastAsia="Times New Roman" w:hAnsi="Times New Roman"/>
          <w:sz w:val="18"/>
          <w:szCs w:val="18"/>
          <w:color w:val="auto"/>
        </w:rPr>
        <w:t>examined in our clinical trials and approved by the FDA and similar international regulatory authorities, which would preclude us from marketing RYTELO for any other indications not expressly approved by those regulatory authorities. Future regulatory approvals for RYTELO, if any, could be conditioned upon label restrictions that materially limit the addressable patient population.</w:t>
      </w:r>
    </w:p>
    <w:p>
      <w:pPr>
        <w:spacing w:after="0" w:line="203" w:lineRule="exact"/>
        <w:rPr>
          <w:sz w:val="20"/>
          <w:szCs w:val="20"/>
          <w:color w:val="auto"/>
        </w:rPr>
      </w:pPr>
    </w:p>
    <w:p>
      <w:pPr>
        <w:ind w:firstLine="1166"/>
        <w:spacing w:after="0" w:line="258" w:lineRule="auto"/>
        <w:rPr>
          <w:sz w:val="20"/>
          <w:szCs w:val="20"/>
          <w:color w:val="auto"/>
        </w:rPr>
      </w:pPr>
      <w:r>
        <w:rPr>
          <w:rFonts w:ascii="Times New Roman" w:cs="Times New Roman" w:eastAsia="Times New Roman" w:hAnsi="Times New Roman"/>
          <w:sz w:val="18"/>
          <w:szCs w:val="18"/>
          <w:color w:val="auto"/>
        </w:rPr>
        <w:t>Our market opportunity may also be limited by the pricing, reimbursement and access we are able to achieve for RYTELO, the quality and expiration of our intellectual property rights and regulatory exclusivity, duration of RYTELO treatment in lower-risk MDS and future competitor treatments that enter the market. If any of our estimates prove to be inaccurate, the market opportunities for RYTELO that we or any potential future collaborative partners develop could be significantly diminished, which would have a material adverse impact on our business and business prospects, and would adversely affect our ability to achieve profitability.</w:t>
      </w:r>
    </w:p>
    <w:p>
      <w:pPr>
        <w:spacing w:after="0" w:line="20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existing products, product candidates and technologies, and competitors may develop new products and technologies. If these products, product candidates or technologies are deemed by the healthcare community to be superior to or more cost-effective than RYTELO, it would significantly impact the development and commercial viability of RYTELO, which would severely and adversely affect our financial results, business and business prospects, and the future of RYTELO, and might cause us to cease operations.</w:t>
      </w:r>
    </w:p>
    <w:p>
      <w:pPr>
        <w:spacing w:after="0" w:line="207" w:lineRule="exact"/>
        <w:rPr>
          <w:sz w:val="20"/>
          <w:szCs w:val="20"/>
          <w:color w:val="auto"/>
        </w:rPr>
      </w:pPr>
    </w:p>
    <w:p>
      <w:pPr>
        <w:ind w:right="180" w:firstLine="1166"/>
        <w:spacing w:after="0" w:line="218" w:lineRule="exact"/>
        <w:rPr>
          <w:sz w:val="20"/>
          <w:szCs w:val="20"/>
          <w:color w:val="auto"/>
        </w:rPr>
      </w:pPr>
      <w:r>
        <w:rPr>
          <w:rFonts w:ascii="Times New Roman" w:cs="Times New Roman" w:eastAsia="Times New Roman" w:hAnsi="Times New Roman"/>
          <w:sz w:val="18"/>
          <w:szCs w:val="18"/>
          <w:color w:val="auto"/>
        </w:rPr>
        <w:t>The pharmaceutical and biotechnology industries are characterized by intense and dynamic competition with rapidly advancing technologies and a strong emphasis on proprietary products. While we believe our proprietary oligonucleotide chemistry; experience with the biological mechanisms related to RYTELO, telomeres and telomerase; clinical data to date indicating potential disease-modifying activity with RYTELO treatment; and knowledge and expertise around the development of potential treatments for myeloid hematologic malignancies may provide us with certain competitive advantages, we face competition from many different sources, including major pharmaceutical, specialty pharmaceutical and biotechnology companies, academic institutions, governmental agencies, and public and private research institutions. RYTELO competes with other products and therapies that currently exist, are being developed or will in the future be developed, some of which we may not currently be aware of. A discussion of current and potential future competitors of RYTELO can be found in the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section titled “Competition” in Part I, Item 1, titled “Business” in the 2025 Form 10-K.</w:t>
      </w:r>
    </w:p>
    <w:p>
      <w:pPr>
        <w:spacing w:after="0" w:line="231" w:lineRule="exact"/>
        <w:rPr>
          <w:sz w:val="20"/>
          <w:szCs w:val="20"/>
          <w:color w:val="auto"/>
        </w:rPr>
      </w:pPr>
    </w:p>
    <w:p>
      <w:pPr>
        <w:ind w:right="40" w:firstLine="1166"/>
        <w:spacing w:after="0" w:line="254" w:lineRule="auto"/>
        <w:rPr>
          <w:sz w:val="20"/>
          <w:szCs w:val="20"/>
          <w:color w:val="auto"/>
        </w:rPr>
      </w:pPr>
      <w:r>
        <w:rPr>
          <w:rFonts w:ascii="Times New Roman" w:cs="Times New Roman" w:eastAsia="Times New Roman" w:hAnsi="Times New Roman"/>
          <w:sz w:val="18"/>
          <w:szCs w:val="18"/>
          <w:color w:val="auto"/>
        </w:rPr>
        <w:t>Many of our competitors, either alone or with their strategic partners, have substantially greater financial, technical and human resources than we do and significantly greater experience in obtaining FDA and other regulatory approvals of treatments and commercializing those treatments. Smaller companies may also prove to be significant competitors, particularly through collaborative arrangements with large and established companies. We anticipate increased competition in the future as new companies explore treatments for myeloid hematologic malignancies, which may significantly impact the commercial viability of RYTELO. Academic institutions, government agencies and other public and private research organizations may also conduct research, seek patent protection and establish collaborative arrangements for research, clinical development and marketing of products similar to RYTELO. These companies and institutions compete with us in recruiting and retaining qualified development and management personnel as well as in acquiring technologies complementary to the RYTELO program.</w:t>
      </w:r>
    </w:p>
    <w:p>
      <w:pPr>
        <w:spacing w:after="0" w:line="219" w:lineRule="exact"/>
        <w:rPr>
          <w:sz w:val="20"/>
          <w:szCs w:val="20"/>
          <w:color w:val="auto"/>
        </w:rPr>
      </w:pPr>
    </w:p>
    <w:p>
      <w:pPr>
        <w:ind w:right="20" w:firstLine="1166"/>
        <w:spacing w:after="0" w:line="254" w:lineRule="auto"/>
        <w:rPr>
          <w:sz w:val="20"/>
          <w:szCs w:val="20"/>
          <w:color w:val="auto"/>
        </w:rPr>
      </w:pPr>
      <w:r>
        <w:rPr>
          <w:rFonts w:ascii="Times New Roman" w:cs="Times New Roman" w:eastAsia="Times New Roman" w:hAnsi="Times New Roman"/>
          <w:sz w:val="18"/>
          <w:szCs w:val="18"/>
          <w:color w:val="auto"/>
        </w:rPr>
        <w:t>As a result of the foregoing, competitors may develop more commercially desirable or affordable products than RYTELO. Competitors have developed, or are in the process of developing, technologies that are, or in the future may be, competitive to RYTELO. Some of these products may have an entirely different approach or means of accomplishing therapeutic effects similar, or superior, to those that may be demonstrated by RYTELO. Competitors may develop products that are safer, more effective, more convenient to administer to patients, or less costly than RYTELO, and, therefore, present a serious competitive threat to RYTELO. In addition, competitors may price their products below what we may determine to be an acceptable price for RYTELO, may receive better third-party payor coverage and/or reimbursement, or may be more cost effective than RYTELO. Such competitive products or activities by competitors may render RYTELO obsolete, which may cause us to cease any further development or future commercialization of RYTELO, which would severely and adversely affect our financial results, business and business prospects, and the future of RYTELO, and might cause us to cease operations.</w:t>
      </w:r>
    </w:p>
    <w:p>
      <w:pPr>
        <w:spacing w:after="0" w:line="21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select network of third party distributors, specialty pharmacies and other vendors to distribute RYTELO in the U.S., and any failure by such distributors, specialty pharmacies and vendors could adversely affect our revenues, financial condition, or results of operations.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2" w:name="page43"/>
    <w:bookmarkEnd w:id="42"/>
    <w:p>
      <w:pPr>
        <w:ind w:right="120" w:firstLine="1166"/>
        <w:spacing w:after="0" w:line="254" w:lineRule="auto"/>
        <w:rPr>
          <w:sz w:val="20"/>
          <w:szCs w:val="20"/>
          <w:color w:val="auto"/>
        </w:rPr>
      </w:pPr>
      <w:r>
        <w:rPr>
          <w:rFonts w:ascii="Times New Roman" w:cs="Times New Roman" w:eastAsia="Times New Roman" w:hAnsi="Times New Roman"/>
          <w:sz w:val="18"/>
          <w:szCs w:val="18"/>
          <w:color w:val="auto"/>
        </w:rPr>
        <w:t>We rely on a select network of third party distributors, specialty pharmacies and other vendors to distribute RYTELO in the U.S., and the financial failure of any of these parties could adversely affect our revenues, financial condition or results of operations. We rely on such distributors and specialty pharmacies to effectively distribute RYTELO in a timely manner, provide certain patient support services, manage prescription intake, collect accurate patient and inventory data and collect payments from payors. While we have entered into agreements with each of these parties, they may not perform as agreed, our strategic priorities may change or they may terminate their agreements with us. Further, an inability by our distributors or specialty pharmacies to meet our patients’ needs may lead to reputational harm or patient loss. In the event that such network fails to properly meet our or our patients’ needs, we may need to partner with other distributors, specialty pharmacies or vendors to replace or supplement our current network and there is no guarantee that we will be able to do so on commercially reasonable terms or at all.</w:t>
      </w:r>
    </w:p>
    <w:p>
      <w:pPr>
        <w:spacing w:after="0" w:line="215"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pricing and reimbursement regulations in the EU, which may materially affect our ability to commercialize and receive reimbursement coverage for RYTELO in the EU.</w:t>
      </w:r>
    </w:p>
    <w:p>
      <w:pPr>
        <w:spacing w:after="0" w:line="186" w:lineRule="exact"/>
        <w:rPr>
          <w:sz w:val="20"/>
          <w:szCs w:val="20"/>
          <w:color w:val="auto"/>
        </w:rPr>
      </w:pPr>
    </w:p>
    <w:p>
      <w:pPr>
        <w:ind w:firstLine="1166"/>
        <w:spacing w:after="0" w:line="256" w:lineRule="auto"/>
        <w:rPr>
          <w:sz w:val="20"/>
          <w:szCs w:val="20"/>
          <w:color w:val="auto"/>
        </w:rPr>
      </w:pPr>
      <w:r>
        <w:rPr>
          <w:rFonts w:ascii="Times New Roman" w:cs="Times New Roman" w:eastAsia="Times New Roman" w:hAnsi="Times New Roman"/>
          <w:sz w:val="18"/>
          <w:szCs w:val="18"/>
          <w:color w:val="auto"/>
        </w:rPr>
        <w:t>In March 2025, we received marketing authorization for RYTELO in the EU for the treatment of adult patients with TD anemia due to lower-risk MDS without an isolated deletion 5q cytogenic abnormality and who had an unsatisfactory response to or are ineligible for erythropoietin-based therapy. The pricing of RYTELO will be subject to governmental control and other market regulations which could put pressure on the pricing and usage of RYTELO. In the EU, pricing negotiations with governmental authorities can take considerable time after obtaining marketing approval of a product candidate and market acceptance and sales of RYTELO will depend significantly on the availability of adequate coverage and reimbursement from third-party payors for RYTELO and may be affected by existing and future healthcare reform measures.</w:t>
      </w:r>
    </w:p>
    <w:p>
      <w:pPr>
        <w:spacing w:after="0" w:line="214" w:lineRule="exact"/>
        <w:rPr>
          <w:sz w:val="20"/>
          <w:szCs w:val="20"/>
          <w:color w:val="auto"/>
        </w:rPr>
      </w:pPr>
    </w:p>
    <w:p>
      <w:pPr>
        <w:ind w:right="40" w:firstLine="1166"/>
        <w:spacing w:after="0" w:line="253" w:lineRule="auto"/>
        <w:rPr>
          <w:sz w:val="20"/>
          <w:szCs w:val="20"/>
          <w:color w:val="auto"/>
        </w:rPr>
      </w:pPr>
      <w:r>
        <w:rPr>
          <w:rFonts w:ascii="Times New Roman" w:cs="Times New Roman" w:eastAsia="Times New Roman" w:hAnsi="Times New Roman"/>
          <w:sz w:val="18"/>
          <w:szCs w:val="18"/>
          <w:color w:val="auto"/>
        </w:rPr>
        <w:t>The requirements governing drug pricing and reimbursement vary widely from country to country. For example, within the EU member states may restrict the range of medicinal products for which their national health insurance systems provide reimbursement and may control the prices of medicinal products for human use. Reference pricing used by various EU Member States and parallel distribution, or arbitrage between low-priced and high-priced EU Member States, can further reduce prices. An EU Member State may approve a specific price for the medicinal product or it may instead adopt a system of direct or indirect controls on the profitability of the company placing the medicinal product on the market. In some countries in the EU, we may be required to conduct a clinical study or other studies that compare the cost-effectiveness of RYTELO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RYTELO. Historically, products launched in the EU do not follow price structures of the U.S.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RYTELO is unavailable or limited in scope or amount, our revenues from sales and the potential profitability of RYTELO in those countries would be negatively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RYTELO</w:t>
      </w:r>
    </w:p>
    <w:p>
      <w:pPr>
        <w:spacing w:after="0" w:line="22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maintain regulatory approvals for RYTELO in the U.S. and the EU for lower-risk MDS, which would severely and adversely affect our business and business prospects, and might cause us to cease operations.</w:t>
      </w:r>
    </w:p>
    <w:p>
      <w:pPr>
        <w:spacing w:after="0" w:line="186" w:lineRule="exact"/>
        <w:rPr>
          <w:sz w:val="20"/>
          <w:szCs w:val="20"/>
          <w:color w:val="auto"/>
        </w:rPr>
      </w:pPr>
    </w:p>
    <w:p>
      <w:pPr>
        <w:ind w:right="80" w:firstLine="1166"/>
        <w:spacing w:after="0" w:line="256" w:lineRule="auto"/>
        <w:rPr>
          <w:sz w:val="20"/>
          <w:szCs w:val="20"/>
          <w:color w:val="auto"/>
        </w:rPr>
      </w:pPr>
      <w:r>
        <w:rPr>
          <w:rFonts w:ascii="Times New Roman" w:cs="Times New Roman" w:eastAsia="Times New Roman" w:hAnsi="Times New Roman"/>
          <w:sz w:val="18"/>
          <w:szCs w:val="18"/>
          <w:color w:val="auto"/>
        </w:rPr>
        <w:t>In June 2024, we received regulatory approval from the FDA to commercialize RYTELO in the U.S. in certain patients with lower-risk MDS, and in March 2025, we received marketing authorization from the EC to commercialize RYTELO in the EU for certain adult patients with TD anemia due to lower-risk MDS. Federal, state and local governments in the U.S., and regulatory authorities in the EU, have significant regulations in place that may limit or prevent us from successfully commercializing RYTELO for lower-risk MDS. We do not currently have regulatory approval for RYTELO in any other jurisdictions or for any other indication, and governments in other jurisdictions have significant regulations that may limit or prevent us from successfully commercializing RYTELO in other jurisdictions.</w:t>
      </w:r>
    </w:p>
    <w:p>
      <w:pPr>
        <w:spacing w:after="0" w:line="214" w:lineRule="exact"/>
        <w:rPr>
          <w:sz w:val="20"/>
          <w:szCs w:val="20"/>
          <w:color w:val="auto"/>
        </w:rPr>
      </w:pPr>
    </w:p>
    <w:p>
      <w:pPr>
        <w:ind w:firstLine="1166"/>
        <w:spacing w:after="0" w:line="218" w:lineRule="exact"/>
        <w:rPr>
          <w:sz w:val="20"/>
          <w:szCs w:val="20"/>
          <w:color w:val="auto"/>
        </w:rPr>
      </w:pPr>
      <w:r>
        <w:rPr>
          <w:rFonts w:ascii="Times New Roman" w:cs="Times New Roman" w:eastAsia="Times New Roman" w:hAnsi="Times New Roman"/>
          <w:sz w:val="18"/>
          <w:szCs w:val="18"/>
          <w:color w:val="auto"/>
        </w:rPr>
        <w:t>The regulatory frameworks and practices of the FDA, EMA/EC and comparable authorities in other countries may change over time, and we cannot predict the nature, timing, or impact of any such developments. We cannot project with certainty if or when we might submit or gain regulatory approval for RYTELO for other indications or in other jurisdictions. The FDA, EMA/EC and other regulatory authorities exercise broad discretion throughout the product review and approval process, including in determining the specific conditions for submission, including the requirement for a pre-approval inspection of RYTELO’s listed manufacturing facility. As a result, the FDA, EMA/EC and other authorities may delay or extend application review, may decline to accept an application for substantive review, or may conclude, after review, that the information provided is inadequate to obtain or maintain approval of RYTELO. Any such decision could materially and adversely affect the timing of potential approval and our business prospects. If the FDA, for instance, determines that an NDA is not sufficiently complete for filing or issues a complete response letter, or CRL, requiring additional data or clarification, we may be required to resubmit the application and any such resubmission or CRL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driven delays could significantly postpone review and potential approval RYTELO for other indications. Even if we resubmit an NDA, it remains uncertain whether the FDA will ultimately accept the completed application or additional data, and any such outcome could delay or prevent approval of RYTELO for other indications.</w:t>
      </w:r>
    </w:p>
    <w:p>
      <w:pPr>
        <w:spacing w:after="0" w:line="228" w:lineRule="exact"/>
        <w:rPr>
          <w:sz w:val="20"/>
          <w:szCs w:val="20"/>
          <w:color w:val="auto"/>
        </w:rPr>
      </w:pPr>
    </w:p>
    <w:p>
      <w:pPr>
        <w:ind w:right="180" w:firstLine="1166"/>
        <w:spacing w:after="0" w:line="266" w:lineRule="auto"/>
        <w:rPr>
          <w:sz w:val="20"/>
          <w:szCs w:val="20"/>
          <w:color w:val="auto"/>
        </w:rPr>
      </w:pPr>
      <w:r>
        <w:rPr>
          <w:rFonts w:ascii="Times New Roman" w:cs="Times New Roman" w:eastAsia="Times New Roman" w:hAnsi="Times New Roman"/>
          <w:sz w:val="18"/>
          <w:szCs w:val="18"/>
          <w:color w:val="auto"/>
        </w:rPr>
        <w:t>Failure to maintain regulatory approval for RYTELO from the FDA in the U.S. and from the EC in the EU for lower-risk MDS, or delays in obtaining, failing to obtain, or limitations in the scope of such approvals in any other jurisdictions or for any other indications, could:</w:t>
      </w:r>
    </w:p>
    <w:p>
      <w:pPr>
        <w:spacing w:after="0" w:line="203" w:lineRule="exact"/>
        <w:rPr>
          <w:sz w:val="20"/>
          <w:szCs w:val="20"/>
          <w:color w:val="auto"/>
        </w:rPr>
      </w:pPr>
    </w:p>
    <w:p>
      <w:pPr>
        <w:ind w:left="660" w:right="104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withdrawal of RYTELO from the market or could otherwise delay, limit or preclude any revenue we may receive from the commercialization of RYTELO for lower-risk MDS;</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harm the commercial potential of RYTELO;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impede, halt or increase the costs of our activities and plans for clinical development;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 any competitive advantages that may have been available to us; or</w:t>
      </w:r>
    </w:p>
    <w:p>
      <w:pPr>
        <w:spacing w:after="0" w:line="9" w:lineRule="exact"/>
        <w:rPr>
          <w:rFonts w:ascii="Times New Roman" w:cs="Times New Roman" w:eastAsia="Times New Roman" w:hAnsi="Times New Roman"/>
          <w:sz w:val="18"/>
          <w:szCs w:val="18"/>
          <w:color w:val="auto"/>
        </w:rPr>
      </w:pPr>
    </w:p>
    <w:p>
      <w:pPr>
        <w:ind w:left="660" w:right="780" w:hanging="328"/>
        <w:spacing w:after="0" w:line="26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preclude any revenue we may receive from the future commercialization of RYTELO in any other jurisdictions or for any other indications, if any.</w:t>
      </w:r>
    </w:p>
    <w:p>
      <w:pPr>
        <w:spacing w:after="0" w:line="208" w:lineRule="exact"/>
        <w:rPr>
          <w:sz w:val="20"/>
          <w:szCs w:val="20"/>
          <w:color w:val="auto"/>
        </w:rPr>
      </w:pPr>
    </w:p>
    <w:p>
      <w:pPr>
        <w:ind w:right="80" w:firstLine="1166"/>
        <w:spacing w:after="0" w:line="261" w:lineRule="auto"/>
        <w:rPr>
          <w:sz w:val="20"/>
          <w:szCs w:val="20"/>
          <w:color w:val="auto"/>
        </w:rPr>
      </w:pPr>
      <w:r>
        <w:rPr>
          <w:rFonts w:ascii="Times New Roman" w:cs="Times New Roman" w:eastAsia="Times New Roman" w:hAnsi="Times New Roman"/>
          <w:sz w:val="18"/>
          <w:szCs w:val="18"/>
          <w:color w:val="auto"/>
        </w:rPr>
        <w:t>In addition, approved products and their manufacturers, together with other vendors involved in the commercialization process, are subject to continual review, and discovery of previously unknown problems with a product or its manufacturer, including if regulatory inspectors identify regulatory noncompliance by third-party manufacturers requiring remediation, may result in restrictions on the product or manufacturer, including import restrictions, seizure, and withdrawal of the product from the market, or may otherwise cause manufacturing delays and supply disruptions.</w:t>
      </w:r>
    </w:p>
    <w:p>
      <w:pPr>
        <w:spacing w:after="0" w:line="207" w:lineRule="exact"/>
        <w:rPr>
          <w:sz w:val="20"/>
          <w:szCs w:val="20"/>
          <w:color w:val="auto"/>
        </w:rPr>
      </w:pPr>
    </w:p>
    <w:p>
      <w:pPr>
        <w:ind w:right="360" w:firstLine="1166"/>
        <w:spacing w:after="0" w:line="266" w:lineRule="auto"/>
        <w:rPr>
          <w:sz w:val="20"/>
          <w:szCs w:val="20"/>
          <w:color w:val="auto"/>
        </w:rPr>
      </w:pPr>
      <w:r>
        <w:rPr>
          <w:rFonts w:ascii="Times New Roman" w:cs="Times New Roman" w:eastAsia="Times New Roman" w:hAnsi="Times New Roman"/>
          <w:sz w:val="18"/>
          <w:szCs w:val="18"/>
          <w:color w:val="auto"/>
        </w:rPr>
        <w:t>Further, if RYTELO causes serious or unexpected side effects, or if other safety risks are observed as a result of our commercialization efforts for RYTELO in the U.S. or the EU in lower-risk MDS or in current or potential future clinical trials, a number of potential significant negative consequences could result, including:</w:t>
      </w:r>
    </w:p>
    <w:p>
      <w:pPr>
        <w:spacing w:after="0" w:line="203"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 of RYTELO;</w:t>
      </w:r>
    </w:p>
    <w:p>
      <w:pPr>
        <w:spacing w:after="0" w:line="27" w:lineRule="exact"/>
        <w:rPr>
          <w:rFonts w:ascii="Times New Roman" w:cs="Times New Roman" w:eastAsia="Times New Roman" w:hAnsi="Times New Roman"/>
          <w:sz w:val="18"/>
          <w:szCs w:val="18"/>
          <w:color w:val="auto"/>
        </w:rPr>
      </w:pPr>
    </w:p>
    <w:p>
      <w:pPr>
        <w:ind w:left="660" w:right="38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RYTELO, seek to change the way it is administered, conduct additional costly, time-consuming and burdensome clinical trials or change the labeling of the product;</w:t>
      </w:r>
    </w:p>
    <w:p>
      <w:pPr>
        <w:ind w:left="660" w:right="10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revisions to the labeling of RYTELO, including limitations on approved uses or the addition of further warnings, contraindications or other safety information, or may impose restrictions on distribution in the form of additional requirements in a risk evaluation and management plan or risk management plan;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RYTELO may be rendered less competitive and sales, if any, may decrease;</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44" w:name="page45"/>
    <w:bookmarkEnd w:id="44"/>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 generally among clinicians and patients;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exposed to potential lawsuits and associated legal expenses, including costs of resolving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refuse to approve supplements to approved applications filed by us, or may suspend or revoke license approvals; or</w:t>
      </w:r>
    </w:p>
    <w:p>
      <w:pPr>
        <w:spacing w:after="0" w:line="9" w:lineRule="exact"/>
        <w:rPr>
          <w:rFonts w:ascii="Times New Roman" w:cs="Times New Roman" w:eastAsia="Times New Roman" w:hAnsi="Times New Roman"/>
          <w:sz w:val="18"/>
          <w:szCs w:val="18"/>
          <w:color w:val="auto"/>
        </w:rPr>
      </w:pPr>
    </w:p>
    <w:p>
      <w:pPr>
        <w:ind w:left="660" w:right="120" w:hanging="328"/>
        <w:spacing w:after="0" w:line="26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or stop ongoing clinical trials of RYTELO, which would negatively impact the development of RYTELO for other potential indications.</w:t>
      </w:r>
    </w:p>
    <w:p>
      <w:pPr>
        <w:spacing w:after="0" w:line="208" w:lineRule="exact"/>
        <w:rPr>
          <w:sz w:val="20"/>
          <w:szCs w:val="20"/>
          <w:color w:val="auto"/>
        </w:rPr>
      </w:pPr>
    </w:p>
    <w:p>
      <w:pPr>
        <w:ind w:right="20" w:firstLine="1166"/>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for RYTELO, could substantially increase the costs and expenses of commercializing RYTELO, or could limit its commercial potential, which in turn could delay or prevent us from generating any meaningful revenues from the sale of the RYTELO. If RYTELO is approved outside the U.S. and EU, we will be subject to similar requirements, considerations and risks in other regions.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regulatory approval for RYTELO in the U.S. and in the EU for certain patients with lower-risk MDS is subject to post-marketing requirements and commitments, and we may be subject to penalties or product withdrawal if we fail to comply with these regulatory requirements and commitments, or if we experience unanticipated problems with RYTELO.</w:t>
      </w:r>
    </w:p>
    <w:p>
      <w:pPr>
        <w:spacing w:after="0" w:line="202" w:lineRule="exact"/>
        <w:rPr>
          <w:sz w:val="20"/>
          <w:szCs w:val="20"/>
          <w:color w:val="auto"/>
        </w:rPr>
      </w:pPr>
    </w:p>
    <w:p>
      <w:pPr>
        <w:ind w:right="100" w:firstLine="1166"/>
        <w:spacing w:after="0" w:line="253" w:lineRule="auto"/>
        <w:rPr>
          <w:sz w:val="20"/>
          <w:szCs w:val="20"/>
          <w:color w:val="auto"/>
        </w:rPr>
      </w:pPr>
      <w:r>
        <w:rPr>
          <w:rFonts w:ascii="Times New Roman" w:cs="Times New Roman" w:eastAsia="Times New Roman" w:hAnsi="Times New Roman"/>
          <w:sz w:val="18"/>
          <w:szCs w:val="18"/>
          <w:color w:val="auto"/>
        </w:rPr>
        <w:t>Our regulatory approval for RYTELO in lower-risk MDS in the U.S. and EU are subject to non-clinical, clinical and manufacturing post-marketing requirements and/or commitments, including the requirement to assess the long-term safety of RYTELO (imetelstat) in the Phase 3 IMerge trial and a clinical trial to evaluate alternative dosing regimens in lower-risk MDS, with timelines for completion and reporting established by the FDA. In the EU, our regulatory approval for RYTELO in certain patients with TD anemia due to lower-risk MDS is subject to our commitment to submit the results from certain ongoing non-clinical and clinical studies required by the FDA, including the assessment of the long-term safety of RYTELO in the extension to the Phase 3 IMerge trial. In addition, RYTELO and the manufacturing processes and facilities, post-approval clinical data, labeling, advertising and promotional activities related to RYTELO will be subject to continual requirements of, and review by, the FDA and comparable regulatory authorities. These requirements include submissions of safety and other post-marketing information and reports, compliance with good pharmacovigilance practices, registration requirements, current Good Manufacturing Practice, or cGMP, requirements relating to quality control, quality assurance and corresponding maintenance of records and documents, and requirements regarding promotional interactions with healthcare professionals.</w:t>
      </w:r>
    </w:p>
    <w:p>
      <w:pPr>
        <w:spacing w:after="0" w:line="221" w:lineRule="exact"/>
        <w:rPr>
          <w:sz w:val="20"/>
          <w:szCs w:val="20"/>
          <w:color w:val="auto"/>
        </w:rPr>
      </w:pPr>
    </w:p>
    <w:p>
      <w:pPr>
        <w:ind w:right="440" w:firstLine="1166"/>
        <w:spacing w:after="0" w:line="266" w:lineRule="auto"/>
        <w:rPr>
          <w:sz w:val="20"/>
          <w:szCs w:val="20"/>
          <w:color w:val="auto"/>
        </w:rPr>
      </w:pPr>
      <w:r>
        <w:rPr>
          <w:rFonts w:ascii="Times New Roman" w:cs="Times New Roman" w:eastAsia="Times New Roman" w:hAnsi="Times New Roman"/>
          <w:sz w:val="18"/>
          <w:szCs w:val="18"/>
          <w:color w:val="auto"/>
        </w:rPr>
        <w:t>Failure to comply with these post-marketing requirements and commitments on the timeline required or at all, or any other regulatory requirements, including the FDA’s regulation of promotional claims, or later discovery of previously unknown problems with RYTELO, or our manufacturers, or manufacturing processes for RYTELO, may result in actions such as:</w:t>
      </w:r>
    </w:p>
    <w:p>
      <w:pPr>
        <w:spacing w:after="0" w:line="203"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inspection findings;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RYTELO manufacturing, distribution or use;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or prohibitions against, marketing, importing or exporting RYTELO;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post-marketing requirements or commitments;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untitled letters, warning letters or the withdrawal of RYTELO from the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or public notification or medical product safety alerts to healthcare professionals;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ongoing clinical trials of imetelstat in other indications;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review or refusal to approve pending applications or supplements to approved applications;</w:t>
      </w:r>
    </w:p>
    <w:p>
      <w:pPr>
        <w:spacing w:after="0" w:line="9" w:lineRule="exact"/>
        <w:rPr>
          <w:rFonts w:ascii="Times New Roman" w:cs="Times New Roman" w:eastAsia="Times New Roman" w:hAnsi="Times New Roman"/>
          <w:sz w:val="18"/>
          <w:szCs w:val="18"/>
          <w:color w:val="auto"/>
        </w:rPr>
      </w:pPr>
    </w:p>
    <w:p>
      <w:pPr>
        <w:ind w:left="660" w:right="28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from participation in government-funded healthcare programs and/or eligibility for the award of government contracts for RYTELO; suspension or withdrawal of regulatory approval for RYTELO;</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civil, criminal and administrative penalties, including fines, restitutions or disgorgement of profits or revenues;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w:t>
      </w:r>
    </w:p>
    <w:p>
      <w:pPr>
        <w:spacing w:after="0" w:line="234" w:lineRule="exact"/>
        <w:rPr>
          <w:sz w:val="20"/>
          <w:szCs w:val="20"/>
          <w:color w:val="auto"/>
        </w:rPr>
      </w:pPr>
    </w:p>
    <w:p>
      <w:pPr>
        <w:ind w:right="40" w:firstLine="1166"/>
        <w:spacing w:after="0" w:line="266" w:lineRule="auto"/>
        <w:rPr>
          <w:sz w:val="20"/>
          <w:szCs w:val="20"/>
          <w:color w:val="auto"/>
        </w:rPr>
      </w:pPr>
      <w:r>
        <w:rPr>
          <w:rFonts w:ascii="Times New Roman" w:cs="Times New Roman" w:eastAsia="Times New Roman" w:hAnsi="Times New Roman"/>
          <w:sz w:val="18"/>
          <w:szCs w:val="18"/>
          <w:color w:val="auto"/>
        </w:rPr>
        <w:t>The imposition of any of these penalties or other commercial limitations, including equivalent penalties or commercial limitations imposed by foreign regulatory authorities, could severely and adversely affect our financial results, business and business prospects, including the commercialization of RYTELO, and might cause us to cease operations. Similar requirements and related consequences apply outside the U.S.</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5" w:name="page46"/>
    <w:bookmarkEnd w:id="45"/>
    <w:p>
      <w:pPr>
        <w:ind w:right="20" w:firstLine="1166"/>
        <w:spacing w:after="0" w:line="258"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spend significant time and resources in response and could generate negative publicity. In addition, the regulations, policies or guidance of the FDA, EC or any other regulatory authority may change and new or additional statutes or government regulations may be enacted that could prevent or delay regulatory approval of our product candidates or further restrict or regulate post-approval activities. We also cannot predict the likelihood, nature, or extent of adverse government regulation that may arise from pending or future legislation or administrative action, either in the U.S. or abroad.</w:t>
      </w:r>
    </w:p>
    <w:p>
      <w:pPr>
        <w:spacing w:after="0" w:line="210" w:lineRule="exact"/>
        <w:rPr>
          <w:sz w:val="20"/>
          <w:szCs w:val="20"/>
          <w:color w:val="auto"/>
        </w:rPr>
      </w:pPr>
    </w:p>
    <w:p>
      <w:pPr>
        <w:ind w:right="60" w:firstLine="1166"/>
        <w:spacing w:after="0" w:line="258" w:lineRule="auto"/>
        <w:rPr>
          <w:sz w:val="20"/>
          <w:szCs w:val="20"/>
          <w:color w:val="auto"/>
        </w:rPr>
      </w:pPr>
      <w:r>
        <w:rPr>
          <w:rFonts w:ascii="Times New Roman" w:cs="Times New Roman" w:eastAsia="Times New Roman" w:hAnsi="Times New Roman"/>
          <w:sz w:val="18"/>
          <w:szCs w:val="18"/>
          <w:color w:val="auto"/>
        </w:rPr>
        <w:t>If we are unable to fulfill the post-marketing requirements and commitments established by the FDA, or that may be or are applied to the approval and commercialization of RYTELO by any regulatory authority, or are unable to adapt to changes in existing regulatory requirements or adoption of new regulatory requirements or policies, there may be a negative impact to our business and continued regulatory approval of RYTELO. Under such circumstances, we or our respective service providers may be subject to the actions listed above, including losing marketing approval for RYTELO, which would severely and adversely affect our business and business prospects, and might cause us to cease operations.</w:t>
      </w:r>
    </w:p>
    <w:p>
      <w:pPr>
        <w:spacing w:after="0" w:line="210" w:lineRule="exact"/>
        <w:rPr>
          <w:sz w:val="20"/>
          <w:szCs w:val="20"/>
          <w:color w:val="auto"/>
        </w:rPr>
      </w:pPr>
    </w:p>
    <w:p>
      <w:pPr>
        <w:ind w:right="60" w:firstLine="1166"/>
        <w:spacing w:after="0" w:line="255" w:lineRule="auto"/>
        <w:rPr>
          <w:sz w:val="20"/>
          <w:szCs w:val="20"/>
          <w:color w:val="auto"/>
        </w:rPr>
      </w:pPr>
      <w:r>
        <w:rPr>
          <w:rFonts w:ascii="Times New Roman" w:cs="Times New Roman" w:eastAsia="Times New Roman" w:hAnsi="Times New Roman"/>
          <w:sz w:val="18"/>
          <w:szCs w:val="18"/>
          <w:color w:val="auto"/>
        </w:rPr>
        <w:t>Furthermore, in connection with our marketing authorization for RYTELO in the EU for certain patients with TD anemia due to lower-risk MDS, we are subject to post-marketing requirements to submit final results from certain ongoing non-clinical and clinical studies and the completion of certain quality-related activities and study. We are also subject to rules and regulations in the EU applicable to the manufacturing, marketing, promotion, and sale of medicinal products. If we, or a regulatory authority, discover previously unknown problems with RYTELO, such as adverse events of unanticipated severity or frequency, or problems with a facility where RYTELO is manufactured, a regulatory authority may impose restrictions relative to RYTELO or the manufacturing facility, including requiring recall or withdrawal of RYTELO from the market or suspension of manufacturing. Moreover, product labeling, advertising and promotion for RYTELO will be subject to regulatory requirements and continuing regulatory review.</w:t>
      </w:r>
    </w:p>
    <w:p>
      <w:pPr>
        <w:spacing w:after="0" w:line="216" w:lineRule="exact"/>
        <w:rPr>
          <w:sz w:val="20"/>
          <w:szCs w:val="20"/>
          <w:color w:val="auto"/>
        </w:rPr>
      </w:pPr>
    </w:p>
    <w:p>
      <w:pPr>
        <w:ind w:right="80" w:firstLine="1166"/>
        <w:spacing w:after="0" w:line="253" w:lineRule="auto"/>
        <w:rPr>
          <w:sz w:val="20"/>
          <w:szCs w:val="20"/>
          <w:color w:val="auto"/>
        </w:rPr>
      </w:pPr>
      <w:r>
        <w:rPr>
          <w:rFonts w:ascii="Times New Roman" w:cs="Times New Roman" w:eastAsia="Times New Roman" w:hAnsi="Times New Roman"/>
          <w:sz w:val="18"/>
          <w:szCs w:val="18"/>
          <w:color w:val="auto"/>
        </w:rPr>
        <w:t>Failure to comply with EU and EU Member State laws that apply to the conduct of clinical trials, manufacturing approval, marketing authorization of medicinal products and marketing of such products, both before and after grant of the marketing authorization, or with other applicable regulatory requirements, or failure to complete post-marketing requirements on the timeline required, may result in administrative, civil or criminal penalties. This could also result in delays or refusal to authorize the conduct of clinical trials, or to grant marketing authorization, product withdrawals and recalls, product seizures, suspension, withdrawal or variation of the marketing authorization, total or partial suspension of production, distribution, manufacturing or clinical trials, operating restrictions, injunctions, suspension of licenses, fines and criminal penalties, among others. If RYTELO is approved outside the U.S. and the EU, we will be subject to similar requirements, considerations and risks in other regions.</w:t>
      </w:r>
    </w:p>
    <w:p>
      <w:pPr>
        <w:spacing w:after="0" w:line="3" w:lineRule="exact"/>
        <w:rPr>
          <w:sz w:val="20"/>
          <w:szCs w:val="20"/>
          <w:color w:val="auto"/>
        </w:rPr>
      </w:pPr>
    </w:p>
    <w:p>
      <w:pPr>
        <w:ind w:right="520"/>
        <w:spacing w:after="0" w:line="255" w:lineRule="auto"/>
        <w:rPr>
          <w:sz w:val="20"/>
          <w:szCs w:val="20"/>
          <w:color w:val="auto"/>
        </w:rPr>
      </w:pPr>
      <w:r>
        <w:rPr>
          <w:rFonts w:ascii="Times New Roman" w:cs="Times New Roman" w:eastAsia="Times New Roman" w:hAnsi="Times New Roman"/>
          <w:sz w:val="18"/>
          <w:szCs w:val="18"/>
          <w:color w:val="auto"/>
        </w:rPr>
        <w:t>We may be unable to obtain regulatory approval to commercialize RYTELO in any other jurisdictions or for any new indications, or may experience significant delays in doing so, any of which could severely and adversely affect our business and business prospects, and might cause us to cease operations.</w:t>
      </w:r>
    </w:p>
    <w:p>
      <w:pPr>
        <w:spacing w:after="0" w:line="213" w:lineRule="exact"/>
        <w:rPr>
          <w:sz w:val="20"/>
          <w:szCs w:val="20"/>
          <w:color w:val="auto"/>
        </w:rPr>
      </w:pPr>
    </w:p>
    <w:p>
      <w:pPr>
        <w:ind w:firstLine="1166"/>
        <w:spacing w:after="0" w:line="256" w:lineRule="auto"/>
        <w:rPr>
          <w:sz w:val="20"/>
          <w:szCs w:val="20"/>
          <w:color w:val="auto"/>
        </w:rPr>
      </w:pPr>
      <w:r>
        <w:rPr>
          <w:rFonts w:ascii="Times New Roman" w:cs="Times New Roman" w:eastAsia="Times New Roman" w:hAnsi="Times New Roman"/>
          <w:sz w:val="18"/>
          <w:szCs w:val="18"/>
          <w:color w:val="auto"/>
        </w:rPr>
        <w:t>We may never receive regulatory approval for RYTELO in any other jurisdictions or for any new indications. It can take many years to obtain approval, if approval is obtained at all. Of the large number of drugs in development, only a small percentage complete the development and regulatory approval process and are successfully commercialized. In addition, the lengthy review process and the unpredictability of ongoing or future clinical trials may result in a delay in obtaining, or our failure to obtain, regulatory approval for RYTELO in lower-risk MDS in any jurisdictions other than the U.S. and the EU, or for other indications, such as relapsed/refractory MF, in any jurisdictions. Failure to obtain approval could significantly harm our business and business prospects, render our significant clinical development expenditures unrecoverable, and might cause us to cease operations.</w:t>
      </w:r>
    </w:p>
    <w:p>
      <w:pPr>
        <w:spacing w:after="0" w:line="214" w:lineRule="exact"/>
        <w:rPr>
          <w:sz w:val="20"/>
          <w:szCs w:val="20"/>
          <w:color w:val="auto"/>
        </w:rPr>
      </w:pPr>
    </w:p>
    <w:p>
      <w:pPr>
        <w:ind w:right="40" w:firstLine="1166"/>
        <w:spacing w:after="0" w:line="256" w:lineRule="auto"/>
        <w:rPr>
          <w:sz w:val="20"/>
          <w:szCs w:val="20"/>
          <w:color w:val="auto"/>
        </w:rPr>
      </w:pPr>
      <w:r>
        <w:rPr>
          <w:rFonts w:ascii="Times New Roman" w:cs="Times New Roman" w:eastAsia="Times New Roman" w:hAnsi="Times New Roman"/>
          <w:sz w:val="18"/>
          <w:szCs w:val="18"/>
          <w:color w:val="auto"/>
        </w:rPr>
        <w:t>Securing marketing approval requires the submission of extensive non-clinical and clinical data and supporting information to regulatory authorities for each therapeutic indication to establish the product candidate’s safety and efficacy to the satisfaction of such regulatory authorities, as well as information about the product manufacturing process and any inspections of manufacturing facilities conducted by regulatory authorities through the filing of a New Drug Application, or NDA, in the U.S. and a Marketing Authorization Application, or MAA, in the EU. Although RYTELO is approved in the U.S. and the EU in lower-risk MDS, there can be no assurance that we will receive regulatory approval for the commercialization of RYTELO for lower-risk MDS in any other jurisdiction or for any new indications, including relapsed/refractory MF or any other indications.</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0" w:right="359" w:bottom="1440" w:gutter="0" w:footer="0" w:header="0"/>
        </w:sectPr>
      </w:pPr>
    </w:p>
    <w:bookmarkStart w:id="46" w:name="page47"/>
    <w:bookmarkEnd w:id="46"/>
    <w:p>
      <w:pPr>
        <w:ind w:right="240" w:firstLine="1166"/>
        <w:spacing w:after="0" w:line="266" w:lineRule="auto"/>
        <w:rPr>
          <w:sz w:val="20"/>
          <w:szCs w:val="20"/>
          <w:color w:val="auto"/>
        </w:rPr>
      </w:pPr>
      <w:r>
        <w:rPr>
          <w:rFonts w:ascii="Times New Roman" w:cs="Times New Roman" w:eastAsia="Times New Roman" w:hAnsi="Times New Roman"/>
          <w:sz w:val="18"/>
          <w:szCs w:val="18"/>
          <w:color w:val="auto"/>
        </w:rPr>
        <w:t>Any marketing approval that we may receive for RYTELO in any other jurisdiction or for any other indication may also be limited or subject to restrictions or post-approval commitments and requirements that increase our costs or render RYTELO not commercially viable, which would harm our business and business prospects.</w:t>
      </w:r>
    </w:p>
    <w:p>
      <w:pPr>
        <w:spacing w:after="0" w:line="203" w:lineRule="exact"/>
        <w:rPr>
          <w:sz w:val="20"/>
          <w:szCs w:val="20"/>
          <w:color w:val="auto"/>
        </w:rPr>
      </w:pPr>
    </w:p>
    <w:p>
      <w:pPr>
        <w:ind w:right="60" w:firstLine="1166"/>
        <w:spacing w:after="0" w:line="254" w:lineRule="auto"/>
        <w:rPr>
          <w:sz w:val="20"/>
          <w:szCs w:val="20"/>
          <w:color w:val="auto"/>
        </w:rPr>
      </w:pPr>
      <w:r>
        <w:rPr>
          <w:rFonts w:ascii="Times New Roman" w:cs="Times New Roman" w:eastAsia="Times New Roman" w:hAnsi="Times New Roman"/>
          <w:sz w:val="18"/>
          <w:szCs w:val="18"/>
          <w:color w:val="auto"/>
        </w:rPr>
        <w:t>Regulatory authorities may also not approve the labeling claims that are necessary or desirable for the successful commercialization of a drug, such as RYTELO. For example, although we received regulatory approval from the FDA in June 2024, and from the EC in March 2025, to commercialize RYTELO in lower-risk MDS, any future regulatory clearances that we might obtain for RYTELO may be limited to fewer or narrower indications than we might request, or may be granted subject to the performance of post-marketing studies, which may impose further requirements or restrictions on the distribution or use of RYTELO,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RYTELO and affect reimbursement by third-party payors. Future regulatory clearances, if any, may be limited to a smaller patient population, or may require a different drug formulation or a different manufacturing process, than we might in the future decide to seek.</w:t>
      </w:r>
    </w:p>
    <w:p>
      <w:pPr>
        <w:spacing w:after="0" w:line="215" w:lineRule="exact"/>
        <w:rPr>
          <w:sz w:val="20"/>
          <w:szCs w:val="20"/>
          <w:color w:val="auto"/>
        </w:rPr>
      </w:pPr>
    </w:p>
    <w:p>
      <w:pPr>
        <w:ind w:right="40" w:firstLine="1166"/>
        <w:spacing w:after="0" w:line="258" w:lineRule="auto"/>
        <w:rPr>
          <w:sz w:val="20"/>
          <w:szCs w:val="20"/>
          <w:color w:val="auto"/>
        </w:rPr>
      </w:pPr>
      <w:r>
        <w:rPr>
          <w:rFonts w:ascii="Times New Roman" w:cs="Times New Roman" w:eastAsia="Times New Roman" w:hAnsi="Times New Roman"/>
          <w:sz w:val="18"/>
          <w:szCs w:val="18"/>
          <w:color w:val="auto"/>
        </w:rPr>
        <w:t>Any delay in obtaining or failure to obtain required approvals of RYTELO in any other jurisdictions or for any other indications, or limitations on any regulatory approval that we might receive in the future, if any, could reduce the potential commercial use of RYTELO, and potential market demand for RYTELO and therefore result in decreased revenue for us from any commercialization of RYTELO in any other jurisdictions or for any other indications, any of which could severely and adversely affect our financial results and ability to raise additional capital, if needed, the price of our common stock, our business and business prospects, and might cause us to cease operations.</w:t>
      </w:r>
    </w:p>
    <w:p>
      <w:pPr>
        <w:spacing w:after="0" w:line="20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orphan drug designation has been granted to RYTELO for the treatment of MDS and MF in the U.S. and in the EU, these designations may not be maintained, which would eliminate the benefits associated with orphan drug designation, including market exclusivity, which could limit the period of exclusivity we are able to maintain for the commercialization of RYTELO, and would likely harm our business and business prospects.</w:t>
      </w:r>
    </w:p>
    <w:p>
      <w:pPr>
        <w:spacing w:after="0" w:line="202" w:lineRule="exact"/>
        <w:rPr>
          <w:sz w:val="20"/>
          <w:szCs w:val="20"/>
          <w:color w:val="auto"/>
        </w:rPr>
      </w:pPr>
    </w:p>
    <w:p>
      <w:pPr>
        <w:ind w:right="220" w:firstLine="1166"/>
        <w:spacing w:after="0" w:line="255" w:lineRule="auto"/>
        <w:rPr>
          <w:sz w:val="20"/>
          <w:szCs w:val="20"/>
          <w:color w:val="auto"/>
        </w:rPr>
      </w:pPr>
      <w:r>
        <w:rPr>
          <w:rFonts w:ascii="Times New Roman" w:cs="Times New Roman" w:eastAsia="Times New Roman" w:hAnsi="Times New Roman"/>
          <w:sz w:val="18"/>
          <w:szCs w:val="18"/>
          <w:color w:val="auto"/>
        </w:rPr>
        <w:t>The FDA granted orphan drug designation to RYTELO in June 2015 for the treatment of MF and for the treatment of MDS in December 2015, and the EC granted orphan drug designation in December 2015 to RYTELO for the treatment of MF and in July 2020 for the treatment of MDS. Orphan drug exclusivity confers seven and ten years of exclusivity in the U.S. and EU, respectively, following approval, subject to satisfying regulatory requirements. The FDA has confirmed seven years of orphan drug exclusivity for RYTELO following its approval on June 6, 2024 for its approved indication in lower-risk MDS. On March 7, 2025, the EC granted marketing authorization for RYTELO as an orphan medicinal product indicated for the treatment of adult patients with TD anemia due to very low, low or intermediate risk MDS without an isolated deletion 5q cytogenetic (non-del 5q) abnormality and who had an unsatisfactory response to or are ineligible for erythropoietin-based therapy.</w:t>
      </w:r>
    </w:p>
    <w:p>
      <w:pPr>
        <w:spacing w:after="0" w:line="216" w:lineRule="exact"/>
        <w:rPr>
          <w:sz w:val="20"/>
          <w:szCs w:val="20"/>
          <w:color w:val="auto"/>
        </w:rPr>
      </w:pPr>
    </w:p>
    <w:p>
      <w:pPr>
        <w:ind w:right="80" w:firstLine="1166"/>
        <w:spacing w:after="0" w:line="257" w:lineRule="auto"/>
        <w:rPr>
          <w:sz w:val="20"/>
          <w:szCs w:val="20"/>
          <w:color w:val="auto"/>
        </w:rPr>
      </w:pPr>
      <w:r>
        <w:rPr>
          <w:rFonts w:ascii="Times New Roman" w:cs="Times New Roman" w:eastAsia="Times New Roman" w:hAnsi="Times New Roman"/>
          <w:sz w:val="18"/>
          <w:szCs w:val="18"/>
          <w:color w:val="auto"/>
        </w:rPr>
        <w:t>Designation as an orphan drug does not guarantee that any regulatory authority will accelerate regulatory review of, or ultimately approve, RYTELO for any indication, or at all, in the U.S., EU or any other country, nor does it limit the ability of any regulatory authority to grant orphan drug designation to product candidates of other companies that treat the same indications as RYTELO if such products are able to demonstrate superiority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RYTELO.</w:t>
      </w:r>
    </w:p>
    <w:p>
      <w:pPr>
        <w:spacing w:after="0" w:line="234" w:lineRule="exact"/>
        <w:rPr>
          <w:sz w:val="20"/>
          <w:szCs w:val="20"/>
          <w:color w:val="auto"/>
        </w:rPr>
      </w:pPr>
    </w:p>
    <w:p>
      <w:pPr>
        <w:ind w:right="200" w:firstLine="1166"/>
        <w:spacing w:after="0" w:line="261" w:lineRule="auto"/>
        <w:rPr>
          <w:sz w:val="20"/>
          <w:szCs w:val="20"/>
          <w:color w:val="auto"/>
        </w:rPr>
      </w:pPr>
      <w:r>
        <w:rPr>
          <w:rFonts w:ascii="Times New Roman" w:cs="Times New Roman" w:eastAsia="Times New Roman" w:hAnsi="Times New Roman"/>
          <w:sz w:val="18"/>
          <w:szCs w:val="18"/>
          <w:color w:val="auto"/>
        </w:rPr>
        <w:t>We may lose orphan drug exclusivity in the U.S. for certain reasons, including if the FDA determines that the request for orphan drug designation was materially defective or if we cannot ensure sufficient quantities of RYTELO to meet the needs of patients. In the EU, orphan designation may be lost before marketing authorization if it is established that the criteria for orphan designation are no longer met. Failure to maintain orphan designation status would lead to the inability to obtain or the loss of associated regulatory exclusivity.</w:t>
      </w:r>
    </w:p>
    <w:p>
      <w:pPr>
        <w:spacing w:after="0" w:line="207" w:lineRule="exact"/>
        <w:rPr>
          <w:sz w:val="20"/>
          <w:szCs w:val="20"/>
          <w:color w:val="auto"/>
        </w:rPr>
      </w:pPr>
    </w:p>
    <w:p>
      <w:pPr>
        <w:ind w:firstLine="1166"/>
        <w:spacing w:after="0" w:line="254" w:lineRule="auto"/>
        <w:rPr>
          <w:sz w:val="20"/>
          <w:szCs w:val="20"/>
          <w:color w:val="auto"/>
        </w:rPr>
      </w:pPr>
      <w:r>
        <w:rPr>
          <w:rFonts w:ascii="Times New Roman" w:cs="Times New Roman" w:eastAsia="Times New Roman" w:hAnsi="Times New Roman"/>
          <w:sz w:val="18"/>
          <w:szCs w:val="18"/>
          <w:color w:val="auto"/>
        </w:rPr>
        <w:t>Even if we maintain orphan drug exclusivity for RYTELO in the U.S., the exclusivity may not effectively protect RYTELO from all competition because different drugs with different active moieties can be approved for the same condition or a drug containing the same active moiety or principal molecular structure can be approved for a different indication. Even after an orphan drug product is approved, such as the approval of RYTELO in the U.S. in June 2024 for certain patients with lower-risk MDS, the FDA can subsequently grant orphan designation to a different drug with the same active moiety for the same condition, if the FDA concludes that the later drug is safer, more effective, or makes a major contribution to patient care. The occurrence of any of these events could limit the period of exclusivity we are able to maintain for RYTELO, allow competitive products to enter the market, and harm our business and business prospects. In addition, for any other indication that we are currently or may in the future seek to develop or obtain regulatory approval</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7" w:name="page48"/>
    <w:bookmarkEnd w:id="47"/>
    <w:p>
      <w:pPr>
        <w:spacing w:after="0" w:line="261" w:lineRule="auto"/>
        <w:rPr>
          <w:sz w:val="20"/>
          <w:szCs w:val="20"/>
          <w:color w:val="auto"/>
        </w:rPr>
      </w:pPr>
      <w:r>
        <w:rPr>
          <w:rFonts w:ascii="Times New Roman" w:cs="Times New Roman" w:eastAsia="Times New Roman" w:hAnsi="Times New Roman"/>
          <w:sz w:val="18"/>
          <w:szCs w:val="18"/>
          <w:color w:val="auto"/>
        </w:rPr>
        <w:t>for RYTELO, orphan drug designation will neither shorten the development time nor regulatory review time for RYTELO in the US and other comparable jurisdictions, and it does not give RYTELO advantages in the regulatory review or approval process. Notably, there have been legal challenges to aspects of FDA’s regulations and policies concerning the exclusivity provisions of the Orphan Drug Act, including whether two drugs are the same drug product. Future challenges could lead to changes that affect the protections potentially afforded to our products in ways that are difficult to predict.</w:t>
      </w:r>
    </w:p>
    <w:p>
      <w:pPr>
        <w:spacing w:after="0" w:line="207" w:lineRule="exact"/>
        <w:rPr>
          <w:sz w:val="20"/>
          <w:szCs w:val="20"/>
          <w:color w:val="auto"/>
        </w:rPr>
      </w:pPr>
    </w:p>
    <w:p>
      <w:pPr>
        <w:ind w:right="60" w:firstLine="1166"/>
        <w:spacing w:after="0" w:line="254" w:lineRule="auto"/>
        <w:rPr>
          <w:sz w:val="20"/>
          <w:szCs w:val="20"/>
          <w:color w:val="auto"/>
        </w:rPr>
      </w:pPr>
      <w:r>
        <w:rPr>
          <w:rFonts w:ascii="Times New Roman" w:cs="Times New Roman" w:eastAsia="Times New Roman" w:hAnsi="Times New Roman"/>
          <w:sz w:val="18"/>
          <w:szCs w:val="18"/>
          <w:color w:val="auto"/>
        </w:rPr>
        <w:t>Similarly, in the EU, orphan market exclusivity may not effectively protect RYTELO from all competition. Following the authorization of RYTELO as an orphan medicinal product by the EC in March 2025 for certain patients with lower-risk MDS, the EC can subsequently approve similar orphan medicinal products for the same therapeutic indication or if we are unable to supply RYTELO in sufficient quantities or if a similar medicinal product with the same orphan indication is shown to be safer, more effective or otherwise clinically superior to the original orphan medicinal product. If it is established that the criteria for orphan designation are no longer met inter alia where it is shown that the product is sufficiently profitable, EU orphan market exclusivity may be reduced to six instead of 10 years, allowing similar medicinal products for the same therapeutic indication to the market sooner. In the EU, orphan drug designation for any additional indication we may pursue for RYTELO does confer certain regulatory advantages—such as protocol assistance—but it does not shorten development timelines or accelerate the EMA’s overall review process.</w:t>
      </w:r>
    </w:p>
    <w:p>
      <w:pPr>
        <w:spacing w:after="0" w:line="219" w:lineRule="exact"/>
        <w:rPr>
          <w:sz w:val="20"/>
          <w:szCs w:val="20"/>
          <w:color w:val="auto"/>
        </w:rPr>
      </w:pPr>
    </w:p>
    <w:p>
      <w:pPr>
        <w:ind w:right="80" w:firstLine="1166"/>
        <w:spacing w:after="0" w:line="255" w:lineRule="auto"/>
        <w:rPr>
          <w:sz w:val="20"/>
          <w:szCs w:val="20"/>
          <w:color w:val="auto"/>
        </w:rPr>
      </w:pPr>
      <w:r>
        <w:rPr>
          <w:rFonts w:ascii="Times New Roman" w:cs="Times New Roman" w:eastAsia="Times New Roman" w:hAnsi="Times New Roman"/>
          <w:sz w:val="18"/>
          <w:szCs w:val="18"/>
          <w:color w:val="auto"/>
        </w:rPr>
        <w:t>In April 2023, the EC published a proposal to reform the current pharmaceutical framework, including revision of orphan market exclusivity. The new legislation, if adopted, is expected to start to apply from mid-2028. The proposal to reform the current pharmaceutical framework intends to revise the orphan drug designation and exclusivity regime. In the latest version of the proposal, orphan market exclusivity will be reduced from the current 10 years to 9 years. Extension by another two years will be possible for so-called “breakthrough orphan medicinal products”. Previous drafts also included the concept of “global orphan marketing authorization”, which would no longer grant additional separate orphan market exclusivity for second or further orphan therapeutic indications. Although the final text has not yet been published and RYTELO for the treatment of MDS is and remains regulated under the current regulatory framework, authorization of future indications may be affected by the new legislation.</w:t>
      </w:r>
    </w:p>
    <w:p>
      <w:pPr>
        <w:spacing w:after="0" w:line="21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though we reported positive top-line results from IMerge Phase 3 in January 2023 and received regulatory approval from the FDA in June 2024 to commercialize RYTELO in the U.S. for lower-risk MDS, the top-line results from IMerge Phase 3 are not necessarily predictive of RYTELO’s activity in other indications, such as in relapsed/refractory MF.</w:t>
      </w:r>
    </w:p>
    <w:p>
      <w:pPr>
        <w:spacing w:after="0" w:line="202" w:lineRule="exact"/>
        <w:rPr>
          <w:sz w:val="20"/>
          <w:szCs w:val="20"/>
          <w:color w:val="auto"/>
        </w:rPr>
      </w:pPr>
    </w:p>
    <w:p>
      <w:pPr>
        <w:ind w:right="80" w:firstLine="1166"/>
        <w:spacing w:after="0" w:line="261" w:lineRule="auto"/>
        <w:rPr>
          <w:sz w:val="20"/>
          <w:szCs w:val="20"/>
          <w:color w:val="auto"/>
        </w:rPr>
      </w:pPr>
      <w:r>
        <w:rPr>
          <w:rFonts w:ascii="Times New Roman" w:cs="Times New Roman" w:eastAsia="Times New Roman" w:hAnsi="Times New Roman"/>
          <w:sz w:val="18"/>
          <w:szCs w:val="18"/>
          <w:color w:val="auto"/>
        </w:rPr>
        <w:t>Even though we reported positive top-line results from IMerge Phase 3 in January 2023 and received regulatory approval from the FDA in June 2024 and the EC in March 2025 to commercialize RYTELO in lower-risk MDS, the top-line results from IMerge Phase 3 are not necessarily predictive of RYTELO’s activity in other indications and for other pivotal trials that may be needed to support any application to the FDA or similar international regulatory authorities for such other indications, such as in relapsed/refractory MF.</w:t>
      </w:r>
    </w:p>
    <w:p>
      <w:pPr>
        <w:spacing w:after="0" w:line="207" w:lineRule="exact"/>
        <w:rPr>
          <w:sz w:val="20"/>
          <w:szCs w:val="20"/>
          <w:color w:val="auto"/>
        </w:rPr>
      </w:pPr>
    </w:p>
    <w:p>
      <w:pPr>
        <w:ind w:firstLine="1166"/>
        <w:spacing w:after="0" w:line="253" w:lineRule="auto"/>
        <w:rPr>
          <w:sz w:val="20"/>
          <w:szCs w:val="20"/>
          <w:color w:val="auto"/>
        </w:rPr>
      </w:pPr>
      <w:r>
        <w:rPr>
          <w:rFonts w:ascii="Times New Roman" w:cs="Times New Roman" w:eastAsia="Times New Roman" w:hAnsi="Times New Roman"/>
          <w:sz w:val="18"/>
          <w:szCs w:val="18"/>
          <w:color w:val="auto"/>
        </w:rPr>
        <w:t>In addition, with respect to the trial design for IMpactMF, our Phase 3 trial in relapsed/refractory MF, the FDA urged us to consider adding a third dosing arm to the trial to assess a lower dose and/or a more frequent dosing schedule that might improve the trial’s chance of success by identifying a less toxic regimen and/or more effective spleen response, one of the trial’s secondary endpoints. Based on data from IMbark, our Phase 2 clinical trial that evaluated two doses of imetelstat in relapsed/refractory MF and the results of which our IMpactMF trial is based on, we believe that testing a lower dose regimen would likely result in a lower median OS, which is the trial’s primary endpoint, in the imetelstat treatment arm. Existing data also suggest that lowering the dose would not result in a clinically meaningful reduction in toxicity, and for these reasons we determined not to add a third dosing arm to the trial design and the FDA did not object to our proposed imetelstat sodium dose and schedule of 9.4 mg/kg every three weeks. Our belief may ultimately be incorrect. Therefore, our failure to add a third dosing arm could result in a failure to maintain regulatory clearance from the FDA and similar international regulatory authorities for relapsed/refractory MF, could result in the trial’s failure, or could otherwise delay, limit or prevent marketing approval of imetelstat for relapsed/refractory MF by the FDA or similar international regulatory authorities.</w:t>
      </w:r>
    </w:p>
    <w:p>
      <w:pPr>
        <w:spacing w:after="0" w:line="221" w:lineRule="exact"/>
        <w:rPr>
          <w:sz w:val="20"/>
          <w:szCs w:val="20"/>
          <w:color w:val="auto"/>
        </w:rPr>
      </w:pPr>
    </w:p>
    <w:p>
      <w:pPr>
        <w:ind w:right="520" w:firstLine="1166"/>
        <w:spacing w:after="0" w:line="312" w:lineRule="auto"/>
        <w:rPr>
          <w:sz w:val="20"/>
          <w:szCs w:val="20"/>
          <w:color w:val="auto"/>
        </w:rPr>
      </w:pPr>
      <w:r>
        <w:rPr>
          <w:rFonts w:ascii="Times New Roman" w:cs="Times New Roman" w:eastAsia="Times New Roman" w:hAnsi="Times New Roman"/>
          <w:sz w:val="17"/>
          <w:szCs w:val="17"/>
          <w:color w:val="auto"/>
        </w:rPr>
        <w:t>Regulatory authorities have substantial discretion in the approval process and can delay, limit or deny approval of RYTELO in other jurisdictions or indications, or require us to conduct additional non-clinical or clinical testing or abandon a program for many reasons, including:</w:t>
      </w:r>
    </w:p>
    <w:p>
      <w:pPr>
        <w:spacing w:after="0" w:line="167" w:lineRule="exact"/>
        <w:rPr>
          <w:sz w:val="20"/>
          <w:szCs w:val="20"/>
          <w:color w:val="auto"/>
        </w:rPr>
      </w:pPr>
    </w:p>
    <w:p>
      <w:pPr>
        <w:ind w:left="5540" w:right="2140" w:hanging="5208"/>
        <w:spacing w:after="0" w:line="720" w:lineRule="auto"/>
        <w:tabs>
          <w:tab w:leader="none" w:pos="65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the design or implementation of our clinical trials, including our statistical analysis of trial results;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8" w:name="page49"/>
    <w:bookmarkEnd w:id="48"/>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RYTELO’s efficacy results provide sufficient evidence of overall clinical benefit;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benefit-to-risk assessment, in the case of marginal efficacy and/or clinically relevant safety concerns, for any proposed indication;</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experienced by participants in our clinical trials or by individuals using RYTELO or drugs similar to RYTELO;</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our interpretation of data from non-clinical studies or clinical trials;</w:t>
      </w:r>
    </w:p>
    <w:p>
      <w:pPr>
        <w:spacing w:after="0" w:line="9" w:lineRule="exact"/>
        <w:rPr>
          <w:rFonts w:ascii="Times New Roman" w:cs="Times New Roman" w:eastAsia="Times New Roman" w:hAnsi="Times New Roman"/>
          <w:sz w:val="18"/>
          <w:szCs w:val="18"/>
          <w:color w:val="auto"/>
        </w:rPr>
      </w:pPr>
    </w:p>
    <w:p>
      <w:pPr>
        <w:ind w:left="660" w:right="3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rejection by the FDA of foreign data included in any future supplemental NDA, or sNDA, submissions for any future indications and the non-applicability of this data to the U.S. population and U.S. medical practice;</w:t>
      </w:r>
    </w:p>
    <w:p>
      <w:pPr>
        <w:ind w:left="660" w:right="40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critical issues as a result of a pre-approval health authority inspection that could negatively impact the integrity of data in the MAA and any future sNDA and lead to a rejection by the FDA, EMA, or similar international regulatory authorities;</w:t>
      </w:r>
    </w:p>
    <w:p>
      <w:pPr>
        <w:ind w:left="660" w:right="2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international regulatory authorities that regulatory approval for RYTELO should be narrowed or made more restrictive than our current approvals in the U.S. and the EU for lower-risk MDS or any future indication for which approval is sought, if any;</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regarding the formulation, labeling and/or the specifications for RYTELO;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quality or stability of RYTELO to meet acceptable regulatory standards;</w:t>
      </w:r>
    </w:p>
    <w:p>
      <w:pPr>
        <w:spacing w:after="0" w:line="9"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 or the competent authorities of the individual EU Member States or similar international regulatory authorities may lack resources or be delayed in conducting pre-approval inspections due to lack of resources or other reasons;</w:t>
      </w:r>
    </w:p>
    <w:p>
      <w:pPr>
        <w:ind w:left="660" w:right="1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third-party service providers may be unable to demonstrate compliance with GMP, good clinical practices, or GCP, or other applicable regulatory and other requirements to the satisfaction of the FDA, the EMA, the competent authorities of the individual EU Member States or similar international regulatory authorities; or</w:t>
      </w:r>
    </w:p>
    <w:p>
      <w:pPr>
        <w:spacing w:after="0" w:line="1" w:lineRule="exact"/>
        <w:rPr>
          <w:rFonts w:ascii="Times New Roman" w:cs="Times New Roman" w:eastAsia="Times New Roman" w:hAnsi="Times New Roman"/>
          <w:sz w:val="18"/>
          <w:szCs w:val="18"/>
          <w:color w:val="auto"/>
        </w:rPr>
      </w:pPr>
    </w:p>
    <w:p>
      <w:pPr>
        <w:ind w:left="660" w:right="220" w:hanging="328"/>
        <w:spacing w:after="0" w:line="26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approval processes, or potential reduction of unmet medical need with the entry of competitive therapies to the market, could render our clinical efficacy or safety data insufficient for approval.</w:t>
      </w:r>
    </w:p>
    <w:p>
      <w:pPr>
        <w:spacing w:after="0" w:line="208" w:lineRule="exact"/>
        <w:rPr>
          <w:sz w:val="20"/>
          <w:szCs w:val="20"/>
          <w:color w:val="auto"/>
        </w:rPr>
      </w:pPr>
    </w:p>
    <w:p>
      <w:pPr>
        <w:ind w:right="40" w:firstLine="1166"/>
        <w:spacing w:after="0" w:line="312" w:lineRule="auto"/>
        <w:rPr>
          <w:sz w:val="20"/>
          <w:szCs w:val="20"/>
          <w:color w:val="auto"/>
        </w:rPr>
      </w:pPr>
      <w:r>
        <w:rPr>
          <w:rFonts w:ascii="Times New Roman" w:cs="Times New Roman" w:eastAsia="Times New Roman" w:hAnsi="Times New Roman"/>
          <w:sz w:val="17"/>
          <w:szCs w:val="17"/>
          <w:color w:val="auto"/>
        </w:rPr>
        <w:t>Any of these events may result in a failure to further develop, obtain regulatory approval for or commercialize RYTELO in any jurisdiction or in any indication other than lower-risk MDS in the U.S. and the EU, which could severely and adversely affect our business and business prospects.</w:t>
      </w:r>
    </w:p>
    <w:p>
      <w:pPr>
        <w:spacing w:after="0" w:line="167" w:lineRule="exact"/>
        <w:rPr>
          <w:sz w:val="20"/>
          <w:szCs w:val="20"/>
          <w:color w:val="auto"/>
        </w:rPr>
      </w:pPr>
    </w:p>
    <w:p>
      <w:pPr>
        <w:jc w:val="both"/>
        <w:ind w:right="640" w:firstLine="1166"/>
        <w:spacing w:after="0" w:line="266" w:lineRule="auto"/>
        <w:rPr>
          <w:sz w:val="20"/>
          <w:szCs w:val="20"/>
          <w:color w:val="auto"/>
        </w:rPr>
      </w:pPr>
      <w:r>
        <w:rPr>
          <w:rFonts w:ascii="Times New Roman" w:cs="Times New Roman" w:eastAsia="Times New Roman" w:hAnsi="Times New Roman"/>
          <w:sz w:val="18"/>
          <w:szCs w:val="18"/>
          <w:color w:val="auto"/>
        </w:rPr>
        <w:t>Furthermore, in recent years, there has been increased public and political scrutiny on the FDA and similar international regulatory authorities with respect to the approval process for new drugs, and as a result regulatory authorities may apply more stringent regulatory standards, especially regarding drug safety, when reviewing regulatory submissions.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COMPLIANCE WITH HEALTHCARE LAWS</w:t>
      </w:r>
    </w:p>
    <w:p>
      <w:pPr>
        <w:spacing w:after="0" w:line="25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including physicians and third-party payors, the methods by which we promote RYTELO, and the content of our promotional materials and programs, are subject to applicable promotional, anti-kickback, fraud and abuse, and other healthcare laws and regulations, and our failure to comply with these laws could expose us to criminal sanctions, civil penalties, exclusion from federal health care programs, contractual damages, reputational harm and may adversely affect our business and financial results.</w:t>
      </w:r>
    </w:p>
    <w:p>
      <w:pPr>
        <w:spacing w:after="0" w:line="207" w:lineRule="exact"/>
        <w:rPr>
          <w:sz w:val="20"/>
          <w:szCs w:val="20"/>
          <w:color w:val="auto"/>
        </w:rPr>
      </w:pPr>
    </w:p>
    <w:p>
      <w:pPr>
        <w:ind w:firstLine="1166"/>
        <w:spacing w:after="0" w:line="256" w:lineRule="auto"/>
        <w:rPr>
          <w:sz w:val="20"/>
          <w:szCs w:val="20"/>
          <w:color w:val="auto"/>
        </w:rPr>
      </w:pPr>
      <w:r>
        <w:rPr>
          <w:rFonts w:ascii="Times New Roman" w:cs="Times New Roman" w:eastAsia="Times New Roman" w:hAnsi="Times New Roman"/>
          <w:sz w:val="18"/>
          <w:szCs w:val="18"/>
          <w:color w:val="auto"/>
        </w:rPr>
        <w:t>The FDA strictly regulates the promotional claims that may be made about drug products. In particular, FDA asserts that a product may not be promoted for uses that are not approved by the FDA as reflected in the product’s approved labeling. The FDA, DOJ and other agencies actively enforce regulations related to the promotion and advertisement of pharmaceutical products. If our promotional materials or methods were found to have violated the Food, Drug, and Cosmetic Act, or False Claims Act, we could be subject to Warning or Untitled Letters, or to significant civil, criminal, or administrative penalties, which could inhibit our ability to commercialize RYTELO and generate revenue, require us to expend significant time and resources in response, and generate negative publicity.</w:t>
      </w:r>
    </w:p>
    <w:p>
      <w:pPr>
        <w:spacing w:after="0" w:line="214" w:lineRule="exact"/>
        <w:rPr>
          <w:sz w:val="20"/>
          <w:szCs w:val="20"/>
          <w:color w:val="auto"/>
        </w:rPr>
      </w:pPr>
    </w:p>
    <w:p>
      <w:pPr>
        <w:ind w:right="160" w:firstLine="1166"/>
        <w:spacing w:after="0" w:line="255" w:lineRule="auto"/>
        <w:rPr>
          <w:sz w:val="20"/>
          <w:szCs w:val="20"/>
          <w:color w:val="auto"/>
        </w:rPr>
      </w:pPr>
      <w:r>
        <w:rPr>
          <w:rFonts w:ascii="Times New Roman" w:cs="Times New Roman" w:eastAsia="Times New Roman" w:hAnsi="Times New Roman"/>
          <w:sz w:val="18"/>
          <w:szCs w:val="18"/>
          <w:color w:val="auto"/>
        </w:rPr>
        <w:t>Healthcare professionals, including but not limited to physicians, nurses, medical directors, hospitals, pharmacies, pharmacy benefit managers, group purchasing organizations, wholesalers, insurers, and all individuals employed by such entities (collectively, HCPs), and patients, caregivers, patient advocacy organizations, or medical societies, may influence the recommendation and prescription of RYTELO. There is ongoing government focus on the relationships between the pharmaceutical industry and HCPs or others who can influence the prescription or recommendation of products, and common industry activities that we may engage in such as speaker programs, advisory boards, consulting agreements with HCPs, relationships with charitable foundations providing copayment assistance, and relationships with patient organizations and patients continue to receive increased governmental attention.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9" w:name="page50"/>
    <w:bookmarkEnd w:id="49"/>
    <w:p>
      <w:pPr>
        <w:ind w:firstLine="1166"/>
        <w:spacing w:after="0" w:line="254" w:lineRule="auto"/>
        <w:rPr>
          <w:sz w:val="20"/>
          <w:szCs w:val="20"/>
          <w:color w:val="auto"/>
        </w:rPr>
      </w:pPr>
      <w:r>
        <w:rPr>
          <w:rFonts w:ascii="Times New Roman" w:cs="Times New Roman" w:eastAsia="Times New Roman" w:hAnsi="Times New Roman"/>
          <w:sz w:val="18"/>
          <w:szCs w:val="18"/>
          <w:color w:val="auto"/>
        </w:rPr>
        <w:t>Our arrangements with HCPs and others who have the ability to influence the recommendation and prescription of RYTELO may expose us to broadly applicable federal and state fraud and abuse and other healthcare laws and regulations, including anti-kickback and false claims laws; data privacy and security laws, including the Health Insurance Portability and Accountability Act, or HIPAA, as amended by the Health Information Technology for Economic and Clinical Health Act, or HITECH; and transparency laws related to payments and/or other transfers of value made to physicians, other healthcare professionals and teaching hospitals. Additionally, some state and local laws require certain regulatory licenses to manufacture or distribute our products commercially and/or the registration of pharmaceutical sales representatives in the jurisdiction.These laws may constrain the business or financial arrangements and relationships through which we conduct our operations, including how we market, sell and distribute RYTELO. For details regarding the restrictions under applicable federal and state healthcare laws and regulations that may affect our ability to operate, see Item 1 “Business-Government Regulation- Fraud and Abuse, and Transparency Laws and Regulations” of the 2025 Form 10-K.</w:t>
      </w:r>
    </w:p>
    <w:p>
      <w:pPr>
        <w:spacing w:after="0" w:line="215" w:lineRule="exact"/>
        <w:rPr>
          <w:sz w:val="20"/>
          <w:szCs w:val="20"/>
          <w:color w:val="auto"/>
        </w:rPr>
      </w:pPr>
    </w:p>
    <w:p>
      <w:pPr>
        <w:ind w:right="20" w:firstLine="1166"/>
        <w:spacing w:after="0" w:line="254"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For example, to help patients afford our products, we have a patient assistance program and also occasionally make donations to independent charitable foundations that help financially needy patients. These types of programs designed to assist patients in affording pharmaceuticals have become the subject of scrutiny under the AKS and other federal and state laws in recent years. If we or our vendors or donation recipients are deemed to fail to comply with laws or regulations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A government investigation could negatively impact our business practices, harm our reputation, divert the attention of management and increase our expenses.</w:t>
      </w:r>
    </w:p>
    <w:p>
      <w:pPr>
        <w:spacing w:after="0" w:line="215" w:lineRule="exact"/>
        <w:rPr>
          <w:sz w:val="20"/>
          <w:szCs w:val="20"/>
          <w:color w:val="auto"/>
        </w:rPr>
      </w:pPr>
    </w:p>
    <w:p>
      <w:pPr>
        <w:ind w:right="20" w:firstLine="1166"/>
        <w:spacing w:after="0" w:line="254" w:lineRule="auto"/>
        <w:rPr>
          <w:sz w:val="20"/>
          <w:szCs w:val="20"/>
          <w:color w:val="auto"/>
        </w:rPr>
      </w:pPr>
      <w:r>
        <w:rPr>
          <w:rFonts w:ascii="Times New Roman" w:cs="Times New Roman" w:eastAsia="Times New Roman" w:hAnsi="Times New Roman"/>
          <w:sz w:val="18"/>
          <w:szCs w:val="18"/>
          <w:color w:val="auto"/>
        </w:rPr>
        <w:t>While we maintain a comprehensive compliance program designed with the goal of ensuring that our practices and the activities of our third party contractors and employees fall within the scope of available statutory exceptions and regulatory safe harbors whenever possible, and otherwise comply with applicable laws, it is possible that government authorities may disagree with our assessment, find fault with the conduct of our employees or contractors or conclude that our business practices do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Even if we are not determined to have violated these laws, government investigations into these issues typically require the expenditure of significant resources and generate negative publicity, or could result in related shareholder lawsuits, any of which would adversely affect our business, financial condition, results of operations and prospects.</w:t>
      </w:r>
    </w:p>
    <w:p>
      <w:pPr>
        <w:spacing w:after="0" w:line="215" w:lineRule="exact"/>
        <w:rPr>
          <w:sz w:val="20"/>
          <w:szCs w:val="20"/>
          <w:color w:val="auto"/>
        </w:rPr>
      </w:pPr>
    </w:p>
    <w:p>
      <w:pPr>
        <w:jc w:val="both"/>
        <w:ind w:right="160" w:firstLine="1166"/>
        <w:spacing w:after="0" w:line="261" w:lineRule="auto"/>
        <w:rPr>
          <w:sz w:val="20"/>
          <w:szCs w:val="20"/>
          <w:color w:val="auto"/>
        </w:rPr>
      </w:pPr>
      <w:r>
        <w:rPr>
          <w:rFonts w:ascii="Times New Roman" w:cs="Times New Roman" w:eastAsia="Times New Roman" w:hAnsi="Times New Roman"/>
          <w:sz w:val="18"/>
          <w:szCs w:val="18"/>
          <w:color w:val="auto"/>
        </w:rPr>
        <w:t>Foreign, federal and state enforcement bodies have increased their scrutiny of interactions between healthcare companies and healthcare providers, which has led to a number of investigations, prosecutions, convictions and settlements in the healthcare industry. If our operations are found to be in violation of any of these or any other healthcare and privacy-related regulatory laws that may apply to us, our ability to operate our business and our results of operations could be adversely affected by:</w:t>
      </w:r>
    </w:p>
    <w:p>
      <w:pPr>
        <w:spacing w:after="0" w:line="207"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significant civil, criminal and administrative penalties, damages, monetary fines, disgorgement and imprisonment;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exclusion from participation in Medicare, Medicaid and other federal healthcare programs or comparable foreign programs;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profits and future earnings;</w:t>
      </w:r>
    </w:p>
    <w:p>
      <w:pPr>
        <w:spacing w:after="0" w:line="9" w:lineRule="exact"/>
        <w:rPr>
          <w:rFonts w:ascii="Times New Roman" w:cs="Times New Roman" w:eastAsia="Times New Roman" w:hAnsi="Times New Roman"/>
          <w:sz w:val="18"/>
          <w:szCs w:val="18"/>
          <w:color w:val="auto"/>
        </w:rPr>
      </w:pPr>
    </w:p>
    <w:p>
      <w:pPr>
        <w:ind w:left="660" w:right="82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reporting requirements and oversight if we become subject to a corporate integrity agreement or similar agreement to resolve allegations of non-compliance with these laws; and</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curtailment of our operations.</w:t>
      </w:r>
    </w:p>
    <w:p>
      <w:pPr>
        <w:spacing w:after="0" w:line="23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Defending against any such actions can be costly, time-consuming and may require significant financial and personnel resources.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even if we are successful in defending against any such actions that may be brought against us, our business may be impaired.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THE FURTHER DEVELOPMENT OF IMETELSTAT</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be certain that we will be able to continue to develop imetelstat or advance it in clinical trials, or that we will be able to receive regulatory approval for imetelstat in any other indications in the U.S., the EU or any other region, on a timely basis or at all.</w:t>
      </w:r>
    </w:p>
    <w:p>
      <w:pPr>
        <w:spacing w:after="0" w:line="186" w:lineRule="exact"/>
        <w:rPr>
          <w:sz w:val="20"/>
          <w:szCs w:val="20"/>
          <w:color w:val="auto"/>
        </w:rPr>
      </w:pPr>
    </w:p>
    <w:p>
      <w:pPr>
        <w:ind w:firstLine="1166"/>
        <w:spacing w:after="0" w:line="256" w:lineRule="auto"/>
        <w:rPr>
          <w:sz w:val="20"/>
          <w:szCs w:val="20"/>
          <w:color w:val="auto"/>
        </w:rPr>
      </w:pPr>
      <w:r>
        <w:rPr>
          <w:rFonts w:ascii="Times New Roman" w:cs="Times New Roman" w:eastAsia="Times New Roman" w:hAnsi="Times New Roman"/>
          <w:sz w:val="18"/>
          <w:szCs w:val="18"/>
          <w:color w:val="auto"/>
        </w:rPr>
        <w:t>We are wholly dependent on the success of RYTELO (imetelstat), which is our only approved product, and our ability to generate revenue from product sales and achieve profitability is wholly dependent on our ability to successfully commercialize RYTELO for lower-risk MDS or to expand its indications of use. In this regard, in addition to lower-risk MDS, which is the only indication for which RYTELO has received marketing approval in the U.S. and the EU, we are developing imetelstat for the treatment of several myeloid hematologic malignancies. Our ability to further develop imetelstat and to expand its indications of use to other myeloid hematologic malignancies is subject to significant risks and uncertainties, including, among other things, our ability to:</w:t>
      </w:r>
    </w:p>
    <w:p>
      <w:pPr>
        <w:spacing w:after="0" w:line="214" w:lineRule="exact"/>
        <w:rPr>
          <w:sz w:val="20"/>
          <w:szCs w:val="20"/>
          <w:color w:val="auto"/>
        </w:rPr>
      </w:pPr>
    </w:p>
    <w:p>
      <w:pPr>
        <w:ind w:left="660" w:right="360" w:hanging="328"/>
        <w:spacing w:after="0" w:line="257"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sufficient safety and efficacy data from the IMpactMF, IMproveMF, IMpress and IMAGINE clinical trials, as well as our studies in frontline MF and acute myeloid leukemia or high-risk MDS, to support any application for regulatory approval, without clinically meaningful safety issues, side effects or dose-limiting toxicities related to imetelstat that may negatively impact its benefit-risk profile;</w:t>
      </w:r>
    </w:p>
    <w:p>
      <w:pPr>
        <w:spacing w:after="0" w:line="1" w:lineRule="exact"/>
        <w:rPr>
          <w:rFonts w:ascii="Times New Roman" w:cs="Times New Roman" w:eastAsia="Times New Roman" w:hAnsi="Times New Roman"/>
          <w:sz w:val="18"/>
          <w:szCs w:val="18"/>
          <w:color w:val="auto"/>
        </w:rPr>
      </w:pPr>
    </w:p>
    <w:p>
      <w:pPr>
        <w:ind w:left="660" w:right="58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ascertain that the use of imetelstat does not result in significant systemic or organ toxicities, including hepatotoxicity, or other safety issues resulting in an unacceptable benefit-risk profile;</w:t>
      </w:r>
    </w:p>
    <w:p>
      <w:pPr>
        <w:ind w:left="660" w:right="54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additional capital, if and when needed, in order to enable us to further advance imetelstat clinical trials in other myeloid hematologic malignancies;</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required regulatory clearances and approvals to enable continued clinical development of imetelstat;</w:t>
      </w:r>
    </w:p>
    <w:p>
      <w:pPr>
        <w:spacing w:after="0" w:line="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and maintain commercially reasonable arrangements with third parties to provide services needed to further research, develop and commercialize RYTELO, including maintaining the agreements with our contract research organizations, or CROs, and third-party manufacturers and for territories outside of the U.S. in compliance with applicable laws;</w:t>
      </w:r>
    </w:p>
    <w:p>
      <w:pPr>
        <w:spacing w:after="0" w:line="1"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and retain sufficient qualified and experienced personnel to support the development and commercialization of RYTELO in potential other approved indications and other jurisdictions outside of the U.S. and the EU;</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acceptance of RYTELO treatment by patients and the relevant medical communities;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effectively with other approved treatments in lower-risk MDS, and relapsed/refractory MF, if imetelstat is approved in relapsed/refractory MF, and potentially other myeloid hematologic malignancies;</w:t>
      </w:r>
    </w:p>
    <w:p>
      <w:pPr>
        <w:ind w:left="660" w:right="24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appropriate coverage and reimbursement levels for the cost of RYTELO from governmental authorities, private health insurers and other third-party payors; and</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and enforce adequate intellectual property and regulatory exclusivity for RYTELO in the U.S., EU and globally.</w:t>
      </w:r>
    </w:p>
    <w:p>
      <w:pPr>
        <w:spacing w:after="0" w:line="234" w:lineRule="exact"/>
        <w:rPr>
          <w:sz w:val="20"/>
          <w:szCs w:val="20"/>
          <w:color w:val="auto"/>
        </w:rPr>
      </w:pPr>
    </w:p>
    <w:p>
      <w:pPr>
        <w:ind w:right="120" w:firstLine="1166"/>
        <w:spacing w:after="0" w:line="266" w:lineRule="auto"/>
        <w:rPr>
          <w:sz w:val="20"/>
          <w:szCs w:val="20"/>
          <w:color w:val="auto"/>
        </w:rPr>
      </w:pPr>
      <w:r>
        <w:rPr>
          <w:rFonts w:ascii="Times New Roman" w:cs="Times New Roman" w:eastAsia="Times New Roman" w:hAnsi="Times New Roman"/>
          <w:sz w:val="18"/>
          <w:szCs w:val="18"/>
          <w:color w:val="auto"/>
        </w:rPr>
        <w:t>If we are not able to successfully achieve these goals and overcome other challenges that we may encounter in the research, development, manufacturing and commercialization of RYTELO in indications other than lower-risk MDS, we may be forced to abandon our development and/or commercialization of RYTELO in indications other than lower-risk MDS, which could severely harm our business and business prospects.</w:t>
      </w:r>
    </w:p>
    <w:p>
      <w:pPr>
        <w:spacing w:after="0" w:line="19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of imetelstat could be interrupted, delayed, terminated or abandoned for a variety of reasons which could severely and adversely affect our financial results, business and business prospects.</w:t>
      </w:r>
    </w:p>
    <w:p>
      <w:pPr>
        <w:spacing w:after="0" w:line="186" w:lineRule="exact"/>
        <w:rPr>
          <w:sz w:val="20"/>
          <w:szCs w:val="20"/>
          <w:color w:val="auto"/>
        </w:rPr>
      </w:pPr>
    </w:p>
    <w:p>
      <w:pPr>
        <w:ind w:right="140" w:firstLine="1166"/>
        <w:spacing w:after="0" w:line="282" w:lineRule="auto"/>
        <w:rPr>
          <w:sz w:val="20"/>
          <w:szCs w:val="20"/>
          <w:color w:val="auto"/>
        </w:rPr>
      </w:pPr>
      <w:r>
        <w:rPr>
          <w:rFonts w:ascii="Times New Roman" w:cs="Times New Roman" w:eastAsia="Times New Roman" w:hAnsi="Times New Roman"/>
          <w:sz w:val="18"/>
          <w:szCs w:val="18"/>
          <w:color w:val="auto"/>
        </w:rPr>
        <w:t>The conduct and completion of our clinical trials could be interrupted, delayed or abandoned for a variety of reasons, including as a result of clinical trial failures, suspensions, terminations or delays related to:</w:t>
      </w:r>
    </w:p>
    <w:p>
      <w:pPr>
        <w:spacing w:after="0" w:line="189" w:lineRule="exact"/>
        <w:rPr>
          <w:sz w:val="20"/>
          <w:szCs w:val="20"/>
          <w:color w:val="auto"/>
        </w:rPr>
      </w:pPr>
    </w:p>
    <w:p>
      <w:pPr>
        <w:ind w:left="66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recruitment, enrollment and retention challenges and operational delays, including in connection with opening new clinical trial sites, while also competing with clinical trials for other investigational drugs in the same patient population;</w:t>
      </w:r>
    </w:p>
    <w:p>
      <w:pPr>
        <w:ind w:left="660" w:right="20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OS as a trial endpoint, which inherently requires prolonged periods of clinical observation and follow-up, including the need for a certain number of events, or deaths, to occur in IMpactMF prior to the interim or final analysis in that trial of OS;</w:t>
      </w:r>
    </w:p>
    <w:p>
      <w:pPr>
        <w:ind w:left="660" w:right="520" w:hanging="328"/>
        <w:spacing w:after="0" w:line="26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trial endpoints, including patient-reported outcomes, that necessitate a comprehensive analysis of the resulting data to determine trial outcomes;</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51" w:name="page52"/>
    <w:bookmarkEnd w:id="51"/>
    <w:p>
      <w:pPr>
        <w:ind w:left="660" w:right="22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and/or maintaining regulatory clearances in the U.S. or other jurisdictions to commence, conduct or modify current or potential future clinical trials of imetelstat, in a timely manner, or at all;</w:t>
      </w:r>
    </w:p>
    <w:p>
      <w:pPr>
        <w:ind w:left="660" w:right="8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investigational new drug applications, or INDs, and equivalent submissions in other countries for imetelstat being placed on full or partial clinical hold, suspended or subject to other requirements by the FDA or other similar international regulatory authorities;</w:t>
      </w:r>
    </w:p>
    <w:p>
      <w:pPr>
        <w:ind w:left="660" w:right="18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with a sufficient number of clinical trial sites to conduct current and potential future clinical trials, and ensuring that such contracts contain all necessary terms and conditions required by applicable laws, including providing for valid mechanisms to engage in cross-border data transfers, as well as identifying, recruiting and training suitable clinical investigators;</w:t>
      </w:r>
    </w:p>
    <w:p>
      <w:pPr>
        <w:spacing w:after="0" w:line="1"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or accessing necessary clinical data in accordance with appropriate clinical or quality practices and regulatory requirements, in a timely and accurate manner to ensure complete data sets;</w:t>
      </w:r>
    </w:p>
    <w:p>
      <w:pPr>
        <w:jc w:val="both"/>
        <w:ind w:left="660" w:right="220" w:hanging="328"/>
        <w:spacing w:after="0" w:line="265" w:lineRule="auto"/>
        <w:tabs>
          <w:tab w:leader="none" w:pos="65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responding to safety findings, recommendations or conclusions by the data safety review committees, independent data monitoring committees and/or expert committees of current and potential future clinical trials of imetelstat based on emerging data occurring during such clinical trials;</w:t>
      </w:r>
    </w:p>
    <w:p>
      <w:pPr>
        <w:jc w:val="both"/>
        <w:ind w:left="660" w:right="2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that meet our specifications, cost and quality requirements, and timelines for imetelstat, or for other clinical trial materials, in a manner that meets the quality standards of the FDA and other similar international regulatory authorities, and responding to any disruptions to drug supply, clinical trial materials or quality issues that may arise;</w:t>
      </w:r>
    </w:p>
    <w:p>
      <w:pPr>
        <w:spacing w:after="0" w:line="1"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macroeconomic or other global conditions, such as inflation, fluctuations in interest rates, prospects of a recession, government shutdowns, changes in tariffs or other trade restrictions, bank failures and other disruptions to financial systems, civil or political unrest, military conflicts, pandemics or other health crises and supply chain and resource issues;</w:t>
      </w:r>
    </w:p>
    <w:p>
      <w:pPr>
        <w:spacing w:after="0" w:line="1" w:lineRule="exact"/>
        <w:rPr>
          <w:rFonts w:ascii="Times New Roman" w:cs="Times New Roman" w:eastAsia="Times New Roman" w:hAnsi="Times New Roman"/>
          <w:sz w:val="18"/>
          <w:szCs w:val="18"/>
          <w:color w:val="auto"/>
        </w:rPr>
      </w:pPr>
    </w:p>
    <w:p>
      <w:pPr>
        <w:ind w:left="660" w:right="4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current and future regulatory requirements, policies or guidelines, including domestic and international laws and regulations pertaining to fraud and abuse, transparency, and the privacy and security of health information;</w:t>
      </w:r>
    </w:p>
    <w:p>
      <w:pPr>
        <w:ind w:left="660" w:right="10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and on a timely basis, if at all, with collaborators, physician investigators, vendors and other third parties located in the U.S. or other countries, including our CROs, laboratory service providers and clinical trial sites, on all aspects of clinical development and collaborating with them successfully; and</w:t>
      </w:r>
    </w:p>
    <w:p>
      <w:pPr>
        <w:spacing w:after="0" w:line="1" w:lineRule="exact"/>
        <w:rPr>
          <w:rFonts w:ascii="Times New Roman" w:cs="Times New Roman" w:eastAsia="Times New Roman" w:hAnsi="Times New Roman"/>
          <w:sz w:val="18"/>
          <w:szCs w:val="18"/>
          <w:color w:val="auto"/>
        </w:rPr>
      </w:pPr>
    </w:p>
    <w:p>
      <w:pPr>
        <w:ind w:left="660" w:right="360" w:hanging="328"/>
        <w:spacing w:after="0" w:line="255"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contractors, including investigators or our CROs not performing our clinical trials according to our anticipated schedule or consistent with the clinical trial protocol, GCP, or other regulatory requirements, or not performing data collection or analyses in a timely or accurate manner.</w:t>
      </w:r>
    </w:p>
    <w:p>
      <w:pPr>
        <w:spacing w:after="0" w:line="213" w:lineRule="exact"/>
        <w:rPr>
          <w:sz w:val="20"/>
          <w:szCs w:val="20"/>
          <w:color w:val="auto"/>
        </w:rPr>
      </w:pPr>
    </w:p>
    <w:p>
      <w:pPr>
        <w:ind w:right="60" w:firstLine="1166"/>
        <w:spacing w:after="0" w:line="256" w:lineRule="auto"/>
        <w:rPr>
          <w:sz w:val="20"/>
          <w:szCs w:val="20"/>
          <w:color w:val="auto"/>
        </w:rPr>
      </w:pPr>
      <w:r>
        <w:rPr>
          <w:rFonts w:ascii="Times New Roman" w:cs="Times New Roman" w:eastAsia="Times New Roman" w:hAnsi="Times New Roman"/>
          <w:sz w:val="18"/>
          <w:szCs w:val="18"/>
          <w:color w:val="auto"/>
        </w:rPr>
        <w:t>In addition, recent actions by the current administration in the U.S. to limit federal agency budgets and personnel have resulted in reductions in the FDA's budget and employees, which may lead to slower response times, longer review periods, delayed inspections or other disruptions that we cannot currently predict. Failures or delays with respect to any of the foregoing events and such disruptions in the timely review and processing of our regulatory submissions and inspections could adversely affect our ability to conduct or complete the clinical trials being conducted by us or our investigators, or to commence, conduct and complete potential future clinical trials of imetelstat, which could increase development costs or interrupt, further delay or halt our development of imetelstat, any of which could severely and adversely affect our financial results, business and business prospects.</w:t>
      </w:r>
    </w:p>
    <w:p>
      <w:pPr>
        <w:spacing w:after="0" w:line="21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RYTELO may cause, or have attributed to it, undesirable or unintended side effects or other adverse events that could halt or limit its further commercialization, delay or prevent its regulatory approval in any other jurisdiction or indication, or cause us to delay or terminate our clinical trials.</w:t>
      </w:r>
    </w:p>
    <w:p>
      <w:pPr>
        <w:spacing w:after="0" w:line="186" w:lineRule="exact"/>
        <w:rPr>
          <w:sz w:val="20"/>
          <w:szCs w:val="20"/>
          <w:color w:val="auto"/>
        </w:rPr>
      </w:pPr>
    </w:p>
    <w:p>
      <w:pPr>
        <w:jc w:val="both"/>
        <w:ind w:right="200" w:firstLine="1166"/>
        <w:spacing w:after="0" w:line="266" w:lineRule="auto"/>
        <w:rPr>
          <w:sz w:val="20"/>
          <w:szCs w:val="20"/>
          <w:color w:val="auto"/>
        </w:rPr>
      </w:pPr>
      <w:r>
        <w:rPr>
          <w:rFonts w:ascii="Times New Roman" w:cs="Times New Roman" w:eastAsia="Times New Roman" w:hAnsi="Times New Roman"/>
          <w:sz w:val="18"/>
          <w:szCs w:val="18"/>
          <w:color w:val="auto"/>
        </w:rPr>
        <w:t>While the FDA and the EC granted approval of RYTELO based on the data included in our NDA and MAA, respectively, including data from the Phase 3 IMerge trial, we cannot be certain whether the results as a larger number of patients receive RYTELO from commercial use, including results related to safety, will be consistent with the results from earlier clinical trials that served as the basis for its approval.</w:t>
      </w:r>
    </w:p>
    <w:p>
      <w:pPr>
        <w:spacing w:after="0" w:line="203" w:lineRule="exact"/>
        <w:rPr>
          <w:sz w:val="20"/>
          <w:szCs w:val="20"/>
          <w:color w:val="auto"/>
        </w:rPr>
      </w:pPr>
    </w:p>
    <w:p>
      <w:pPr>
        <w:ind w:firstLine="1166"/>
        <w:spacing w:after="0" w:line="256" w:lineRule="auto"/>
        <w:rPr>
          <w:sz w:val="20"/>
          <w:szCs w:val="20"/>
          <w:color w:val="auto"/>
        </w:rPr>
      </w:pPr>
      <w:r>
        <w:rPr>
          <w:rFonts w:ascii="Times New Roman" w:cs="Times New Roman" w:eastAsia="Times New Roman" w:hAnsi="Times New Roman"/>
          <w:sz w:val="18"/>
          <w:szCs w:val="18"/>
          <w:color w:val="auto"/>
        </w:rPr>
        <w:t>In addition, because remaining patients in ongoing clinical trials continue to receive imetelstat, additional or more severe toxicities or safety issues may be observed, and the benefit-risk profile of imetelstat will continue to be assessed, including the risk of hepatotoxicity, severe cytopenias, fatal bleeding with or without any associated thrombocytopenia, patient injury or death. New data relating to imetelstat, including from adverse event reports and our post-marketing requirements in the U.S., and from ongoing clinical trials of imetelstat, may result in changes to the product label and may adversely affect sales, or result in withdrawal of imetelstat from the market. The FDA and regulatory authorities in other jurisdictions may also consider the new data in reviewing our marketing applications for additional</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52" w:name="page53"/>
    <w:bookmarkEnd w:id="52"/>
    <w:p>
      <w:pPr>
        <w:ind w:right="200"/>
        <w:spacing w:after="0" w:line="282" w:lineRule="auto"/>
        <w:rPr>
          <w:sz w:val="20"/>
          <w:szCs w:val="20"/>
          <w:color w:val="auto"/>
        </w:rPr>
      </w:pPr>
      <w:r>
        <w:rPr>
          <w:rFonts w:ascii="Times New Roman" w:cs="Times New Roman" w:eastAsia="Times New Roman" w:hAnsi="Times New Roman"/>
          <w:sz w:val="18"/>
          <w:szCs w:val="18"/>
          <w:color w:val="auto"/>
        </w:rPr>
        <w:t>indications and/or in other jurisdictions, or impose post-approval requirements. If any of these actions were to occur, it could result in significant expense and delay or limit our ability to generate sales revenues.</w:t>
      </w:r>
    </w:p>
    <w:p>
      <w:pPr>
        <w:spacing w:after="0" w:line="189" w:lineRule="exact"/>
        <w:rPr>
          <w:sz w:val="20"/>
          <w:szCs w:val="20"/>
          <w:color w:val="auto"/>
        </w:rPr>
      </w:pPr>
    </w:p>
    <w:p>
      <w:pPr>
        <w:ind w:right="120" w:firstLine="1166"/>
        <w:spacing w:after="0" w:line="261" w:lineRule="auto"/>
        <w:rPr>
          <w:sz w:val="20"/>
          <w:szCs w:val="20"/>
          <w:color w:val="auto"/>
        </w:rPr>
      </w:pPr>
      <w:r>
        <w:rPr>
          <w:rFonts w:ascii="Times New Roman" w:cs="Times New Roman" w:eastAsia="Times New Roman" w:hAnsi="Times New Roman"/>
          <w:sz w:val="18"/>
          <w:szCs w:val="18"/>
          <w:color w:val="auto"/>
        </w:rPr>
        <w:t>Further, as a result of commercialization of RYTELO, or in current or potential future clinical trials, RYTELO may cause, or have attributed to it, undesirable or unintended side effects or other adverse events affecting its safety or efficacy that could interrupt, further delay or halt its commercialization or current or potential future clinical trials. In this regard, adverse events and dose-limiting toxicities observed in previous and ongoing clinical trials include:</w:t>
      </w:r>
    </w:p>
    <w:p>
      <w:pPr>
        <w:spacing w:after="0" w:line="207"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hematologic toxicities, such as profound and/or prolonged thrombocytopenia or neutropenia;</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bleeding events, with or without thrombocytopenia, including Grade 3/4 bleeding events;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febrile neutropenia;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hepatotoxicity and liver function test abnormalities, as well as hepatic failure;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gastrointestinal events;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infection events, with or without neutropenia, including Grade 3/4 infection events;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muscular and joint pain;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fatigue;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headache;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infusion-related reactions.</w:t>
      </w:r>
    </w:p>
    <w:p>
      <w:pPr>
        <w:spacing w:after="0" w:line="234" w:lineRule="exact"/>
        <w:rPr>
          <w:sz w:val="20"/>
          <w:szCs w:val="20"/>
          <w:color w:val="auto"/>
        </w:rPr>
      </w:pPr>
    </w:p>
    <w:p>
      <w:pPr>
        <w:ind w:firstLine="1166"/>
        <w:spacing w:after="0" w:line="255" w:lineRule="auto"/>
        <w:rPr>
          <w:sz w:val="20"/>
          <w:szCs w:val="20"/>
          <w:color w:val="auto"/>
        </w:rPr>
      </w:pPr>
      <w:r>
        <w:rPr>
          <w:rFonts w:ascii="Times New Roman" w:cs="Times New Roman" w:eastAsia="Times New Roman" w:hAnsi="Times New Roman"/>
          <w:sz w:val="18"/>
          <w:szCs w:val="18"/>
          <w:color w:val="auto"/>
        </w:rPr>
        <w:t>If patients experience similar or more severe adverse events, or new or unusual adverse events, or if the FDA or other similar international regulatory authorities determine that efficacy and safety data from our commercialization efforts or in clinical trials do not support an adequate benefit-risk profile to justify continued treatment of patients, then the FDA or other similar international regulatory authorities may halt or restrict the commercialization of RYTELO or place one or more of our INDs on clinical hold, as occurred in March 2014. If this were to occur, there could be a significant delay in, or possible termination of, one or more of our clinical trials, and our commercialization efforts could be halted, which might cause us to cease operations. If such toxicities or other safety issues identified as a result of our commercialization of RYTELO or in any clinical trial are determined by us, the FDA or similar international regulatory authorities to result in an unacceptable benefit-risk profile, then:</w:t>
      </w:r>
    </w:p>
    <w:p>
      <w:pPr>
        <w:spacing w:after="0" w:line="216"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and EC could withdraw or restrict regulatory approval for RYTELO in the U.S. and EU, respectively, for lower-risk MDS;</w:t>
      </w:r>
    </w:p>
    <w:p>
      <w:pPr>
        <w:spacing w:after="0" w:line="27"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information supporting the benefit-risk profile of RYTELO may be requested by the FDA or similar international regulatory authorities and if any such information is not available or, if available, not deemed acceptable, regulatory approval could be withdrawn by the FDA in the U.S. and the EC in the EU, and/or current clinical trials could be suspended, terminated, or placed on clinical hold by the FDA or similar international regulatory authorities;</w:t>
      </w:r>
    </w:p>
    <w:p>
      <w:pPr>
        <w:spacing w:after="0" w:line="1"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retain enrolled patients in our current clinical trials may be negatively affected, resulting in incomplete data sets and the inability to adequately assess the benefit-risk profile of RYTELO in a specific patient population;</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unexpected clinical trials or non-clinical studies may be required to be conducted;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RYTELO may not receive or maintain regulatory clearances and approvals required to enable its continued development.</w:t>
      </w:r>
    </w:p>
    <w:p>
      <w:pPr>
        <w:spacing w:after="0" w:line="234" w:lineRule="exact"/>
        <w:rPr>
          <w:sz w:val="20"/>
          <w:szCs w:val="20"/>
          <w:color w:val="auto"/>
        </w:rPr>
      </w:pPr>
    </w:p>
    <w:p>
      <w:pPr>
        <w:ind w:right="100" w:firstLine="1166"/>
        <w:spacing w:after="0" w:line="261" w:lineRule="auto"/>
        <w:rPr>
          <w:sz w:val="20"/>
          <w:szCs w:val="20"/>
          <w:color w:val="auto"/>
        </w:rPr>
      </w:pPr>
      <w:r>
        <w:rPr>
          <w:rFonts w:ascii="Times New Roman" w:cs="Times New Roman" w:eastAsia="Times New Roman" w:hAnsi="Times New Roman"/>
          <w:sz w:val="18"/>
          <w:szCs w:val="18"/>
          <w:color w:val="auto"/>
        </w:rPr>
        <w:t>The occurrence of any of these events could interrupt, further delay, or halt our commercialization of RYTELO or its further development, and as a result, could preclude the commercialization of RYTELO in any additional indications, as well as increase costs for continued development in additional indications, which would have a severe adverse effect on our results of operations, financial condition and ability to raise additional capital, business and business prospects, any of which might cause us to cease operations.</w:t>
      </w:r>
    </w:p>
    <w:p>
      <w:pPr>
        <w:spacing w:after="0" w:line="20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Results and data we disclosed from prior non-clinical studies and clinical trials, as well as any data disclosed as a result of an interim analysis, may not predict success in later clinical trials or the final analysis, and we cannot assure you that any ongoing or future clinical trials of imetelstat, including IMpactMF, will lead to similar results and data that could potentially enable us to obtain any further regulatory approvals.</w:t>
      </w:r>
    </w:p>
    <w:p>
      <w:pPr>
        <w:spacing w:after="0" w:line="202" w:lineRule="exact"/>
        <w:rPr>
          <w:sz w:val="20"/>
          <w:szCs w:val="20"/>
          <w:color w:val="auto"/>
        </w:rPr>
      </w:pPr>
    </w:p>
    <w:p>
      <w:pPr>
        <w:ind w:right="80" w:firstLine="1166"/>
        <w:spacing w:after="0" w:line="261" w:lineRule="auto"/>
        <w:rPr>
          <w:sz w:val="20"/>
          <w:szCs w:val="20"/>
          <w:color w:val="auto"/>
        </w:rPr>
      </w:pPr>
      <w:r>
        <w:rPr>
          <w:rFonts w:ascii="Times New Roman" w:cs="Times New Roman" w:eastAsia="Times New Roman" w:hAnsi="Times New Roman"/>
          <w:sz w:val="18"/>
          <w:szCs w:val="18"/>
          <w:color w:val="auto"/>
        </w:rPr>
        <w:t>The design of a clinical trial can determine whether its results will support regulatory approval of a product, and flaws in the trial design may not become apparent until the clinical trial is well advanced or during the approval process after the trial is completed. A clinical trial design that is considered appropriate for regulatory approval includes a sufficiently large sample size with appropriate statistical power, as well as proper control of bias, to allow a</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3" w:name="page54"/>
    <w:bookmarkEnd w:id="53"/>
    <w:p>
      <w:pPr>
        <w:ind w:right="120"/>
        <w:spacing w:after="0" w:line="261" w:lineRule="auto"/>
        <w:rPr>
          <w:sz w:val="20"/>
          <w:szCs w:val="20"/>
          <w:color w:val="auto"/>
        </w:rPr>
      </w:pPr>
      <w:r>
        <w:rPr>
          <w:rFonts w:ascii="Times New Roman" w:cs="Times New Roman" w:eastAsia="Times New Roman" w:hAnsi="Times New Roman"/>
          <w:sz w:val="18"/>
          <w:szCs w:val="18"/>
          <w:color w:val="auto"/>
        </w:rPr>
        <w:t>meaningful interpretation of the results. The preliminary results of imetelstat clinical trials with smaller sample sizes can be disproportionately influenced by the impact the treatment had on a few individuals, which limits the ability to generalize the results across a broader community, making the trial results of clinical trials with smaller sample sizes less reliable than trials with a larger number of patients. As a result, there may be less certainty that imetelstat will achieve a statistically significant effect in any future clinical trials.</w:t>
      </w:r>
    </w:p>
    <w:p>
      <w:pPr>
        <w:spacing w:after="0" w:line="207" w:lineRule="exact"/>
        <w:rPr>
          <w:sz w:val="20"/>
          <w:szCs w:val="20"/>
          <w:color w:val="auto"/>
        </w:rPr>
      </w:pPr>
    </w:p>
    <w:p>
      <w:pPr>
        <w:ind w:right="20" w:firstLine="1166"/>
        <w:spacing w:after="0" w:line="256" w:lineRule="auto"/>
        <w:rPr>
          <w:sz w:val="20"/>
          <w:szCs w:val="20"/>
          <w:color w:val="auto"/>
        </w:rPr>
      </w:pPr>
      <w:r>
        <w:rPr>
          <w:rFonts w:ascii="Times New Roman" w:cs="Times New Roman" w:eastAsia="Times New Roman" w:hAnsi="Times New Roman"/>
          <w:sz w:val="18"/>
          <w:szCs w:val="18"/>
          <w:color w:val="auto"/>
        </w:rPr>
        <w:t>Further, success in non-clinical testing and early clinical trials, including Phase 2 clinical trials, such as IMbark, does not ensure that later clinical trials will be successful, nor does it predict final clinical trial results. In addition, even though we reported positive top-line results from IMerge Phase 3 in January 2023, this does not ensure that any other clinical trials of imetelstat will be successful. Later stage clinical trials of imetelstat may fail to show an acceptable benefit-risk profile despite having progressed through non-clinical studies and initial clinical trials. Many companies in the biopharmaceutical industry have frequently suffered significant setbacks in later clinical trials, even after achieving promising results in earlier non-clinical studies or clinical trials.</w:t>
      </w:r>
    </w:p>
    <w:p>
      <w:pPr>
        <w:spacing w:after="0" w:line="214" w:lineRule="exact"/>
        <w:rPr>
          <w:sz w:val="20"/>
          <w:szCs w:val="20"/>
          <w:color w:val="auto"/>
        </w:rPr>
      </w:pPr>
    </w:p>
    <w:p>
      <w:pPr>
        <w:ind w:firstLine="1166"/>
        <w:spacing w:after="0" w:line="266" w:lineRule="auto"/>
        <w:rPr>
          <w:sz w:val="20"/>
          <w:szCs w:val="20"/>
          <w:color w:val="auto"/>
        </w:rPr>
      </w:pPr>
      <w:r>
        <w:rPr>
          <w:rFonts w:ascii="Times New Roman" w:cs="Times New Roman" w:eastAsia="Times New Roman" w:hAnsi="Times New Roman"/>
          <w:sz w:val="18"/>
          <w:szCs w:val="18"/>
          <w:color w:val="auto"/>
        </w:rPr>
        <w:t>In general, Phase 3 clinical trials with larger numbers of patients or longer durations of therapy may fail to replicate efficacy and safety results observed in earlier clinical trials, such as the results observed in IMbark, and if this were to occur with IMpactMF, this would adversely affect future development prospects of imetelstat, and as a result, impact the potential commercialization of imetelstat in relapsed/refractory MF.</w:t>
      </w:r>
    </w:p>
    <w:p>
      <w:pPr>
        <w:spacing w:after="0" w:line="203" w:lineRule="exact"/>
        <w:rPr>
          <w:sz w:val="20"/>
          <w:szCs w:val="20"/>
          <w:color w:val="auto"/>
        </w:rPr>
      </w:pPr>
    </w:p>
    <w:p>
      <w:pPr>
        <w:ind w:firstLine="1166"/>
        <w:spacing w:after="0" w:line="253" w:lineRule="auto"/>
        <w:rPr>
          <w:sz w:val="20"/>
          <w:szCs w:val="20"/>
          <w:color w:val="auto"/>
        </w:rPr>
      </w:pPr>
      <w:r>
        <w:rPr>
          <w:rFonts w:ascii="Times New Roman" w:cs="Times New Roman" w:eastAsia="Times New Roman" w:hAnsi="Times New Roman"/>
          <w:sz w:val="18"/>
          <w:szCs w:val="18"/>
          <w:color w:val="auto"/>
        </w:rPr>
        <w:t>Furthermore, non-clinical and clinical data are often susceptible to varying interpretations and analyses. In some instances, there can be significant variability between different clinical trials of imetelstat due to numerous factors, including changes in trial procedures set forth in trial protocols, differences in the size and type of patient populations, and changes in and adherence to the dosing regimens. For example, although the statistical analyses comparing IMbark data to closely matched real world data, or RWD, published in the September 2021 issue of the Annals of Hematology, suggest potentially favorable OS in relapsed/refractory MF patients treated with imetelstat, compared to bipolar androgen therapy using closely matched patients’ RWD, such comparative analyses between RWD and our clinical trial data have several limitations. For instance, the analyses create a balance between treatment groups with respect to commonly available covariates, but do not take into account the unmeasured and unknown covariates that may affect the outcomes of the analyses. Potential biases are introduced by factors which include, for example, the selection of the patients included in the analyses, misclassification in the matching process, the small sample size, and estimates that may not represent the outcomes for the true treated patient population. Failure to achieve results supporting a positive benefit-risk profile in current or potential future imetelstat clinical trials would interrupt, further delay, or halt, any development of imetelstat, which would have a severe adverse effect on our results of operations, financial condition and ability to raise additional capital, if needed, business and business prospects.</w:t>
      </w:r>
    </w:p>
    <w:p>
      <w:pPr>
        <w:spacing w:after="0" w:line="217" w:lineRule="exact"/>
        <w:rPr>
          <w:sz w:val="20"/>
          <w:szCs w:val="20"/>
          <w:color w:val="auto"/>
        </w:rPr>
      </w:pPr>
    </w:p>
    <w:p>
      <w:pPr>
        <w:ind w:firstLine="1166"/>
        <w:spacing w:after="0" w:line="254" w:lineRule="auto"/>
        <w:rPr>
          <w:sz w:val="20"/>
          <w:szCs w:val="20"/>
          <w:color w:val="auto"/>
        </w:rPr>
      </w:pPr>
      <w:r>
        <w:rPr>
          <w:rFonts w:ascii="Times New Roman" w:cs="Times New Roman" w:eastAsia="Times New Roman" w:hAnsi="Times New Roman"/>
          <w:sz w:val="18"/>
          <w:szCs w:val="18"/>
          <w:color w:val="auto"/>
        </w:rPr>
        <w:t>Further, preliminary data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Additional or updated safety and efficacy data from current or potential future clinical trials of imetelstat may result in a benefit-risk profile that does not justify the continued development and/or potential regulatory approval of imetelstat in a particular patient population, or at all. Any data reported from IMpactMF may materially differ from and be less positive than data previously reported from IMbark. Thus, reported data should be considered carefully and with caution, and not relied upon as indicative of future clinical results. Such additional data could result in a lower benefit-risk profile than initially expected, which could halt the commercialization of RYTELO, hinder the potential success of IMpactMF, IMproveMF, IMpress or IMAGINE, or cause us to abandon further development of imetelstat entirely.</w:t>
      </w:r>
    </w:p>
    <w:p>
      <w:pPr>
        <w:spacing w:after="0" w:line="215" w:lineRule="exact"/>
        <w:rPr>
          <w:sz w:val="20"/>
          <w:szCs w:val="20"/>
          <w:color w:val="auto"/>
        </w:rPr>
      </w:pPr>
    </w:p>
    <w:p>
      <w:pPr>
        <w:ind w:right="60" w:firstLine="1166"/>
        <w:spacing w:after="0" w:line="256" w:lineRule="auto"/>
        <w:rPr>
          <w:sz w:val="20"/>
          <w:szCs w:val="20"/>
          <w:color w:val="auto"/>
        </w:rPr>
      </w:pPr>
      <w:r>
        <w:rPr>
          <w:rFonts w:ascii="Times New Roman" w:cs="Times New Roman" w:eastAsia="Times New Roman" w:hAnsi="Times New Roman"/>
          <w:sz w:val="18"/>
          <w:szCs w:val="18"/>
          <w:color w:val="auto"/>
        </w:rPr>
        <w:t>Top-line or interim results and data may differ from future results of the same study, or different conclusions or considerations may qualify such results, once additional data have been received and fully evaluated. Moreover, as remaining patients in IMerge Phase 3 continue to be treated and followed under the extension phase of the trial and longer-term outcomes are assessed, these additional and more mature data may alter the benefit-risk profile of imetelstat in an adverse manner, including with respect to OS. Material adverse differences in future results, compared to preliminary, interim or top-line data, could severely and adversely affect our financial results, business and business prospects, including the commercialization of RYTELO, and might cause us to cease operations.</w:t>
      </w:r>
    </w:p>
    <w:p>
      <w:pPr>
        <w:spacing w:after="0" w:line="21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current and potential future clinical trials of imetelstat. If these third parties do not successfully carry out their contractual duties or meet expected deadlines, we may be unable to continue the development of imetelstat.</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54" w:name="page55"/>
    <w:bookmarkEnd w:id="54"/>
    <w:p>
      <w:pPr>
        <w:ind w:right="20" w:firstLine="1166"/>
        <w:spacing w:after="0" w:line="254"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Therefore, we rely on medical institutions, clinical investigators, contract laboratories and other third parties, such as CROs, service providers, vendors, suppliers and consultants, to conduct clinical trials of imetelstat. The third parties we contract with for execution of our current and potential future clinical or investigator-sponsored trials of imetelstat play a critical role in the conduct of these trials and the subsequent collection and analysis of data. However, these third parties are not our employees, and except for contractual duties and obligations, we have limited ability to control their performance, or the amount or timing of resources that they devote to imetelstat. For example, we have retained CROs to support our clinical development activities, and any failure by our CROs to perform their contractual obligations, or disputes with our CROs about the quality of their performance or other matters, could further delay or halt our clinical development activities. These third parties may also have relationships with other commercial entities, some of which may compete with us. Under certain circumstances, these third parties may terminate their agreements with us without cause and upon immediate written notice.</w:t>
      </w:r>
    </w:p>
    <w:p>
      <w:pPr>
        <w:spacing w:after="0" w:line="215" w:lineRule="exact"/>
        <w:rPr>
          <w:sz w:val="20"/>
          <w:szCs w:val="20"/>
          <w:color w:val="auto"/>
        </w:rPr>
      </w:pPr>
    </w:p>
    <w:p>
      <w:pPr>
        <w:ind w:right="20" w:firstLine="1166"/>
        <w:spacing w:after="0" w:line="252" w:lineRule="auto"/>
        <w:rPr>
          <w:sz w:val="20"/>
          <w:szCs w:val="20"/>
          <w:color w:val="auto"/>
        </w:rPr>
      </w:pPr>
      <w:r>
        <w:rPr>
          <w:rFonts w:ascii="Times New Roman" w:cs="Times New Roman" w:eastAsia="Times New Roman" w:hAnsi="Times New Roman"/>
          <w:sz w:val="18"/>
          <w:szCs w:val="18"/>
          <w:color w:val="auto"/>
        </w:rPr>
        <w:t>Although we rely on third parties to conduct our clinical trials, we remain responsible for ensuring that each clinical trial is conducted in accordance with its investigational plan and protocol, and applicable laws. Moreover, the FDA and similar international regulatory authorities require us to comply with GCP regulations and standards for conducting, monitoring, recording and reporting the results of clinical trials to ensure that the data and results are scientifically credible and accurate, and that the rights, integrity and confidentiality of patients participating in clinical trials are protected, including being adequately informed of the potential risks.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or similar international regulatory authorities, may require us to perform additional clinical trials. We cannot assure you that upon inspection by a given regulatory authority, such regulatory authority will determine whether any of our clinical trials comply with GCP or other applicable regulations. In addition, our clinical trials must be conducted with imetelstat produced under applicable GMP regulations. Our failure to comply with these regulations may require us to repeat clinical trials. Our ability to comply with these regulations and standards may be contingent upon activities conducted by third parties, and if they fail to perform in accordance with contractual obligations and legal requirements, our development of imetelstat may be interrupted, further delayed or halted. Any failures by us or third parties noted above would have a severe adverse effect on our results of operations, financial condition and ability to raise additional capital, if needed, business and business prospects, including the commercialization of RYTELO, any of which might cause us to cease operations.</w:t>
      </w:r>
    </w:p>
    <w:p>
      <w:pPr>
        <w:spacing w:after="0" w:line="224" w:lineRule="exact"/>
        <w:rPr>
          <w:sz w:val="20"/>
          <w:szCs w:val="20"/>
          <w:color w:val="auto"/>
        </w:rPr>
      </w:pPr>
    </w:p>
    <w:p>
      <w:pPr>
        <w:ind w:right="40" w:firstLine="1166"/>
        <w:spacing w:after="0" w:line="258" w:lineRule="auto"/>
        <w:rPr>
          <w:sz w:val="20"/>
          <w:szCs w:val="20"/>
          <w:color w:val="auto"/>
        </w:rPr>
      </w:pPr>
      <w:r>
        <w:rPr>
          <w:rFonts w:ascii="Times New Roman" w:cs="Times New Roman" w:eastAsia="Times New Roman" w:hAnsi="Times New Roman"/>
          <w:sz w:val="18"/>
          <w:szCs w:val="18"/>
          <w:color w:val="auto"/>
        </w:rPr>
        <w:t>Furthermore, the execution of clinical trials and the subsequent compilation and analysis of the data produced, including the interim and final analyses for IMpactMF, requires coordination among various parties. In order for these functions to be carried out effectively and efficiently, it is imperative that these parties communicate and coordinate with one another. If the quality or accuracy of the clinical data obtained, compiled or analyzed by third parties is compromised due to their failure to adhere to our clinical trial protocols, GCP or GMP requirements, or for any other reason, we may need to enter into new arrangements with alternative third parties, which would cause delay, and could be difficult, costly or impossible.</w:t>
      </w:r>
    </w:p>
    <w:p>
      <w:pPr>
        <w:spacing w:after="0" w:line="210" w:lineRule="exact"/>
        <w:rPr>
          <w:sz w:val="20"/>
          <w:szCs w:val="20"/>
          <w:color w:val="auto"/>
        </w:rPr>
      </w:pPr>
    </w:p>
    <w:p>
      <w:pPr>
        <w:ind w:firstLine="1166"/>
        <w:spacing w:after="0" w:line="261" w:lineRule="auto"/>
        <w:rPr>
          <w:sz w:val="20"/>
          <w:szCs w:val="20"/>
          <w:color w:val="auto"/>
        </w:rPr>
      </w:pPr>
      <w:r>
        <w:rPr>
          <w:rFonts w:ascii="Times New Roman" w:cs="Times New Roman" w:eastAsia="Times New Roman" w:hAnsi="Times New Roman"/>
          <w:sz w:val="18"/>
          <w:szCs w:val="18"/>
          <w:color w:val="auto"/>
        </w:rPr>
        <w:t>Switching or adding CROs, investigators, vendors and other third parties involves additional costs and delays because of the time it takes to finalize a contract with a new CRO and for their commencement of work. Although we carefully manage our relationships with our CROs, investigators, vendors and other third parties, we and any of these third parties may nonetheless encounter challenges or delays in the future, which could have a material and adverse impact on our business and business prospects.</w:t>
      </w:r>
    </w:p>
    <w:p>
      <w:pPr>
        <w:spacing w:after="0" w:line="207" w:lineRule="exact"/>
        <w:rPr>
          <w:sz w:val="20"/>
          <w:szCs w:val="20"/>
          <w:color w:val="auto"/>
        </w:rPr>
      </w:pPr>
    </w:p>
    <w:p>
      <w:pPr>
        <w:ind w:right="120" w:firstLine="1166"/>
        <w:spacing w:after="0" w:line="255" w:lineRule="auto"/>
        <w:rPr>
          <w:sz w:val="20"/>
          <w:szCs w:val="20"/>
          <w:color w:val="auto"/>
        </w:rPr>
      </w:pPr>
      <w:r>
        <w:rPr>
          <w:rFonts w:ascii="Times New Roman" w:cs="Times New Roman" w:eastAsia="Times New Roman" w:hAnsi="Times New Roman"/>
          <w:sz w:val="18"/>
          <w:szCs w:val="18"/>
          <w:color w:val="auto"/>
        </w:rPr>
        <w:t>In addition, certain principal investigators for our clinical trials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conduct of the trial. The FDA or comparable foreign regulatory authorities may therefore question the integrity of the data generated at the applicable clinical trial site and the utility of the clinical trial itself may be jeopardized. This could result in a delay in approval, or rejection, of any future applications for regulatory approval of imetelstat, including in any additional indications by the FDA.</w:t>
      </w:r>
    </w:p>
    <w:p>
      <w:pPr>
        <w:spacing w:after="0" w:line="21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do not control the conduct of current or any potential future investigator-led clinical trials, and data from such trials could show marginal efficacy and/or clinically relevant safety concerns related to imetelstat resulting in an unfavorable benefit-risk assessment that could materially and adversely impact our ongoing clinical trials, or our development program as a whole.</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5" w:name="page56"/>
    <w:bookmarkEnd w:id="55"/>
    <w:p>
      <w:pPr>
        <w:ind w:firstLine="1166"/>
        <w:spacing w:after="0" w:line="256" w:lineRule="auto"/>
        <w:rPr>
          <w:sz w:val="20"/>
          <w:szCs w:val="20"/>
          <w:color w:val="auto"/>
        </w:rPr>
      </w:pPr>
      <w:r>
        <w:rPr>
          <w:rFonts w:ascii="Times New Roman" w:cs="Times New Roman" w:eastAsia="Times New Roman" w:hAnsi="Times New Roman"/>
          <w:sz w:val="18"/>
          <w:szCs w:val="18"/>
          <w:color w:val="auto"/>
        </w:rPr>
        <w:t>We do not control the design or administration of investigator-led clinical trials, nor the submission, approval or maintenance of any IND or international equivalent filings required to conduct these clinical trials. In addition, we do not have control over the timing and reporting of the data from any such investigator-led clinical trials. A delay in the timely completion of or reporting of data from any current or potential future investigator-led clinical trial could have a material adverse effect on our ability to maintain regulatory approval for RYTELO in lower-risk MDS, or to further develop or advance it in clinical trials, as such delays may impede our ability to generate necessary supplemental clinical evidence, fulfill post-marketing commitments or requirements, or provide regulatory authorities with timely safety and efficacy data needed to support ongoing approval or future development.</w:t>
      </w:r>
    </w:p>
    <w:p>
      <w:pPr>
        <w:spacing w:after="0" w:line="214" w:lineRule="exact"/>
        <w:rPr>
          <w:sz w:val="20"/>
          <w:szCs w:val="20"/>
          <w:color w:val="auto"/>
        </w:rPr>
      </w:pPr>
    </w:p>
    <w:p>
      <w:pPr>
        <w:ind w:firstLine="1166"/>
        <w:spacing w:after="0" w:line="253" w:lineRule="auto"/>
        <w:rPr>
          <w:sz w:val="20"/>
          <w:szCs w:val="20"/>
          <w:color w:val="auto"/>
        </w:rPr>
      </w:pPr>
      <w:r>
        <w:rPr>
          <w:rFonts w:ascii="Times New Roman" w:cs="Times New Roman" w:eastAsia="Times New Roman" w:hAnsi="Times New Roman"/>
          <w:sz w:val="18"/>
          <w:szCs w:val="18"/>
          <w:color w:val="auto"/>
        </w:rPr>
        <w:t>Investigator-led clinical trials may be conducted under less rigorous clinical standards than those used in company-sponsored clinical trials. Accordingly, regulatory authorities may closely scrutinize the data collected from these investigator-led clinical trials. In addition, any investigator-led clinical trials could show marginal efficacy and/or clinically relevant safety concerns that could delay, limit or preclude the further clinical development or marketing approval of RYTELO in any indication. To the extent that the results of any investigator-led clinical trials raise safety or other concerns, regulatory authorities may withdraw or restrict approval for RYTELO, question the results of such investigator-led clinical trials, or question the results of any of our clinical trials. Safety concerns arising from future investigator-led clinical trials could result in withdrawal of approval of RYTELO, partial or full clinical holds being placed on our INDs by the FDA or other similar international regulatory authorities, as occurred in March 2014, which would further delay or prevent us from commercializing RYTELO or advancing it into further clinical development. Any of the foregoing would delay or preclude any future marketing approvals for RYTELO and could cause us to discontinue our development, which would severely harm our business and prospects and could potentially cause us to cease operations.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MANUFACTURING RYTELO (IMETELSTAT)</w:t>
      </w:r>
    </w:p>
    <w:p>
      <w:pPr>
        <w:spacing w:after="0" w:line="252"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by us to maintain a manufacturing supply chain to appropriately and adequately supply RYTELO for commercial and future clinical uses would adversely affect our ability to commercialize RYTELO and result in a further delay in or cessation of clinical trials, and our business and business prospects could be severely harmed, and we could cease operations.</w:t>
      </w:r>
    </w:p>
    <w:p>
      <w:pPr>
        <w:spacing w:after="0" w:line="202" w:lineRule="exact"/>
        <w:rPr>
          <w:sz w:val="20"/>
          <w:szCs w:val="20"/>
          <w:color w:val="auto"/>
        </w:rPr>
      </w:pPr>
    </w:p>
    <w:p>
      <w:pPr>
        <w:ind w:right="60" w:firstLine="1166"/>
        <w:spacing w:after="0" w:line="282" w:lineRule="auto"/>
        <w:rPr>
          <w:sz w:val="20"/>
          <w:szCs w:val="20"/>
          <w:color w:val="auto"/>
        </w:rPr>
      </w:pPr>
      <w:r>
        <w:rPr>
          <w:rFonts w:ascii="Times New Roman" w:cs="Times New Roman" w:eastAsia="Times New Roman" w:hAnsi="Times New Roman"/>
          <w:sz w:val="18"/>
          <w:szCs w:val="18"/>
          <w:color w:val="auto"/>
        </w:rPr>
        <w:t>The manufacture of RYTELO (imetelstat) must comply with applicable regulatory standards for commercial uses and current and potential future clinical trials. The process of manufacturing RYTELO is complex and subject to several risks, including:</w:t>
      </w:r>
    </w:p>
    <w:p>
      <w:pPr>
        <w:spacing w:after="0" w:line="189" w:lineRule="exact"/>
        <w:rPr>
          <w:sz w:val="20"/>
          <w:szCs w:val="20"/>
          <w:color w:val="auto"/>
        </w:rPr>
      </w:pPr>
    </w:p>
    <w:p>
      <w:pPr>
        <w:ind w:left="660" w:right="80" w:hanging="328"/>
        <w:spacing w:after="0" w:line="26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consistently manufacture and attain sufficient production yields with acceptable quality control and quality assurance to meet market demand for our commercialization of RYTELO, as well as the needs for continuing clinical trials;</w:t>
      </w:r>
    </w:p>
    <w:p>
      <w:pPr>
        <w:ind w:left="660" w:right="120" w:hanging="328"/>
        <w:spacing w:after="0" w:line="265" w:lineRule="auto"/>
        <w:tabs>
          <w:tab w:leader="none" w:pos="65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existing commercial supply agreements and to establish additional or alternative supply agreements if necessary, including our ability to successfully transfer manufacturing technology and attain regulatory approval at any such additional or alternative suppliers;</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third-party manufacturers and suppliers, whose efforts we do not control;</w:t>
      </w:r>
    </w:p>
    <w:p>
      <w:pPr>
        <w:spacing w:after="0" w:line="9"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issues, including the timely availability of product and management of shelf-life, including raw materials, active pharmaceutical ingredient, or API, and drug product and other supplies, and the cost of procuring the foregoing, any of which may be impacted by a number of factors, including the effects of macroeconomic or other global conditions, such as ongoing military conflicts, increased tariffs, renegotiation of existing international trade agreements, escalating trade tensions and other trade restrictions;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 of qualified personnel at any of our third party suppliers; and</w:t>
      </w:r>
    </w:p>
    <w:p>
      <w:pPr>
        <w:spacing w:after="0" w:line="9" w:lineRule="exact"/>
        <w:rPr>
          <w:rFonts w:ascii="Times New Roman" w:cs="Times New Roman" w:eastAsia="Times New Roman" w:hAnsi="Times New Roman"/>
          <w:sz w:val="18"/>
          <w:szCs w:val="18"/>
          <w:color w:val="auto"/>
        </w:rPr>
      </w:pPr>
    </w:p>
    <w:p>
      <w:pPr>
        <w:ind w:left="660" w:right="520" w:hanging="328"/>
        <w:spacing w:after="0" w:line="26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acceptance and compliance with regulatory requirements, which are less well-defined for oligonucleotide products than for small molecule drugs and vary in each country.</w:t>
      </w:r>
    </w:p>
    <w:p>
      <w:pPr>
        <w:spacing w:after="0" w:line="208" w:lineRule="exact"/>
        <w:rPr>
          <w:sz w:val="20"/>
          <w:szCs w:val="20"/>
          <w:color w:val="auto"/>
        </w:rPr>
      </w:pPr>
    </w:p>
    <w:p>
      <w:pPr>
        <w:ind w:right="60" w:firstLine="1166"/>
        <w:spacing w:after="0" w:line="256" w:lineRule="auto"/>
        <w:rPr>
          <w:sz w:val="20"/>
          <w:szCs w:val="20"/>
          <w:color w:val="auto"/>
        </w:rPr>
      </w:pPr>
      <w:r>
        <w:rPr>
          <w:rFonts w:ascii="Times New Roman" w:cs="Times New Roman" w:eastAsia="Times New Roman" w:hAnsi="Times New Roman"/>
          <w:sz w:val="18"/>
          <w:szCs w:val="18"/>
          <w:color w:val="auto"/>
        </w:rPr>
        <w:t>In addition, the ongoing Russia-Ukraine military conflict and the ongoing military conflict involving the U.S., Israel and Iran have had and may continue to have further global economic consequences, including continued disruptions of the global supply chain and energy markets. For example, disruptions or perceived risks to energy supply routes, including shipping through key transit points, have resulted in increased fuel and energy prices and could continue to do so for an extended period, which could disrupt our existing supply chain and increase our cost of doing business, reduce our gross margins or otherwise negatively impact our financial results. See also the risk factor entitled “</w:t>
      </w:r>
      <w:r>
        <w:rPr>
          <w:rFonts w:ascii="Times New Roman" w:cs="Times New Roman" w:eastAsia="Times New Roman" w:hAnsi="Times New Roman"/>
          <w:sz w:val="18"/>
          <w:szCs w:val="18"/>
          <w:i w:val="1"/>
          <w:iCs w:val="1"/>
          <w:color w:val="auto"/>
        </w:rPr>
        <w:t>Global trade issues and changes in and uncertainties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respect to trade policies and export regulations, including import and</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56" w:name="page57"/>
    <w:bookmarkEnd w:id="56"/>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export license requirements, trade sanctions, tariffs and international trade disputes, could increase our costs and negatively impact net revenues from sales of RYTELO.</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300" w:firstLine="1166"/>
        <w:spacing w:after="0" w:line="261" w:lineRule="auto"/>
        <w:rPr>
          <w:sz w:val="20"/>
          <w:szCs w:val="20"/>
          <w:color w:val="auto"/>
        </w:rPr>
      </w:pPr>
      <w:r>
        <w:rPr>
          <w:rFonts w:ascii="Times New Roman" w:cs="Times New Roman" w:eastAsia="Times New Roman" w:hAnsi="Times New Roman"/>
          <w:sz w:val="18"/>
          <w:szCs w:val="18"/>
          <w:color w:val="auto"/>
        </w:rPr>
        <w:t>As a result of these and other risks, we may be unable to maintain a manufacturing infrastructure and supply chain capable of providing RYTELO for clinical and commercial use, which would delay or adversely affect our RYTELO commercialization efforts; result in lost sales; delay or result in a cessation of our current or potential future clinical trials; delay or preclude potential future regulatory approvals of RYTELO in other jurisdictions or indications; and could cause financial and reputational harm.</w:t>
      </w:r>
    </w:p>
    <w:p>
      <w:pPr>
        <w:spacing w:after="0" w:line="20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 parties that manufacture RYTELO fail to perform as needed, the commercial and clinical supply of RYTELO could be interrupted or limited, and we may be unable to successfully commercialize RYTELO or conduct or complete current or potential future clinical trials.</w:t>
      </w:r>
    </w:p>
    <w:p>
      <w:pPr>
        <w:spacing w:after="0" w:line="186" w:lineRule="exact"/>
        <w:rPr>
          <w:sz w:val="20"/>
          <w:szCs w:val="20"/>
          <w:color w:val="auto"/>
        </w:rPr>
      </w:pPr>
    </w:p>
    <w:p>
      <w:pPr>
        <w:ind w:firstLine="1166"/>
        <w:spacing w:after="0" w:line="253" w:lineRule="auto"/>
        <w:rPr>
          <w:sz w:val="20"/>
          <w:szCs w:val="20"/>
          <w:color w:val="auto"/>
        </w:rPr>
      </w:pPr>
      <w:r>
        <w:rPr>
          <w:rFonts w:ascii="Times New Roman" w:cs="Times New Roman" w:eastAsia="Times New Roman" w:hAnsi="Times New Roman"/>
          <w:sz w:val="18"/>
          <w:szCs w:val="18"/>
          <w:color w:val="auto"/>
        </w:rPr>
        <w:t>Our RYTELO manufacturing supply chain relies, and will continue to rely, solely upon third-party manufacturers to perform certain manufacturing, quality control, and other technical and scientific work with respect to RYTELO, as well as to supply starting materials and manufacture the API and drug product for our commercialization of RYTELO, as well as current and potential future clinical trials. While we have established arrangements with third parties for the manufacture of RYTELO, our manufacturing supply chain is highly specialized, and as such we are reliant upon a small group of third-party manufacturers to supply starting materials and drug product, and we rely on a single source to supply the API for RYTELO. Failure by such third-party manufacturers to perform in a timely manner and in compliance with all regulatory requirements, or at all, or the termination of one of our supply agreements before we have retained and established an acceptable alternative supplier, could lead to delays or shortages in drug supply, perhaps substantially, that are necessary for our clinical activities and commercialization of RYTELO. For example, one of our third-party manufacturers received a warning letter from the FDA due to certain deficiencies in the manufacturer’s process and facilities that were not in compliance with FDA requirements and regulations governing the manufacturing, processing, packing and holding of drug product. While not related to the production of RYTELO, if the warning letter is not timely remediated by the manufacturer, it could lead to delays or shortages in drug supply, or the inability to manufacture or ship drug supply necessary for non-clinical and clinical activities, and commercialization.</w:t>
      </w:r>
    </w:p>
    <w:p>
      <w:pPr>
        <w:spacing w:after="0" w:line="217" w:lineRule="exact"/>
        <w:rPr>
          <w:sz w:val="20"/>
          <w:szCs w:val="20"/>
          <w:color w:val="auto"/>
        </w:rPr>
      </w:pPr>
    </w:p>
    <w:p>
      <w:pPr>
        <w:ind w:right="20" w:firstLine="1166"/>
        <w:spacing w:after="0" w:line="258" w:lineRule="auto"/>
        <w:rPr>
          <w:sz w:val="20"/>
          <w:szCs w:val="20"/>
          <w:color w:val="auto"/>
        </w:rPr>
      </w:pPr>
      <w:r>
        <w:rPr>
          <w:rFonts w:ascii="Times New Roman" w:cs="Times New Roman" w:eastAsia="Times New Roman" w:hAnsi="Times New Roman"/>
          <w:sz w:val="18"/>
          <w:szCs w:val="18"/>
          <w:color w:val="auto"/>
        </w:rPr>
        <w:t>In addition, we plan to retain additional third-party manufacturers to provide redundancy in our supply chain; however, we may be unable to do so on a timely basis on terms that are acceptable to us, or at all. We expect to rely on third-party manufacturers to produce and deliver sufficient quantities of RYTELO and other materials to support our commercialization of RYTELO and clinical trials on a timely basis and to comply with applicable regulatory requirements. We do not have direct control over these third-party personnel or operations. Reliance on these third-party manufacturers is subject to numerous risks, including:</w:t>
      </w:r>
    </w:p>
    <w:p>
      <w:pPr>
        <w:spacing w:after="0" w:line="210" w:lineRule="exact"/>
        <w:rPr>
          <w:sz w:val="20"/>
          <w:szCs w:val="20"/>
          <w:color w:val="auto"/>
        </w:rPr>
      </w:pPr>
    </w:p>
    <w:p>
      <w:pPr>
        <w:ind w:left="660" w:right="160" w:hanging="328"/>
        <w:spacing w:after="0" w:line="261"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execute timely contracts or production orders with any additional third-party manufacturers and suppliers that we may identify on acceptable terms, or at all;</w:t>
      </w:r>
    </w:p>
    <w:p>
      <w:pPr>
        <w:ind w:left="660" w:right="64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disruptions experienced by third-party manufacturers that adversely impact the ability of such parties to fulfill their contractual obligations to us, including providing the quantities of RYTELO required to meet commercial and clinical needs;</w:t>
      </w:r>
    </w:p>
    <w:p>
      <w:pPr>
        <w:ind w:left="660" w:right="10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limitations and scheduling constraints experienced by third-party manufacturers due to scheduling, maintenance and other commitments, and queued manufacturing activities in contracted facilities;</w:t>
      </w:r>
    </w:p>
    <w:p>
      <w:pPr>
        <w:ind w:left="660" w:right="40" w:hanging="328"/>
        <w:spacing w:after="0" w:line="265" w:lineRule="auto"/>
        <w:tabs>
          <w:tab w:leader="none" w:pos="65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by regulatory authorities to validate and qualify significant activities for any current or additional manufacturer, which could involve technology transfer, new testing, compliance inspections, and would likely require FDA or comparable foreign regulatory authority approval;</w:t>
      </w:r>
    </w:p>
    <w:p>
      <w:pPr>
        <w:ind w:left="660" w:right="8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third-party manufacturers to timely formulate and manufacture RYTELO or to produce or ship RYTELO in the quantities or of the quality required to meet commercial and clinical needs;</w:t>
      </w:r>
    </w:p>
    <w:p>
      <w:pPr>
        <w:ind w:left="660" w:right="56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mislabeling by third-party manufacturers of finished drug product for both commercial and clinical use, potentially resulting in product recall and harm to our business;</w:t>
      </w:r>
    </w:p>
    <w:p>
      <w:pPr>
        <w:ind w:left="660" w:right="520" w:hanging="328"/>
        <w:spacing w:after="0" w:line="265" w:lineRule="auto"/>
        <w:tabs>
          <w:tab w:leader="none" w:pos="65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decisions by third-party manufacturers to exit the contract manufacturing business during the time required to supply clinical trials or to successfully produce, store and distribute RYTELO to meet our commercial needs or before we establish an acceptable alternative supplier;</w:t>
      </w:r>
    </w:p>
    <w:p>
      <w:pPr>
        <w:ind w:left="660" w:right="10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third-party manufacturers with GMP standards mandated by the FDA and state agencies and other government regulations, including foreign governing regulations, corresponding to similar international regulatory authorities, including any deficiencies identified during regulatory inspections, such as those identified in the warning letter issued to one of our third-party manufacturers;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or termination of manufacturing or supply contracts;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57" w:name="page58"/>
    <w:bookmarkEnd w:id="57"/>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storage or maintenance at contracted facilities resulting in theft or spoilage;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that affect contracted facilities, including manufacturing, warehousing, and distribution facilities.</w:t>
      </w:r>
    </w:p>
    <w:p>
      <w:pPr>
        <w:spacing w:after="0" w:line="9" w:lineRule="exact"/>
        <w:rPr>
          <w:sz w:val="20"/>
          <w:szCs w:val="20"/>
          <w:color w:val="auto"/>
        </w:rPr>
      </w:pPr>
    </w:p>
    <w:p>
      <w:pPr>
        <w:ind w:right="60" w:firstLine="1166"/>
        <w:spacing w:after="0" w:line="290" w:lineRule="auto"/>
        <w:rPr>
          <w:sz w:val="20"/>
          <w:szCs w:val="20"/>
          <w:color w:val="auto"/>
        </w:rPr>
      </w:pPr>
      <w:r>
        <w:rPr>
          <w:rFonts w:ascii="Times New Roman" w:cs="Times New Roman" w:eastAsia="Times New Roman" w:hAnsi="Times New Roman"/>
          <w:sz w:val="17"/>
          <w:szCs w:val="17"/>
          <w:color w:val="auto"/>
        </w:rPr>
        <w:t>Each of these risks could lead to delays or shortages in drug supply, or the inability to manufacture or ship drug supply necessary for commercialization, and non-clinical and clinical activities, which could severely and adversely affect our financial results, business and business prospects.</w:t>
      </w:r>
    </w:p>
    <w:p>
      <w:pPr>
        <w:spacing w:after="0" w:line="184" w:lineRule="exact"/>
        <w:rPr>
          <w:sz w:val="20"/>
          <w:szCs w:val="20"/>
          <w:color w:val="auto"/>
        </w:rPr>
      </w:pPr>
    </w:p>
    <w:p>
      <w:pPr>
        <w:ind w:right="120" w:firstLine="1166"/>
        <w:spacing w:after="0" w:line="256" w:lineRule="auto"/>
        <w:rPr>
          <w:sz w:val="20"/>
          <w:szCs w:val="20"/>
          <w:color w:val="auto"/>
        </w:rPr>
      </w:pPr>
      <w:r>
        <w:rPr>
          <w:rFonts w:ascii="Times New Roman" w:cs="Times New Roman" w:eastAsia="Times New Roman" w:hAnsi="Times New Roman"/>
          <w:sz w:val="18"/>
          <w:szCs w:val="18"/>
          <w:color w:val="auto"/>
        </w:rPr>
        <w:t>In addition, third-party manufacturers and/or any other manufacturers may need to make substantial investments to enable sufficient capacity increases and cost reductions, and to implement those regulatory and compliance standards necessary for successful commercialization of RYTELO. These third-party manufacturers may not be willing or able to achieve such capacity increases, cost reductions, or regulatory and compliance standards, and even if they do, such achievements may not be at commercially reasonable costs. Changing or adding alternative manufacturers may be prolonged, difficult and expensive, due to inherent technical complexities, regulatory risks, and because the number of potential manufacturers for oligonucleotide products is limited. It may be difficult or impossible for us to find a replacement or alternative manufacturer on acceptable terms, or at all.</w:t>
      </w:r>
    </w:p>
    <w:p>
      <w:pPr>
        <w:spacing w:after="0" w:line="183"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RISKS RELATED TO OUR OPERATING RESULTS AND FINANCIAL POSITION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may not achieve consistent future profitability for some time, if ever.</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incurring and have incurred net losses every year since our operations began in 1990, except for one. As of March 31, 2026, our accumulated deficit was approximately $1.9 billion. Losses have resulted principally from costs incurred in connection with our research and development activities and from general and administrative costs associated with our operations. Although we began commercializing RYTELO in June 2024, the commercial potential of and our ability to successfully commercialize RYTELO remains unproven, and our limited operating history as a commercial company makes our future operating results difficult to predict. We expect that our sales revenue may continue to vary from period to period as a result of the evolving effects of our commercialization strategy and as our commercialization efforts otherwise progress. If we do not generate sufficient revenue from commercial sales of RYTELO, or if we experience unforeseen events or choose to make other investments in our business, we may continue to experience negative cash flow as we fund our operations and imetelstat clinical development activities and research programs, and continue with the commercialization of RYTELO, including as a result of our obligation to pay royalty payments under the Royalty Pharma Agreement and service our debt obligations. We will need to generate significant revenues to achieve consistent future profitability, and we may never achieve consistent future profitability. Even if we do become profitable in the future, we may not be able to sustain or increase profitability on a quarterly or annual basis. Our failure to achieve consistent future profitability could negatively impact the market price of our common stock and our ability to sustain operations.</w:t>
      </w:r>
    </w:p>
    <w:p>
      <w:pPr>
        <w:spacing w:after="0" w:line="199"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are unpredictable and may fluctuate. If our operating results are below the expectations of securities analysts or investors, the trading price of our common stock could decline.</w:t>
      </w:r>
    </w:p>
    <w:p>
      <w:pPr>
        <w:spacing w:after="0" w:line="198" w:lineRule="exact"/>
        <w:rPr>
          <w:sz w:val="20"/>
          <w:szCs w:val="20"/>
          <w:color w:val="auto"/>
        </w:rPr>
      </w:pPr>
    </w:p>
    <w:p>
      <w:pPr>
        <w:ind w:right="20" w:firstLine="1166"/>
        <w:spacing w:after="0" w:line="254" w:lineRule="auto"/>
        <w:rPr>
          <w:sz w:val="20"/>
          <w:szCs w:val="20"/>
          <w:color w:val="auto"/>
        </w:rPr>
      </w:pPr>
      <w:r>
        <w:rPr>
          <w:rFonts w:ascii="Times New Roman" w:cs="Times New Roman" w:eastAsia="Times New Roman" w:hAnsi="Times New Roman"/>
          <w:sz w:val="18"/>
          <w:szCs w:val="18"/>
          <w:color w:val="auto"/>
        </w:rPr>
        <w:t>Our operating results are difficult to predict and will likely fluctuate from quarter to quarter and year to year. Due to the limited historical sales data of RYTELO in lower-risk MDS since its approval by the FDA in June 2024, RYTELO sales will be difficult to predict from period to period and as a result, you should not rely on RYTELO sales results in any period as being indicative of future performance. Sales of RYTELO have in the past been below the expectations of securities analysts and investors, and sales of RYTELO have been and may in the future be below prior sequential or prior period sales, our own guidance and/or the expectations of securities analysts and investors. To the extent that we do not meet our guidance, our financial projections or estimates, or the expectations of analysts or investors, our stock price may be adversely impacted, perhaps significantly. For example, following releases of earnings for both of the quarters and years ended December 31, 2025 and 2024, our stock price declined significantly both times. As a result of this volatility, our stockholders may not be able to sell their common stock at or above the price they paid for their common stock. We believe that our quarterly and annual results of operations may be affected by a variety of factors, including:</w:t>
      </w:r>
    </w:p>
    <w:p>
      <w:pPr>
        <w:spacing w:after="0" w:line="215"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level of demand for RYTELO in its approved indication, including across the breadth of the eligible patient segments;</w:t>
      </w:r>
    </w:p>
    <w:p>
      <w:pPr>
        <w:spacing w:after="0" w:line="27"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coverage and reimbursement for RYTELO is available from government and health administration authorities, private health insurers, managed care programs and other third-party payors;</w:t>
      </w:r>
    </w:p>
    <w:p>
      <w:pPr>
        <w:ind w:left="660" w:hanging="328"/>
        <w:spacing w:after="0" w:line="253"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amount of deductions from gross sales, including government-mandated rebates, chargebacks and discounts that can vary because of changes to the government discount percentage, including increases in the government discount percentage resulting from price increases we have taken or may take in the future, or due to different levels of utilization by entities entitled to government rebates and discounts and changes in patient demographics;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8" w:name="page59"/>
    <w:bookmarkEnd w:id="58"/>
    <w:p>
      <w:pPr>
        <w:ind w:left="660" w:right="340" w:hanging="328"/>
        <w:spacing w:after="0" w:line="261"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scope of eligibility for customers to purchase RYTELO at the discounted government price or to obtain government-mandated rebates on purchases of RYTELO;</w:t>
      </w: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cost of sales;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level of royalty payments under the Royalty Pharma Agreement;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sales and marketing efforts to support RYTELO sales;</w:t>
      </w:r>
    </w:p>
    <w:p>
      <w:pPr>
        <w:spacing w:after="0" w:line="9" w:lineRule="exact"/>
        <w:rPr>
          <w:rFonts w:ascii="Times New Roman" w:cs="Times New Roman" w:eastAsia="Times New Roman" w:hAnsi="Times New Roman"/>
          <w:sz w:val="18"/>
          <w:szCs w:val="18"/>
          <w:color w:val="auto"/>
        </w:rPr>
      </w:pPr>
    </w:p>
    <w:p>
      <w:pPr>
        <w:ind w:left="660" w:right="280" w:hanging="328"/>
        <w:spacing w:after="0" w:line="250"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research and development activities involving imetelstat and potential future product candidates; and</w:t>
      </w:r>
    </w:p>
    <w:p>
      <w:pPr>
        <w:ind w:left="660" w:right="40" w:hanging="328"/>
        <w:spacing w:after="0" w:line="260"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we may incur to develop and/or commercialize any additional products, product candidates, or technologies that we may develop, in-license, or acquire.</w:t>
      </w:r>
    </w:p>
    <w:p>
      <w:pPr>
        <w:spacing w:after="0" w:line="208" w:lineRule="exact"/>
        <w:rPr>
          <w:sz w:val="20"/>
          <w:szCs w:val="20"/>
          <w:color w:val="auto"/>
        </w:rPr>
      </w:pPr>
    </w:p>
    <w:p>
      <w:pPr>
        <w:ind w:right="80" w:firstLine="1166"/>
        <w:spacing w:after="0" w:line="256" w:lineRule="auto"/>
        <w:rPr>
          <w:sz w:val="20"/>
          <w:szCs w:val="20"/>
          <w:color w:val="auto"/>
        </w:rPr>
      </w:pPr>
      <w:r>
        <w:rPr>
          <w:rFonts w:ascii="Times New Roman" w:cs="Times New Roman" w:eastAsia="Times New Roman" w:hAnsi="Times New Roman"/>
          <w:sz w:val="18"/>
          <w:szCs w:val="18"/>
          <w:color w:val="auto"/>
        </w:rPr>
        <w:t>Further, changes in our operations, such as increased development, manufacturing and clinical trial expenses, or our undertaking of additional programs, business activities, or entry into strategic transactions, including potential future acquisitions of products, technologies or businesses may also cause significant fluctuations in our expenses. In addition, we measure compensation cost for stock-based awards made to employees at the grant date of the award, based on the fair value of the award, and recognize the cost as an expense over the employee’s requisite service period. As the variables that we use as a basis for valuing these awards change over time, including our underlying stock price, the magnitude of the expense that we must recognize may vary significantly.</w:t>
      </w:r>
    </w:p>
    <w:p>
      <w:pPr>
        <w:spacing w:after="0" w:line="214" w:lineRule="exact"/>
        <w:rPr>
          <w:sz w:val="20"/>
          <w:szCs w:val="20"/>
          <w:color w:val="auto"/>
        </w:rPr>
      </w:pPr>
    </w:p>
    <w:p>
      <w:pPr>
        <w:ind w:right="200" w:firstLine="1166"/>
        <w:spacing w:after="0" w:line="266" w:lineRule="auto"/>
        <w:rPr>
          <w:sz w:val="20"/>
          <w:szCs w:val="20"/>
          <w:color w:val="auto"/>
        </w:rPr>
      </w:pPr>
      <w:r>
        <w:rPr>
          <w:rFonts w:ascii="Times New Roman" w:cs="Times New Roman" w:eastAsia="Times New Roman" w:hAnsi="Times New Roman"/>
          <w:sz w:val="18"/>
          <w:szCs w:val="18"/>
          <w:color w:val="auto"/>
        </w:rPr>
        <w:t>For these and other reasons, it is difficult for us to accurately forecast future sales of RYTELO, operating expenses or future profits or losses. As a result, our operating results in future periods could be below our guidance or the expectations of securities analysts or investors, which could cause the trading price of our common stock to further decline, perhaps significantly.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projections and estimates are subject to significant risks, assumptions, and uncertainties, and our actual results may differ materially.</w:t>
      </w:r>
    </w:p>
    <w:p>
      <w:pPr>
        <w:spacing w:after="0" w:line="256" w:lineRule="exact"/>
        <w:rPr>
          <w:sz w:val="20"/>
          <w:szCs w:val="20"/>
          <w:color w:val="auto"/>
        </w:rPr>
      </w:pPr>
    </w:p>
    <w:p>
      <w:pPr>
        <w:ind w:firstLine="1166"/>
        <w:spacing w:after="0" w:line="252" w:lineRule="auto"/>
        <w:rPr>
          <w:sz w:val="20"/>
          <w:szCs w:val="20"/>
          <w:color w:val="auto"/>
        </w:rPr>
      </w:pPr>
      <w:r>
        <w:rPr>
          <w:rFonts w:ascii="Times New Roman" w:cs="Times New Roman" w:eastAsia="Times New Roman" w:hAnsi="Times New Roman"/>
          <w:sz w:val="18"/>
          <w:szCs w:val="18"/>
          <w:color w:val="auto"/>
        </w:rPr>
        <w:t>Our financial projections and estimates are subject to significant risks, assumptions, and uncertainties, and our actual results may differ materially. These projections and estimates include estimates of the total addressable market for RYTELO, assumptions regarding patient market share and duration of therapy for patients receiving RYTELO, as well as assumptions regarding our ability to meet demand and assumptions regarding our future costs of goods. These projections and estimates are subject to various factors beyond our control, including, for example, the level of demand for RYTELO, the extent to which coverage and reimbursement for RYTELO is available from government and health administration authorities, private health insurers, managed care programs and other third-party payors, increased costs in the supply chain, including as a result of increased tariffs, renegotiation of existing international trade agreements, escalating trade tensions and other trade restrictions, increased labor costs, changes in the regulatory environment, the impact of global health crises or macroeconomic or other global conditions, and changes in our senior management team. Our financial projections and estimates constitute forward-looking statements, are for illustrative purposes only and should not be relied upon as necessarily being indicative of future results. The assumptions and estimates underlying such financial projections and estimates are inherently uncertain and are subject to a wide variety of significant business, economic, competitive and other risks and uncertainties. Actual results may differ materially from the results contemplated by the financial projections. Our independent auditors have not studied, reviewed, compiled or performed any procedures with respect to the projections, and accordingly, they did not express an opinion or provide any other form of assurance with respect thereto. While all financial projections, estimates and targets are necessarily speculative, we believe that the preparation of financial projections involves increasingly higher levels of uncertainty the further out the projection, estimate or target extends from the date of preparation. Accordingly, there can be no assurance that the prospective results are indicative of our future performance or that actual results will not differ materially from those presented in the financial projections or estimates.</w:t>
      </w:r>
    </w:p>
    <w:p>
      <w:pPr>
        <w:spacing w:after="0" w:line="218"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additional capital, if and when needed, would force us to further delay, reduce or eliminate the further development of RYTELO, or to halt the commercialization of RYTELO, any of which would severely and adversely affect our financial results, business and business prospects, and might cause us to cease operations.</w:t>
      </w:r>
    </w:p>
    <w:p>
      <w:pPr>
        <w:spacing w:after="0" w:line="175" w:lineRule="exact"/>
        <w:rPr>
          <w:sz w:val="20"/>
          <w:szCs w:val="20"/>
          <w:color w:val="auto"/>
        </w:rPr>
      </w:pPr>
    </w:p>
    <w:p>
      <w:pPr>
        <w:ind w:right="120" w:firstLine="441"/>
        <w:spacing w:after="0" w:line="258" w:lineRule="auto"/>
        <w:rPr>
          <w:sz w:val="20"/>
          <w:szCs w:val="20"/>
          <w:color w:val="auto"/>
        </w:rPr>
      </w:pPr>
      <w:r>
        <w:rPr>
          <w:rFonts w:ascii="Times New Roman" w:cs="Times New Roman" w:eastAsia="Times New Roman" w:hAnsi="Times New Roman"/>
          <w:sz w:val="18"/>
          <w:szCs w:val="18"/>
          <w:color w:val="auto"/>
        </w:rPr>
        <w:t>Successful drug development and commercialization requires significant amounts of capital. As of March 31, 2026, we had approximately $341.0 million in cash, cash equivalents, restricted cash and marketable securities. While we believe that, based on our current operating plans and assumptions, our existing cash, cash equivalents, and marketable securities, together with anticipated net revenues from sales of RYTELO, will be sufficient to fund our projected operating requirements for the foreseeable future, if we do not generate net revenues from commercial sales of RYTELO at the levels we anticipate, if we experience unforeseen events or choose to make other investments in our business, or our assumptions</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9" w:name="page60"/>
    <w:bookmarkEnd w:id="59"/>
    <w:p>
      <w:pPr>
        <w:ind w:right="60"/>
        <w:spacing w:after="0" w:line="254" w:lineRule="auto"/>
        <w:rPr>
          <w:sz w:val="20"/>
          <w:szCs w:val="20"/>
          <w:color w:val="auto"/>
        </w:rPr>
      </w:pPr>
      <w:r>
        <w:rPr>
          <w:rFonts w:ascii="Times New Roman" w:cs="Times New Roman" w:eastAsia="Times New Roman" w:hAnsi="Times New Roman"/>
          <w:sz w:val="18"/>
          <w:szCs w:val="18"/>
          <w:color w:val="auto"/>
        </w:rPr>
        <w:t>regarding our projected operating expenses are otherwise incorrect, we may require additional funding, which could include a combination of public or private equity offerings, debt financings (including additional tranches, if available, under the Pharmakon Loan Agreement (as defined below), collaborations, strategic alliances, licensing arrangements or marketing and distribution arrangements, which may not be possible. For example, changes in our operations, such as increased development, manufacturing and clinical trial expenses, or our undertaking of additional programs, business activities, or entry into strategic transactions, including potential future acquisitions of products, technologies or businesses, may cause our operating expenses to increase, perhaps significantly, which could require us to raise additional funding. If adequate funds are not available to us when we need them, our RYTELO commercialization efforts may be adversely affected and we may be unable to pursue further development of imetelstat, which would severely harm our business and we might cease operations.</w:t>
      </w:r>
    </w:p>
    <w:p>
      <w:pPr>
        <w:spacing w:after="0" w:line="219" w:lineRule="exact"/>
        <w:rPr>
          <w:sz w:val="20"/>
          <w:szCs w:val="20"/>
          <w:color w:val="auto"/>
        </w:rPr>
      </w:pPr>
    </w:p>
    <w:p>
      <w:pPr>
        <w:ind w:firstLine="1166"/>
        <w:spacing w:after="0" w:line="253" w:lineRule="auto"/>
        <w:rPr>
          <w:sz w:val="20"/>
          <w:szCs w:val="20"/>
          <w:color w:val="auto"/>
        </w:rPr>
      </w:pPr>
      <w:r>
        <w:rPr>
          <w:rFonts w:ascii="Times New Roman" w:cs="Times New Roman" w:eastAsia="Times New Roman" w:hAnsi="Times New Roman"/>
          <w:sz w:val="18"/>
          <w:szCs w:val="18"/>
          <w:color w:val="auto"/>
        </w:rPr>
        <w:t>Despite approval of RYTELO in the U.S. in June 2024 and in the EU in March 2025, the outcome of any clinical activities and/or regulatory approval process is highly uncertain, and we cannot reasonably estimate whether our future development activities may succeed, whether we will obtain regulatory approval for RYTELO in any other jurisdictions or indications we are pursuing or may in the future pursue, or whether we will be able to effectively commercialize RYTELO for lower-risk MDS in the U.S., the EU or other potential jurisdictions or indications, if at all. We may never recoup our investment in any RYTELO development, which would adversely affect our financial condition and our business and business prospects, and might cause us to cease operations. In addition, our plans and timing expectations could be further delayed or interrupted by the effects of macroeconomic or other global conditions, including those resulting from further changes in tariffs and other trade restrictions, renegotiation of existing international trade agreements or further escalation of trade tensions, inflation, fluctuations in interest rates, prospects of a recession, government shutdowns, bank failures and other disruptions to financial systems, civil or political unrest, military conflicts, pandemics or other health crises and supply chain and resource issues. Further, our future capital requirements are difficult to forecast and will depend on many factors, including:</w:t>
      </w:r>
    </w:p>
    <w:p>
      <w:pPr>
        <w:spacing w:after="0" w:line="221"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assumptions underlying our estimates for our capital needs;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level of sales and market acceptance of RYTELO;</w:t>
      </w:r>
    </w:p>
    <w:p>
      <w:pPr>
        <w:spacing w:after="0" w:line="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magnitude and costs of non-clinical and clinical development, manufacturing and commercialization of RYTELO, including commercialization in the U.S. and any commercialization in the EU for lower-risk MDS, or in any other jurisdictions or other indication we may pursue, subject to clearances and approvals by the FDA and similar international regulatory authorities;</w:t>
      </w:r>
    </w:p>
    <w:p>
      <w:pPr>
        <w:spacing w:after="0" w:line="1" w:lineRule="exact"/>
        <w:rPr>
          <w:rFonts w:ascii="Times New Roman" w:cs="Times New Roman" w:eastAsia="Times New Roman" w:hAnsi="Times New Roman"/>
          <w:sz w:val="18"/>
          <w:szCs w:val="18"/>
          <w:color w:val="auto"/>
        </w:rPr>
      </w:pPr>
    </w:p>
    <w:p>
      <w:pPr>
        <w:ind w:left="660" w:right="360" w:hanging="328"/>
        <w:spacing w:after="0" w:line="25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opening sites, screening and enrolling patients or treating and following patients, in our current or any potential future clinical trials of RYTELO;</w:t>
      </w: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outcomes of regulatory reviews or other regulatory actions related to RYTELO;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and maintaining, enforcing and defending intellectual property-related claims;</w:t>
      </w:r>
    </w:p>
    <w:p>
      <w:pPr>
        <w:spacing w:after="0" w:line="9" w:lineRule="exact"/>
        <w:rPr>
          <w:rFonts w:ascii="Times New Roman" w:cs="Times New Roman" w:eastAsia="Times New Roman" w:hAnsi="Times New Roman"/>
          <w:sz w:val="18"/>
          <w:szCs w:val="18"/>
          <w:color w:val="auto"/>
        </w:rPr>
      </w:pPr>
    </w:p>
    <w:p>
      <w:pPr>
        <w:ind w:left="660" w:right="500" w:hanging="328"/>
        <w:spacing w:after="0" w:line="25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developing, commercializing and marketing RYTELO, including with respect to third-party vendors and service providers and our ability to achieve any meaningful reduction in manufacturing costs;</w:t>
      </w: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for RYTELO, including the availability of coverage and adequate third-party reimbursement for RYTELO;</w:t>
      </w:r>
    </w:p>
    <w:p>
      <w:pPr>
        <w:spacing w:after="0" w:line="9"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drugs and technologies, or invest in businesses, products or technologies, although we currently have no commitments or agreements relating to any of these types of transactions, or to which we out-license RYTELO;</w:t>
      </w:r>
    </w:p>
    <w:p>
      <w:pPr>
        <w:ind w:left="660" w:right="200" w:hanging="328"/>
        <w:spacing w:after="0" w:line="25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able to enter into and conduct successful commercialization arrangements with third parties, including for the commercialization and marketing of RYTELO in the EU and in any other regions outside of the U.S., if approved for commercialization in such other regions;</w:t>
      </w:r>
    </w:p>
    <w:p>
      <w:pPr>
        <w:spacing w:after="0" w:line="1"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the pending putative securities class action and shareholder derivative lawsuits and potential additional related lawsuits, as well as any other litigation;</w:t>
      </w:r>
    </w:p>
    <w:p>
      <w:pPr>
        <w:ind w:left="660" w:right="740" w:hanging="328"/>
        <w:spacing w:after="0" w:line="25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scope of our selling, general and administrative expenses, including expenses associated with pending and potential future litigation;</w:t>
      </w: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associated debt service obligations;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and operating facilities in California and New Jersey, as well as higher expenses for travel;</w:t>
      </w:r>
    </w:p>
    <w:p>
      <w:pPr>
        <w:spacing w:after="0" w:line="9" w:lineRule="exact"/>
        <w:rPr>
          <w:rFonts w:ascii="Times New Roman" w:cs="Times New Roman" w:eastAsia="Times New Roman" w:hAnsi="Times New Roman"/>
          <w:sz w:val="18"/>
          <w:szCs w:val="18"/>
          <w:color w:val="auto"/>
        </w:rPr>
      </w:pPr>
    </w:p>
    <w:p>
      <w:pPr>
        <w:ind w:left="660" w:right="480" w:hanging="328"/>
        <w:spacing w:after="0" w:line="25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or other global conditions that may reduce our ability to access equity or debt capital or other financing on preferable terms, which may adversely affect future capital requirements and forecasts; and</w:t>
      </w:r>
    </w:p>
    <w:p>
      <w:pPr>
        <w:ind w:left="660" w:right="60" w:hanging="328"/>
        <w:spacing w:after="0" w:line="26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enabling our personnel to work remotely, including providing supplies, equipment and technology necessary for them to perform their responsibilities.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0" w:name="page61"/>
    <w:bookmarkEnd w:id="60"/>
    <w:p>
      <w:pPr>
        <w:ind w:firstLine="1134"/>
        <w:spacing w:after="0" w:line="252" w:lineRule="auto"/>
        <w:rPr>
          <w:sz w:val="20"/>
          <w:szCs w:val="20"/>
          <w:color w:val="auto"/>
        </w:rPr>
      </w:pPr>
      <w:r>
        <w:rPr>
          <w:rFonts w:ascii="Times New Roman" w:cs="Times New Roman" w:eastAsia="Times New Roman" w:hAnsi="Times New Roman"/>
          <w:sz w:val="18"/>
          <w:szCs w:val="18"/>
          <w:color w:val="auto"/>
        </w:rPr>
        <w:t>In the event we need to raise additional capital to fund our business, including pursuant to the 2026 Sales Agreement with TD Cowen (as defined below), the Tranche B Loan and the Tranche C Loan under the Pharmakon Loan Agreement, which are subject to certain funding conditions; capital lease transactions or other financing sources, such additional capital may not be available on acceptable terms, or at all. We may be unable to raise equity capital, or may be forced to do so at a stock price or on other terms that could result in substantial dilution of ownership for our stockholders. The receptivity of the public and private debt and equity markets to proposed financings has been substantially affected by uncertainty in the general economic, market and political climate due to the effects of macroeconomic or other global conditions, such as inflation, fluctuations in interest rates, prospects of a recession, government shutdowns, further changes in tariffs and other trade restrictions, bank failures and other disruptions to financial systems, civil or political unrest, military conflicts, pandemics or other health crises and supply chain and resource issues, and may in the future be affected by other factors which are unpredictable and over which we have no control. These effects have increased market volatility and could result in a significant long-term disruption of global financial markets, which could reduce or eliminate our ability to raise additional funds through financings, and could negatively impact the terms upon which we may raise those funds. Similarly, these macroeconomic conditions have created extreme volatility and disruption in the equity and credit markets and are expected to have further global economic consequences. For example, the ongoing Russia-Ukraine military conflict and the ongoing military conflict involving the U.S., Israel and Iran have created extreme volatility and disruption in the equity and credit markets and have had and may continue to have further global economic consequences, including continued disruptions of the global supply chain and energy markets, which could continue to drive inflationary pressures and increase global recession risk.If the equity and credit markets deteriorate, it may make any necessary debt or equity financing more difficult to obtain in a timely manner or on favorable terms, more costly or more dilutive. If we are unable to effectively commercialize RYTELO, or raise additional capital, if needed, or establish alternative collaborative arrangements with third-party collaborative partners for RYTELO when needed, the development and commercialization of RYTELO may be further delayed, altered or abandoned, which might cause us to cease operations.</w:t>
      </w:r>
    </w:p>
    <w:p>
      <w:pPr>
        <w:spacing w:after="0" w:line="218" w:lineRule="exact"/>
        <w:rPr>
          <w:sz w:val="20"/>
          <w:szCs w:val="20"/>
          <w:color w:val="auto"/>
        </w:rPr>
      </w:pPr>
    </w:p>
    <w:p>
      <w:pPr>
        <w:ind w:right="40" w:firstLine="1134"/>
        <w:spacing w:after="0" w:line="253" w:lineRule="auto"/>
        <w:rPr>
          <w:sz w:val="20"/>
          <w:szCs w:val="20"/>
          <w:color w:val="auto"/>
        </w:rPr>
      </w:pPr>
      <w:r>
        <w:rPr>
          <w:rFonts w:ascii="Times New Roman" w:cs="Times New Roman" w:eastAsia="Times New Roman" w:hAnsi="Times New Roman"/>
          <w:sz w:val="18"/>
          <w:szCs w:val="18"/>
          <w:color w:val="auto"/>
        </w:rPr>
        <w:t>In addition, we may seek additional capital due to market conditions or strategic considerations even if we believe we have sufficient funds for our current or future operating plans. Due to uncertainty in the general economic, market and political climate, we may determine that it is necessary or appropriate to raise additional funds proactively to meet longer-term anticipated operating plans. To the extent that we raise additional capital through the sale of equity or convertible debt securities, including pursuant to the 2026 Sales Agreement, our stockholders may be diluted, and the terms may include liquidation or other preferences that could materially and adversely affect the rights of our existing stockholders. In addition, we have borrowed, and in the future may borrow, additional capital from institutional and commercial banking sources to fund development and our future growth, including pursuant to our Pharmakon Loan Agreement or potentially pursuant to new arrangements with different lenders. We may borrow funds on terms under agreements, such as our Pharmakon Loan Agreement, that include restrictive covenants, including covenants limiting or restricting our ability to take specific actions, such as incurring additional debt, making capital expenditures or declaring dividends. Moreover, if we raise additional funds through alliance, collaborative or licensing arrangements with third parties, we may have to relinquish valuable rights to RYTELO or our technologies or grant licenses on terms that are not favorable to us.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INDEBTEDNESS AND ROYALTY PAYMENT OBLIGATIONS</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and debt service obligations could adversely affect our financial condition and may make it more difficult for us to fund our operations, including by limiting our operating and financial flexibility.</w:t>
      </w:r>
    </w:p>
    <w:p>
      <w:pPr>
        <w:spacing w:after="0" w:line="186" w:lineRule="exact"/>
        <w:rPr>
          <w:sz w:val="20"/>
          <w:szCs w:val="20"/>
          <w:color w:val="auto"/>
        </w:rPr>
      </w:pPr>
    </w:p>
    <w:p>
      <w:pPr>
        <w:ind w:right="80" w:firstLine="1166"/>
        <w:spacing w:after="0" w:line="253" w:lineRule="auto"/>
        <w:rPr>
          <w:sz w:val="20"/>
          <w:szCs w:val="20"/>
          <w:color w:val="auto"/>
        </w:rPr>
      </w:pPr>
      <w:r>
        <w:rPr>
          <w:rFonts w:ascii="Times New Roman" w:cs="Times New Roman" w:eastAsia="Times New Roman" w:hAnsi="Times New Roman"/>
          <w:sz w:val="18"/>
          <w:szCs w:val="18"/>
          <w:color w:val="auto"/>
        </w:rPr>
        <w:t>On November 1, 2024, we entered into the Pharmakon Loan Agreement, which we amended on January 5, 2026. We drew the Tranche A Loan of $125.0 million on November 1, 2024 and as of November 1, 2024, the total outstanding principal amount under the Pharmakon Loan Agreement was $125.0 million. The tranches for the remaining $125.0 million available to us under the Pharmakon Loan Agreement are as follows: (a) a Tranche B Loan of $75.0 million, which is available for us to request at our option until July 30, 2026, subject to certain customary and limited conditions; and (b) a Tranche C Loan of $50.0 million, which is available for us to request until July 30, 2026, subject to certain conditions, including us reaching a specified trailing twelve-month RYTELO revenue milestone on or prior to June 30, 2026. If we do not achieve such revenue milestone within the required timeline, we will not be eligible to draw down the Tranche C Loan. In addition, before we would consider drawing down any of the remaining tranches under the Pharmakon Loan Agreement, if available, we must first satisfy ourselves that we will have access to future alternate sources of capital, such as from commercial revenues or the equity capital markets or debt capital markets, in order to repay any additional principal borrowed, which we may be unable to do, in which case, our liquidity and ability to fund our operations may be substantially impaired.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1" w:name="page62"/>
    <w:bookmarkEnd w:id="61"/>
    <w:p>
      <w:pPr>
        <w:ind w:right="40" w:firstLine="1166"/>
        <w:spacing w:after="0" w:line="261" w:lineRule="auto"/>
        <w:rPr>
          <w:sz w:val="20"/>
          <w:szCs w:val="20"/>
          <w:color w:val="auto"/>
        </w:rPr>
      </w:pPr>
      <w:r>
        <w:rPr>
          <w:rFonts w:ascii="Times New Roman" w:cs="Times New Roman" w:eastAsia="Times New Roman" w:hAnsi="Times New Roman"/>
          <w:sz w:val="18"/>
          <w:szCs w:val="18"/>
          <w:color w:val="auto"/>
        </w:rPr>
        <w:t>All obligations under the Pharmakon Loan Agreement are secured by substantially all of our assets, including our intellectual property. Further, the terms of the Pharmakon Loan Agreement place restrictions on our operating and financial flexibility, and limit or prohibit our ability to dispose of certain assets, change our line of business, and engage in other significant transactions. Such restrictions will affect, and in many respects limit or prohibit, our ability and the ability of our subsidiaries to, among other things:</w:t>
      </w:r>
    </w:p>
    <w:p>
      <w:pPr>
        <w:spacing w:after="0" w:line="207"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certain assets;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our line of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acquisitions or consolidations;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contributions or repurchase our capital stock;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w:t>
      </w:r>
    </w:p>
    <w:p>
      <w:pPr>
        <w:spacing w:after="0" w:line="234" w:lineRule="exact"/>
        <w:rPr>
          <w:sz w:val="20"/>
          <w:szCs w:val="20"/>
          <w:color w:val="auto"/>
        </w:rPr>
      </w:pPr>
    </w:p>
    <w:p>
      <w:pPr>
        <w:ind w:right="140" w:firstLine="1166"/>
        <w:spacing w:after="0" w:line="261" w:lineRule="auto"/>
        <w:rPr>
          <w:sz w:val="20"/>
          <w:szCs w:val="20"/>
          <w:color w:val="auto"/>
        </w:rPr>
      </w:pPr>
      <w:r>
        <w:rPr>
          <w:rFonts w:ascii="Times New Roman" w:cs="Times New Roman" w:eastAsia="Times New Roman" w:hAnsi="Times New Roman"/>
          <w:sz w:val="18"/>
          <w:szCs w:val="18"/>
          <w:color w:val="auto"/>
        </w:rPr>
        <w:t>This indebtedness may create additional financing risk for us, particularly if our business or prevailing financial market conditions are not conducive to paying off or refinancing the outstanding debt obligations at maturity. If we draw down any of the remaining tranches under the Pharmakon Loan Agreement, our indebtedness will increase, which would further increase our risk of being unable to pay off or refinance our outstanding debt obligations at maturity.</w:t>
      </w:r>
    </w:p>
    <w:p>
      <w:pPr>
        <w:spacing w:after="0" w:line="20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Our indebtedness could also have important negative consequences, including:</w:t>
      </w:r>
    </w:p>
    <w:p>
      <w:pPr>
        <w:spacing w:after="0" w:line="252" w:lineRule="exact"/>
        <w:rPr>
          <w:sz w:val="20"/>
          <w:szCs w:val="20"/>
          <w:color w:val="auto"/>
        </w:rPr>
      </w:pPr>
    </w:p>
    <w:p>
      <w:pPr>
        <w:ind w:left="660" w:right="260" w:hanging="328"/>
        <w:spacing w:after="0" w:line="261"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repay the indebtedness by making payments of interest and principal, which will reduce the amount of cash available to finance our operations, our research and development efforts and other general corporate activities; and</w:t>
      </w:r>
    </w:p>
    <w:p>
      <w:pPr>
        <w:ind w:left="660" w:right="140" w:hanging="328"/>
        <w:spacing w:after="0" w:line="255"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obligations of our affirmative and restrictive covenants in the Pharmakon Loan Agreement could result in an event of default that, if not cured or waived, would permit the Lenders to accelerate our obligation to repay this indebtedness, and the Lenders could seek to enforce their security interest in the assets securing such indebtedness.</w:t>
      </w:r>
    </w:p>
    <w:p>
      <w:pPr>
        <w:spacing w:after="0" w:line="213" w:lineRule="exact"/>
        <w:rPr>
          <w:sz w:val="20"/>
          <w:szCs w:val="20"/>
          <w:color w:val="auto"/>
        </w:rPr>
      </w:pPr>
    </w:p>
    <w:p>
      <w:pPr>
        <w:jc w:val="both"/>
        <w:ind w:right="180" w:firstLine="1166"/>
        <w:spacing w:after="0" w:line="266" w:lineRule="auto"/>
        <w:rPr>
          <w:sz w:val="20"/>
          <w:szCs w:val="20"/>
          <w:color w:val="auto"/>
        </w:rPr>
      </w:pPr>
      <w:r>
        <w:rPr>
          <w:rFonts w:ascii="Times New Roman" w:cs="Times New Roman" w:eastAsia="Times New Roman" w:hAnsi="Times New Roman"/>
          <w:sz w:val="18"/>
          <w:szCs w:val="18"/>
          <w:color w:val="auto"/>
        </w:rPr>
        <w:t>In addition, we may borrow additional capital in the future to fund clinical development and our future growth, including pursuant to the Pharmakon Loan Agreement or potentially pursuant to new arrangements with different lenders. To the extent additional debt is added to our current debt levels, the risks described above could increase.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cash available in an amount sufficient to enable us to make interest or principal payments on our indebtedness when due.</w:t>
      </w:r>
    </w:p>
    <w:p>
      <w:pPr>
        <w:spacing w:after="0" w:line="256" w:lineRule="exact"/>
        <w:rPr>
          <w:sz w:val="20"/>
          <w:szCs w:val="20"/>
          <w:color w:val="auto"/>
        </w:rPr>
      </w:pPr>
    </w:p>
    <w:p>
      <w:pPr>
        <w:ind w:firstLine="1166"/>
        <w:spacing w:after="0" w:line="256" w:lineRule="auto"/>
        <w:rPr>
          <w:sz w:val="20"/>
          <w:szCs w:val="20"/>
          <w:color w:val="auto"/>
        </w:rPr>
      </w:pPr>
      <w:r>
        <w:rPr>
          <w:rFonts w:ascii="Times New Roman" w:cs="Times New Roman" w:eastAsia="Times New Roman" w:hAnsi="Times New Roman"/>
          <w:sz w:val="18"/>
          <w:szCs w:val="18"/>
          <w:color w:val="auto"/>
        </w:rPr>
        <w:t>Our ability to make scheduled interest payments on or to refinance our indebtedness depends on our future performance and ability to raise additional sources of cash, which is subject to economic, financial, competitive and other factors beyond our control. If we are unable to generate sufficient cash to service our debt, we may be required to adopt one or more alternatives, such as selling assets, restructuring our debt or obtaining additional equity capital on terms that may be onerous or highly dilutive. If we desire to refinance our indebtedness, our ability to do so will depend on the state of the capital and lending markets and our financial condition at such time. We may not be able to engage in any of these activities or engage in these activities on desirable terms, which could result in a default on our debt obligations.</w:t>
      </w:r>
    </w:p>
    <w:p>
      <w:pPr>
        <w:spacing w:after="0" w:line="214" w:lineRule="exact"/>
        <w:rPr>
          <w:sz w:val="20"/>
          <w:szCs w:val="20"/>
          <w:color w:val="auto"/>
        </w:rPr>
      </w:pPr>
    </w:p>
    <w:p>
      <w:pPr>
        <w:ind w:firstLine="1166"/>
        <w:spacing w:after="0" w:line="258" w:lineRule="auto"/>
        <w:rPr>
          <w:sz w:val="20"/>
          <w:szCs w:val="20"/>
          <w:color w:val="auto"/>
        </w:rPr>
      </w:pPr>
      <w:r>
        <w:rPr>
          <w:rFonts w:ascii="Times New Roman" w:cs="Times New Roman" w:eastAsia="Times New Roman" w:hAnsi="Times New Roman"/>
          <w:sz w:val="18"/>
          <w:szCs w:val="18"/>
          <w:color w:val="auto"/>
        </w:rPr>
        <w:t>Failure to satisfy our current and future debt obligations under the Pharmakon Loan Agreement or to comply with certain covenants in the Pharmakon Loan Agreement could result in an event of default, the occurrence and continuance of which provides the lenders with the right to demand immediate repayment of all outstanding obligations under the Pharmakon Loan Agreement (and in the case of certain insolvency, liquidation, bankruptcy or similar events, automatically requires immediate repayment of all outstanding obligations under the Pharmakon Loan Agreement), and to exercise remedies against us and the collateral securing the Pharmakon Loan Agreement. These events of default include, among other things:</w:t>
      </w:r>
    </w:p>
    <w:p>
      <w:pPr>
        <w:spacing w:after="0" w:line="210"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liquidation, bankruptcy or similar events;</w:t>
      </w:r>
    </w:p>
    <w:p>
      <w:pPr>
        <w:spacing w:after="0" w:line="27" w:lineRule="exact"/>
        <w:rPr>
          <w:rFonts w:ascii="Times New Roman" w:cs="Times New Roman" w:eastAsia="Times New Roman" w:hAnsi="Times New Roman"/>
          <w:sz w:val="18"/>
          <w:szCs w:val="18"/>
          <w:color w:val="auto"/>
        </w:rPr>
      </w:pPr>
    </w:p>
    <w:p>
      <w:pPr>
        <w:ind w:left="660" w:right="200" w:hanging="328"/>
        <w:spacing w:after="0" w:line="250"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observe covenants under the Pharmakon Loan Agreement and ancillary collateral documents, which failure, in certain limited cases, is not cured within 10 or 20 days;</w:t>
      </w: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withdrawal event in respect to RYTELO;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material adverse change;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misrepresentations;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2" w:name="page63"/>
    <w:bookmarkEnd w:id="62"/>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cross-default of third-party indebtedness or certain default or termination events of hedging assessments;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money judgments being entered against us which are not timely paid, discharged or stayed;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assets are attached or seized.</w:t>
      </w:r>
    </w:p>
    <w:p>
      <w:pPr>
        <w:spacing w:after="0" w:line="234" w:lineRule="exact"/>
        <w:rPr>
          <w:sz w:val="20"/>
          <w:szCs w:val="20"/>
          <w:color w:val="auto"/>
        </w:rPr>
      </w:pPr>
    </w:p>
    <w:p>
      <w:pPr>
        <w:ind w:right="140" w:firstLine="1166"/>
        <w:spacing w:after="0" w:line="255" w:lineRule="auto"/>
        <w:rPr>
          <w:sz w:val="20"/>
          <w:szCs w:val="20"/>
          <w:color w:val="auto"/>
        </w:rPr>
      </w:pPr>
      <w:r>
        <w:rPr>
          <w:rFonts w:ascii="Times New Roman" w:cs="Times New Roman" w:eastAsia="Times New Roman" w:hAnsi="Times New Roman"/>
          <w:sz w:val="18"/>
          <w:szCs w:val="18"/>
          <w:color w:val="auto"/>
        </w:rPr>
        <w:t>In the event of default, the lenders could accelerate all of the amounts due under the Pharmakon Loan Agreement. Under such circumstances, we may not have enough available cash or be able to raise additional funds through equity or debt financings to repay such indebtedness at the time of such acceleration. We may be required to delay, limit, reduce or terminate our RYTELO development or commercialization efforts or grant to others rights to develop and market RYTELO. The lenders could also exercise their rights to take possession and dispose of the collateral securing the Pharmakon Loan Agreement, which collateral includes substantially all of our property including, without limitation, our intellectual property, subject to certain exceptions. Our business, financial condition and results of operations could be materially adversely affected as a result of any of these events. The Royalty Pharma Agreement places certain restrictions on our operational flexibility.</w:t>
      </w:r>
    </w:p>
    <w:p>
      <w:pPr>
        <w:spacing w:after="0" w:line="216" w:lineRule="exact"/>
        <w:rPr>
          <w:sz w:val="20"/>
          <w:szCs w:val="20"/>
          <w:color w:val="auto"/>
        </w:rPr>
      </w:pPr>
    </w:p>
    <w:p>
      <w:pPr>
        <w:ind w:right="40" w:firstLine="1166"/>
        <w:spacing w:after="0" w:line="253" w:lineRule="auto"/>
        <w:rPr>
          <w:sz w:val="20"/>
          <w:szCs w:val="20"/>
          <w:color w:val="auto"/>
        </w:rPr>
      </w:pPr>
      <w:r>
        <w:rPr>
          <w:rFonts w:ascii="Times New Roman" w:cs="Times New Roman" w:eastAsia="Times New Roman" w:hAnsi="Times New Roman"/>
          <w:sz w:val="18"/>
          <w:szCs w:val="18"/>
          <w:color w:val="auto"/>
        </w:rPr>
        <w:t>The Royalty Pharma Agreement contains covenants that impose on us certain obligations with respect to royalty payments, diligence, reporting, indemnification and includes restrictions on intellectual property transfers and out-licenses, and certain other actions. For example, we are obligated to make royalty payments each quarter based on U.S. net sales of RYTELO at the royalty rates set forth in the Royalty Pharma Agreement, until the date when the aggregate Royalty Payments equal or exceed 1.65 times the Purchase Price, if this occurs by June 30, 2031. However, in the event we are unable to repay our obligation to Royalty Pharma before June 30, 2031, we will be required to make royalty payments equal to or exceeding 2.0 times the Purchase Price thereafter, which may negatively impact our business, financial condition and results of operations. The Royalty Pharma Agreement also limits our ability to create or incur liens or dispose of certain assets related to imetelstat. We have no rights to repurchase the revenue interests in RYTELO sold to Royalty Pharma (other than in connection with a change of control event), thereby limiting our ability to eliminate future applicability of the covenants contained in the Royalty Pharma Agreement. Compliance with these covenants may limit our flexibility in operating our business and our ability to take actions that might otherwise be advantageous to us and our stockholders.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PROTECTING OUR INTELLECTUAL PROPERTY</w:t>
      </w:r>
    </w:p>
    <w:p>
      <w:pPr>
        <w:spacing w:after="0" w:line="200" w:lineRule="exact"/>
        <w:rPr>
          <w:sz w:val="20"/>
          <w:szCs w:val="20"/>
          <w:color w:val="auto"/>
        </w:rPr>
      </w:pPr>
    </w:p>
    <w:p>
      <w:pPr>
        <w:spacing w:after="0" w:line="20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and relevant regulatory exclusivities for RYTELO, both in the U.S. and in other countries, our competitors could develop and commercialize products similar or identical to RYTELO, and our ability to successfully commercialize RYTELO may be adversely affected.</w:t>
      </w:r>
    </w:p>
    <w:p>
      <w:pPr>
        <w:spacing w:after="0" w:line="202" w:lineRule="exact"/>
        <w:rPr>
          <w:sz w:val="20"/>
          <w:szCs w:val="20"/>
          <w:color w:val="auto"/>
        </w:rPr>
      </w:pPr>
    </w:p>
    <w:p>
      <w:pPr>
        <w:ind w:right="160" w:firstLine="1166"/>
        <w:spacing w:after="0" w:line="261" w:lineRule="auto"/>
        <w:rPr>
          <w:sz w:val="20"/>
          <w:szCs w:val="20"/>
          <w:color w:val="auto"/>
        </w:rPr>
      </w:pPr>
      <w:r>
        <w:rPr>
          <w:rFonts w:ascii="Times New Roman" w:cs="Times New Roman" w:eastAsia="Times New Roman" w:hAnsi="Times New Roman"/>
          <w:sz w:val="18"/>
          <w:szCs w:val="18"/>
          <w:color w:val="auto"/>
        </w:rPr>
        <w:t>Protection of our proprietary technology is critically important to our business. Our success and the success of our commercialization and planned future development of RYTELO will depend on our ability to protect our technologies and RYTELO through patents, regulatory exclusivity, and other intellectual property rights. Our success will depend in part on our ability to obtain, maintain, enforce, and extend our patents and maintain trade secrets, both in the U.S. and in other countries.</w:t>
      </w:r>
    </w:p>
    <w:p>
      <w:pPr>
        <w:spacing w:after="0" w:line="207" w:lineRule="exact"/>
        <w:rPr>
          <w:sz w:val="20"/>
          <w:szCs w:val="20"/>
          <w:color w:val="auto"/>
        </w:rPr>
      </w:pPr>
    </w:p>
    <w:p>
      <w:pPr>
        <w:ind w:firstLine="1166"/>
        <w:spacing w:after="0" w:line="253" w:lineRule="auto"/>
        <w:rPr>
          <w:sz w:val="20"/>
          <w:szCs w:val="20"/>
          <w:color w:val="auto"/>
        </w:rPr>
      </w:pPr>
      <w:r>
        <w:rPr>
          <w:rFonts w:ascii="Times New Roman" w:cs="Times New Roman" w:eastAsia="Times New Roman" w:hAnsi="Times New Roman"/>
          <w:sz w:val="18"/>
          <w:szCs w:val="18"/>
          <w:color w:val="auto"/>
        </w:rPr>
        <w:t>As a result of the Leahy-Smith America Invents Act, or the AIA, in March 2013, the U.S. transitioned to a first-inventor-to-file system under which, assuming the other requirements for patentability are met, the first inventor to file a patent application is entitled to the patent. However, since the publication of discoveries in scientific or patent literature tends to lag behind actual discoveries by at least several months and sometimes several years, we are not able to be certain upon filing a patent application that the persons or entities that we name as inventors or applicants in our patent applications were the first to invent the inventions disclosed therein, or the first to file patent applications for these inventions. Thus, our ability to protect our patentable intellectual property depends, in part, on our ability to be the first to file patent applications with respect to our inventions, or inventions that were developed by our former collaboration partner and assigned to us, for the future development, commercialization and manufacture of RYTELO. As a result, if we are not the first inventor-to-file, we may not be able to obtain patents for discoveries that we otherwise would consider patentable and that we consider to be significant to the future success of RYTELO. Delay in the filing of a patent application for any purpose, including further development or refinement of an invention, may result in the risk of loss of patent rights.</w:t>
      </w:r>
    </w:p>
    <w:p>
      <w:pPr>
        <w:spacing w:after="0" w:line="221" w:lineRule="exact"/>
        <w:rPr>
          <w:sz w:val="20"/>
          <w:szCs w:val="20"/>
          <w:color w:val="auto"/>
        </w:rPr>
      </w:pPr>
    </w:p>
    <w:p>
      <w:pPr>
        <w:jc w:val="both"/>
        <w:ind w:right="80" w:firstLine="1166"/>
        <w:spacing w:after="0" w:line="266"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or patent offices in the U.S. and in other countries. Such challenges may result in loss of exclusivity or in patent claims being narrowed, invalidated, or held unenforceable, which could limit our ability to</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stop others from using or commercializing RYTELO or our technology and/or limit the duration of the patent protection for RYTELO and our technology.</w:t>
      </w:r>
    </w:p>
    <w:p>
      <w:pPr>
        <w:spacing w:after="0" w:line="252" w:lineRule="exact"/>
        <w:rPr>
          <w:sz w:val="20"/>
          <w:szCs w:val="20"/>
          <w:color w:val="auto"/>
        </w:rPr>
      </w:pPr>
    </w:p>
    <w:p>
      <w:pPr>
        <w:ind w:right="20" w:firstLine="1166"/>
        <w:spacing w:after="0" w:line="258" w:lineRule="auto"/>
        <w:rPr>
          <w:sz w:val="20"/>
          <w:szCs w:val="20"/>
          <w:color w:val="auto"/>
        </w:rPr>
      </w:pPr>
      <w:r>
        <w:rPr>
          <w:rFonts w:ascii="Times New Roman" w:cs="Times New Roman" w:eastAsia="Times New Roman" w:hAnsi="Times New Roman"/>
          <w:sz w:val="18"/>
          <w:szCs w:val="18"/>
          <w:color w:val="auto"/>
        </w:rPr>
        <w:t>While we have method-of-use patents that protect the use of RYTELO for the treatment of certain diseases, this type of patent does not prevent a generic competitor from making and marketing a product that is identical to RYTELO for an indication that is outside the scope of our approved use after our composition-of-matter patents or their patent term extensions, and any regulatory exclusivities have expired. Moreover, even if competitors do not actively promote their product for our approved indications, physicians may prescribe or use these generic products “off-label,” which would result in decreased sales for us.</w:t>
      </w:r>
    </w:p>
    <w:p>
      <w:pPr>
        <w:spacing w:after="0" w:line="210" w:lineRule="exact"/>
        <w:rPr>
          <w:sz w:val="20"/>
          <w:szCs w:val="20"/>
          <w:color w:val="auto"/>
        </w:rPr>
      </w:pPr>
    </w:p>
    <w:p>
      <w:pPr>
        <w:ind w:right="60" w:firstLine="1166"/>
        <w:spacing w:after="0" w:line="256" w:lineRule="auto"/>
        <w:rPr>
          <w:sz w:val="20"/>
          <w:szCs w:val="20"/>
          <w:color w:val="auto"/>
        </w:rPr>
      </w:pPr>
      <w:r>
        <w:rPr>
          <w:rFonts w:ascii="Times New Roman" w:cs="Times New Roman" w:eastAsia="Times New Roman" w:hAnsi="Times New Roman"/>
          <w:sz w:val="18"/>
          <w:szCs w:val="18"/>
          <w:color w:val="auto"/>
        </w:rPr>
        <w:t>In addition to our patents covering RYTELO, we also expect to rely on regulatory exclusivity, including orphan drug exclusivity of up to seven years in the U.S. and ten years in the EU following approval, to protect our rights to commercialize RYTELO for its approved uses, but such regulatory exclusivity may be limited or withdrawn. See “</w:t>
      </w:r>
      <w:r>
        <w:rPr>
          <w:rFonts w:ascii="Times New Roman" w:cs="Times New Roman" w:eastAsia="Times New Roman" w:hAnsi="Times New Roman"/>
          <w:sz w:val="18"/>
          <w:szCs w:val="18"/>
          <w:i w:val="1"/>
          <w:iCs w:val="1"/>
          <w:color w:val="auto"/>
        </w:rPr>
        <w:t>Risks Related to Regulatory Approval of RYTELO -- Although orphan drug designation has been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granted to RYTELO for the treatment of MDS and MF in the U.S. and in the EU, these designations may not be maintained, which would eliminate the benefits associated with orphan drug designation, including market exclusivity, which could limit the period of exclusivity we are able to maintain for the commercialization of RYTELO, and would likely harm our business and business prospects.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firstLine="1166"/>
        <w:spacing w:after="0" w:line="256" w:lineRule="auto"/>
        <w:rPr>
          <w:sz w:val="20"/>
          <w:szCs w:val="20"/>
          <w:color w:val="auto"/>
        </w:rPr>
      </w:pPr>
      <w:r>
        <w:rPr>
          <w:rFonts w:ascii="Times New Roman" w:cs="Times New Roman" w:eastAsia="Times New Roman" w:hAnsi="Times New Roman"/>
          <w:sz w:val="18"/>
          <w:szCs w:val="18"/>
          <w:color w:val="auto"/>
        </w:rPr>
        <w:t>In addition to orphan drug exclusivity, we expect to rely on other forms of regulatory exclusivity to protect our ability to commercialize RYTELO. In the U.S., New Chemical Entity, or NCE, exclusivity would entitle us to four years of data exclusivity and one year of market exclusivity, for a total of five years of NCE exclusivity from the date of approval of the first-approved indication. Our request for NCE exclusivity is still pending with FDA, and might not be awarded or could be awarded and then later withdrawn. In the EU, imetelstat is designated as a New Active Substance, or NAS. For this NAS, regulatory data protection entitles us to eight years of data exclusivity and two years of market exclusivity, for a total of ten years in parallel to orphan market exclusivity.</w:t>
      </w:r>
    </w:p>
    <w:p>
      <w:pPr>
        <w:spacing w:after="0" w:line="214" w:lineRule="exact"/>
        <w:rPr>
          <w:sz w:val="20"/>
          <w:szCs w:val="20"/>
          <w:color w:val="auto"/>
        </w:rPr>
      </w:pPr>
    </w:p>
    <w:p>
      <w:pPr>
        <w:ind w:firstLine="1166"/>
        <w:spacing w:after="0" w:line="258" w:lineRule="auto"/>
        <w:rPr>
          <w:sz w:val="20"/>
          <w:szCs w:val="20"/>
          <w:color w:val="auto"/>
        </w:rPr>
      </w:pPr>
      <w:r>
        <w:rPr>
          <w:rFonts w:ascii="Times New Roman" w:cs="Times New Roman" w:eastAsia="Times New Roman" w:hAnsi="Times New Roman"/>
          <w:sz w:val="18"/>
          <w:szCs w:val="18"/>
          <w:color w:val="auto"/>
        </w:rPr>
        <w:t>In the event that we are unsuccessful in obtaining, maintaining, enforcing and extending our patents and other intellectual property rights or having our licensors maintain the intellectual property rights we have licensed, the value of RYTELO and/or our technologies will be adversely affected, and we may not be able to further develop or commercialize RYTELO. Furthermore, such loss of intellectual property rights could impair our ability to exclude others from commercializing products similar or identical to RYTELO and therefore result in decreased sales for us. Occurrence of any of these events would materially and adversely affect our financial results, business and business prospects, and might cause us to cease operations.</w:t>
      </w:r>
    </w:p>
    <w:p>
      <w:pPr>
        <w:spacing w:after="0" w:line="206"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rights depends on compliance with various procedural, document submission, fee payment and other requirements imposed by governmental patent agencies, and our patent protection could be reduced or eliminated for noncompliance with these requirements.</w:t>
      </w:r>
    </w:p>
    <w:p>
      <w:pPr>
        <w:spacing w:after="0" w:line="202" w:lineRule="exact"/>
        <w:rPr>
          <w:sz w:val="20"/>
          <w:szCs w:val="20"/>
          <w:color w:val="auto"/>
        </w:rPr>
      </w:pPr>
    </w:p>
    <w:p>
      <w:pPr>
        <w:ind w:firstLine="1166"/>
        <w:spacing w:after="0" w:line="253" w:lineRule="auto"/>
        <w:rPr>
          <w:sz w:val="20"/>
          <w:szCs w:val="20"/>
          <w:color w:val="auto"/>
        </w:rPr>
      </w:pPr>
      <w:r>
        <w:rPr>
          <w:rFonts w:ascii="Times New Roman" w:cs="Times New Roman" w:eastAsia="Times New Roman" w:hAnsi="Times New Roman"/>
          <w:sz w:val="18"/>
          <w:szCs w:val="18"/>
          <w:color w:val="auto"/>
        </w:rPr>
        <w:t>The U.S. Patent and Trademark Office, or USPTO, and various governmental patent agencies in other countries require compliance with a number of procedural, documentary, fee payment, periodic maintenance fees, renewal fees, annuity fees and various other government fees on patents and/or patent applications. Failure to respond to official actions within prescribed time limits, and nonpayment of fees, for example, maintenance fees, renewal fees, and annuity fees, could result in abandonment or lapse of a patent or patent application, resulting in partial or complete loss of patent rights in the jurisdiction. In such an event, potential competitors might be able to enter the market with the same or similar products to RYTELO, and this circumstance could harm our financial condition, business and business prospects. In addition, if we are responsible for patent prosecution and maintenance of patent rights in-licensed to us or jointly owned with us, any of the foregoing could expose us to liability to the applicable patent owner or patent co-owner.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terms may be inadequate to protect our competitive position on RYTELO for an adequate amount of time.</w:t>
      </w:r>
    </w:p>
    <w:p>
      <w:pPr>
        <w:spacing w:after="0" w:line="234" w:lineRule="exact"/>
        <w:rPr>
          <w:sz w:val="20"/>
          <w:szCs w:val="20"/>
          <w:color w:val="auto"/>
        </w:rPr>
      </w:pPr>
    </w:p>
    <w:p>
      <w:pPr>
        <w:ind w:firstLine="1166"/>
        <w:spacing w:after="0" w:line="266" w:lineRule="auto"/>
        <w:rPr>
          <w:sz w:val="20"/>
          <w:szCs w:val="20"/>
          <w:color w:val="auto"/>
        </w:rPr>
      </w:pPr>
      <w:r>
        <w:rPr>
          <w:rFonts w:ascii="Times New Roman" w:cs="Times New Roman" w:eastAsia="Times New Roman" w:hAnsi="Times New Roman"/>
          <w:sz w:val="18"/>
          <w:szCs w:val="18"/>
          <w:color w:val="auto"/>
        </w:rPr>
        <w:t>Patents have a limited lifespan. In the U.S., the natural expiration of a patent is generally 20 years after its first effective nonprovisional filing date. As a result, our intellectual property may not provide us with sufficient patent rights to exclude others from commercializing products similar or identical to RYTELO.</w:t>
      </w:r>
    </w:p>
    <w:p>
      <w:pPr>
        <w:spacing w:after="0" w:line="203" w:lineRule="exact"/>
        <w:rPr>
          <w:sz w:val="20"/>
          <w:szCs w:val="20"/>
          <w:color w:val="auto"/>
        </w:rPr>
      </w:pPr>
    </w:p>
    <w:p>
      <w:pPr>
        <w:ind w:firstLine="1166"/>
        <w:spacing w:after="0" w:line="261" w:lineRule="auto"/>
        <w:rPr>
          <w:sz w:val="20"/>
          <w:szCs w:val="20"/>
          <w:color w:val="auto"/>
        </w:rPr>
      </w:pPr>
      <w:r>
        <w:rPr>
          <w:rFonts w:ascii="Times New Roman" w:cs="Times New Roman" w:eastAsia="Times New Roman" w:hAnsi="Times New Roman"/>
          <w:sz w:val="18"/>
          <w:szCs w:val="18"/>
          <w:color w:val="auto"/>
        </w:rPr>
        <w:t>In the U.S., the Hatch-Waxman Act permits one patent per approved product to receive one patent term extension of up to five years beyond its normal expiration. The USPTO, in consultation with the FDA, reviews and approves the application for any patent term extension or restoration. The length of the patent term extension is typically calculated as one half of period between the effective date of an IND and the submission date of an NDA less any time the</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64" w:name="page65"/>
    <w:bookmarkEnd w:id="64"/>
    <w:p>
      <w:pPr>
        <w:spacing w:after="0" w:line="254" w:lineRule="auto"/>
        <w:rPr>
          <w:sz w:val="20"/>
          <w:szCs w:val="20"/>
          <w:color w:val="auto"/>
        </w:rPr>
      </w:pPr>
      <w:r>
        <w:rPr>
          <w:rFonts w:ascii="Times New Roman" w:cs="Times New Roman" w:eastAsia="Times New Roman" w:hAnsi="Times New Roman"/>
          <w:sz w:val="18"/>
          <w:szCs w:val="18"/>
          <w:color w:val="auto"/>
        </w:rPr>
        <w:t>sponsor did not act with due diligence during the period, plus the time between the submission date of an NDA and the approval of that application less any time the sponsor did not act with due diligence during the period. There is also a limit on the patent term extension to a term that is no greater than fourteen years from drug approval. We have applied to the USPTO for patent term extension of some of our patents. Currently, communication of patent term extension approval and the length of the granted extension period by the USPTO may occur up to several years from filing of an application for patent term extension. If the USPTO and the FDA determine the extension period for each proposed eligible patent, we will select the one patent to be extended. We expect to apply any patent term extension that is granted in the U.S. to our method of treatment patent for MDS and MF that expires on March 15, 2033. If such patent term extension is granted, we expect the term of the patent to extend through August 2037, although such timing is subject to approval by the USPTO and could differ from our calculation.</w:t>
      </w:r>
    </w:p>
    <w:p>
      <w:pPr>
        <w:spacing w:after="0" w:line="219" w:lineRule="exact"/>
        <w:rPr>
          <w:sz w:val="20"/>
          <w:szCs w:val="20"/>
          <w:color w:val="auto"/>
        </w:rPr>
      </w:pPr>
    </w:p>
    <w:p>
      <w:pPr>
        <w:ind w:right="60" w:firstLine="1166"/>
        <w:spacing w:after="0" w:line="266" w:lineRule="auto"/>
        <w:rPr>
          <w:sz w:val="20"/>
          <w:szCs w:val="20"/>
          <w:color w:val="auto"/>
        </w:rPr>
      </w:pPr>
      <w:r>
        <w:rPr>
          <w:rFonts w:ascii="Times New Roman" w:cs="Times New Roman" w:eastAsia="Times New Roman" w:hAnsi="Times New Roman"/>
          <w:sz w:val="18"/>
          <w:szCs w:val="18"/>
          <w:color w:val="auto"/>
        </w:rPr>
        <w:t>Similar extensions are also available in certain countries and territories outside the U.S., such as in Japan, and in Europe as Supplementary Protection Certificates, or SPCs. However, we might not be granted a patent term extension at all because of failure to satisfy any of the numerous applicable requirements, including:</w:t>
      </w:r>
    </w:p>
    <w:p>
      <w:pPr>
        <w:spacing w:after="0" w:line="203"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adhere to the required filing deadlines;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a patent term extension application after the underlying patents have expired;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exercise due diligence during clinical development or regulatory review;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otherwise meet the applicable criteria.</w:t>
      </w:r>
    </w:p>
    <w:p>
      <w:pPr>
        <w:spacing w:after="0" w:line="234" w:lineRule="exact"/>
        <w:rPr>
          <w:sz w:val="20"/>
          <w:szCs w:val="20"/>
          <w:color w:val="auto"/>
        </w:rPr>
      </w:pPr>
    </w:p>
    <w:p>
      <w:pPr>
        <w:ind w:right="20" w:firstLine="1166"/>
        <w:spacing w:after="0" w:line="256" w:lineRule="auto"/>
        <w:rPr>
          <w:sz w:val="20"/>
          <w:szCs w:val="20"/>
          <w:color w:val="auto"/>
        </w:rPr>
      </w:pPr>
      <w:r>
        <w:rPr>
          <w:rFonts w:ascii="Times New Roman" w:cs="Times New Roman" w:eastAsia="Times New Roman" w:hAnsi="Times New Roman"/>
          <w:sz w:val="18"/>
          <w:szCs w:val="18"/>
          <w:color w:val="auto"/>
        </w:rPr>
        <w:t>Moreover, the applicable authorities, including the FDA and the USPTO in the U.S., and any equivalent regulatory authorities and patent offices in other countries, may not agree with our assessment of whether such extensions are available, may refuse to grant extensions to our patents, or may grant more limited extensions than we request and could be less than five years. If we select and are granted a patent term extension on a recently filed and issued patent, we may not receive the full benefit of a possible patent term extension, if at all. If we do not have sufficient patent life and regulatory exclusivity to protect RYTELO, our financial results, business and business prospects would be materially and adversely affected, which might cause us to cease operations.</w:t>
      </w:r>
    </w:p>
    <w:p>
      <w:pPr>
        <w:spacing w:after="0" w:line="214" w:lineRule="exact"/>
        <w:rPr>
          <w:sz w:val="20"/>
          <w:szCs w:val="20"/>
          <w:color w:val="auto"/>
        </w:rPr>
      </w:pPr>
    </w:p>
    <w:p>
      <w:pPr>
        <w:ind w:right="80" w:firstLine="1166"/>
        <w:spacing w:after="0" w:line="256" w:lineRule="auto"/>
        <w:rPr>
          <w:sz w:val="20"/>
          <w:szCs w:val="20"/>
          <w:color w:val="auto"/>
        </w:rPr>
      </w:pPr>
      <w:r>
        <w:rPr>
          <w:rFonts w:ascii="Times New Roman" w:cs="Times New Roman" w:eastAsia="Times New Roman" w:hAnsi="Times New Roman"/>
          <w:sz w:val="18"/>
          <w:szCs w:val="18"/>
          <w:color w:val="auto"/>
        </w:rPr>
        <w:t>In Europe and other jurisdictions, our composition of matter patent coverage expired in September 2024, and our method of treatment patent rights for MDS and MF expire in November 2033. Our method of treatment patents may be eligible for patent term extension of up to five years under an SPC, permitted under European Council (EC) Regulation No. 469/2009, or the European SPC Regulation, upon receipt of marketing authorization, such as, for example, our method of treatment patent for MDS. In Europe, we have separate method of treatment patents covering MDS and MF, and an SPC may only be applied for once with respect to a product. Accordingly, in countries of the European Economic Area, or EEA, we must rely on regulatory exclusivity and our method of treatment patents.</w:t>
      </w:r>
    </w:p>
    <w:p>
      <w:pPr>
        <w:spacing w:after="0" w:line="214" w:lineRule="exact"/>
        <w:rPr>
          <w:sz w:val="20"/>
          <w:szCs w:val="20"/>
          <w:color w:val="auto"/>
        </w:rPr>
      </w:pPr>
    </w:p>
    <w:p>
      <w:pPr>
        <w:ind w:right="180" w:firstLine="1166"/>
        <w:spacing w:after="0" w:line="256" w:lineRule="auto"/>
        <w:rPr>
          <w:sz w:val="20"/>
          <w:szCs w:val="20"/>
          <w:color w:val="auto"/>
        </w:rPr>
      </w:pPr>
      <w:r>
        <w:rPr>
          <w:rFonts w:ascii="Times New Roman" w:cs="Times New Roman" w:eastAsia="Times New Roman" w:hAnsi="Times New Roman"/>
          <w:sz w:val="18"/>
          <w:szCs w:val="18"/>
          <w:color w:val="auto"/>
        </w:rPr>
        <w:t>If regulatory approval of RYTELO occurs after a patent has expired in a country that does not allow interim patent term extensions, as is the case in many jurisdictions and territories including in Europe, we will be unable to obtain any patent term extension of that expired patent, and the duration of our patent rights may be limited. Accordingly, in Europe and such other similar jurisdictions and territories, we will not be able to seek patent term extension of our composition of matter patent, as it expired in September 2024. If we do not have sufficient patent life and regulatory exclusivity to protect RYTELO, our financial results, business and business prospects would be materially and adversely affected, which might cause us to cease operations.</w:t>
      </w:r>
    </w:p>
    <w:p>
      <w:pPr>
        <w:spacing w:after="0" w:line="214" w:lineRule="exact"/>
        <w:rPr>
          <w:sz w:val="20"/>
          <w:szCs w:val="20"/>
          <w:color w:val="auto"/>
        </w:rPr>
      </w:pPr>
    </w:p>
    <w:p>
      <w:pPr>
        <w:ind w:right="80" w:firstLine="1166"/>
        <w:spacing w:after="0" w:line="258" w:lineRule="auto"/>
        <w:rPr>
          <w:sz w:val="20"/>
          <w:szCs w:val="20"/>
          <w:color w:val="auto"/>
        </w:rPr>
      </w:pPr>
      <w:r>
        <w:rPr>
          <w:rFonts w:ascii="Times New Roman" w:cs="Times New Roman" w:eastAsia="Times New Roman" w:hAnsi="Times New Roman"/>
          <w:sz w:val="18"/>
          <w:szCs w:val="18"/>
          <w:color w:val="auto"/>
        </w:rPr>
        <w:t>Additionally, there are regulations for the listing of patents in the Approved Drug Products with Therapeutic Equivalence Evaluations, or the Orange Book. Some of our patents have been listed in the Orange Book. Manufacturers of generic drugs may challenge the listing. If an appropriate patent covering RYTELO is not listed in the Orange Book or is subsequently removed from the Orange Book, a manufacturer of generic drugs would not be required to provide advance notice to us of any abbreviated NDA filed with the FDA to obtain permission to sell a generic version of RYTELO. Any of the foregoing could harm our competitive position, business, financial condition, results of operations and prospects.</w:t>
      </w:r>
    </w:p>
    <w:p>
      <w:pPr>
        <w:spacing w:after="0" w:line="20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validity, scope and enforceability of any patents listed in the Orange Book that cover RYTELO or its methods of use can be challenged by third parties and may not protect us from generic or innovator competition.</w:t>
      </w:r>
    </w:p>
    <w:p>
      <w:pPr>
        <w:spacing w:after="0" w:line="186" w:lineRule="exact"/>
        <w:rPr>
          <w:sz w:val="20"/>
          <w:szCs w:val="20"/>
          <w:color w:val="auto"/>
        </w:rPr>
      </w:pPr>
    </w:p>
    <w:p>
      <w:pPr>
        <w:ind w:right="80" w:firstLine="1166"/>
        <w:spacing w:after="0" w:line="266" w:lineRule="auto"/>
        <w:rPr>
          <w:sz w:val="20"/>
          <w:szCs w:val="20"/>
          <w:color w:val="auto"/>
        </w:rPr>
      </w:pPr>
      <w:r>
        <w:rPr>
          <w:rFonts w:ascii="Times New Roman" w:cs="Times New Roman" w:eastAsia="Times New Roman" w:hAnsi="Times New Roman"/>
          <w:sz w:val="18"/>
          <w:szCs w:val="18"/>
          <w:color w:val="auto"/>
        </w:rPr>
        <w:t>If a third party files an application under Section 505(b)(2) of the FDCA or an abbreviated new drug application, or ANDA, under Section 505(j) to obtain permission to sell a generic or follow-on version of RYTELO, and relies in whole or in part on studies conducted by or for us, the third-party will be required to certify to the FDA that either:</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65" w:name="page66"/>
    <w:bookmarkEnd w:id="65"/>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patent information listed in the Orange Book with respect to our NDA for RYTELO; (2) the patents listed in the Orange Book have expired;</w:t>
      </w:r>
    </w:p>
    <w:p>
      <w:pPr>
        <w:spacing w:after="0" w:line="27" w:lineRule="exact"/>
        <w:rPr>
          <w:rFonts w:ascii="Times New Roman" w:cs="Times New Roman" w:eastAsia="Times New Roman" w:hAnsi="Times New Roman"/>
          <w:sz w:val="18"/>
          <w:szCs w:val="18"/>
          <w:color w:val="auto"/>
        </w:rPr>
      </w:pPr>
    </w:p>
    <w:p>
      <w:pPr>
        <w:ind w:firstLine="8"/>
        <w:spacing w:after="0" w:line="251" w:lineRule="auto"/>
        <w:tabs>
          <w:tab w:leader="none" w:pos="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patents have not expired, but will expire on a particular date and approval is sought after patent expiration; or (4) the listed patents are invalid or will not be infringed by the manufacture, use or sale of the third-party’s generic product. A certification that the new product will not infringe the Orange Book-listed patents for RYTELO, or that such patents are invalid, is called a paragraph IV certification. If the third-party submits a paragraph IV certification to the FDA, a notice of the paragraph IV certification must also be sent to us within 20 days after the third-party’s ANDA is accepted for filing by the FDA. We may then initiate a lawsuit to defend the patents identified in the notice. The filing of a patent infringement lawsuit within 45 days of receipt of the notice automatically prevents the FDA from approving the third-party’s ANDA until the earliest of 30 months after the NDA holder’s receipt of the notice of Paragraph IV Certification, the expiration of the patent, certain settlements of the lawsuit, or the court reaches a decision in the infringement lawsuit in favor of the third-party. If the product has NCE exclusivity and the notice is given and the suit filed in the fifth year of exclusivity, the regulatory stay extends until 7.5 years after approval of the reference product. If we do not file a patent infringement lawsuit within the required 45-day period, the third-party’s ANDA will not be subject to the 30-month stay of FDA approval. However, if an appropriate patent covering RYTELO is not listed in the Orange Book or is subsequently removed from the Orange Book, a manufacturer of generic drugs would not be required to provide advance notice to us of any abbreviated NDA filed with the FDA to obtain permission to sell a generic version of RYTELO. Any of the foregoing could harm our competitive position, business, financial condition, results of operations and prospects.</w:t>
      </w:r>
    </w:p>
    <w:p>
      <w:pPr>
        <w:spacing w:after="0" w:line="219" w:lineRule="exact"/>
        <w:rPr>
          <w:sz w:val="20"/>
          <w:szCs w:val="20"/>
          <w:color w:val="auto"/>
        </w:rPr>
      </w:pPr>
    </w:p>
    <w:p>
      <w:pPr>
        <w:ind w:firstLine="1166"/>
        <w:spacing w:after="0" w:line="258" w:lineRule="auto"/>
        <w:rPr>
          <w:sz w:val="20"/>
          <w:szCs w:val="20"/>
          <w:color w:val="auto"/>
        </w:rPr>
      </w:pPr>
      <w:r>
        <w:rPr>
          <w:rFonts w:ascii="Times New Roman" w:cs="Times New Roman" w:eastAsia="Times New Roman" w:hAnsi="Times New Roman"/>
          <w:sz w:val="18"/>
          <w:szCs w:val="18"/>
          <w:color w:val="auto"/>
        </w:rPr>
        <w:t>Our issued U.S. patents covering RYTELO or its methods of use may not provide adequate protection from competitive products if competitors receive approval of an ANDA application or are able to design around the patents. One or more competitors may circumvent these patents by filing a marketing application with the FDA for a competitive product containing the active moiety in RYTELO and successfully challenging the validity of the patents or successfully designing around the patents. Any successful challenge and/or designing around one or more of the patents could result in a generic version of RYTELO being commercialized before the expiration of the patents.</w:t>
      </w:r>
    </w:p>
    <w:p>
      <w:pPr>
        <w:spacing w:after="0" w:line="210" w:lineRule="exact"/>
        <w:rPr>
          <w:sz w:val="20"/>
          <w:szCs w:val="20"/>
          <w:color w:val="auto"/>
        </w:rPr>
      </w:pPr>
    </w:p>
    <w:p>
      <w:pPr>
        <w:ind w:right="60" w:firstLine="1166"/>
        <w:spacing w:after="0" w:line="266" w:lineRule="auto"/>
        <w:rPr>
          <w:sz w:val="20"/>
          <w:szCs w:val="20"/>
          <w:color w:val="auto"/>
        </w:rPr>
      </w:pPr>
      <w:r>
        <w:rPr>
          <w:rFonts w:ascii="Times New Roman" w:cs="Times New Roman" w:eastAsia="Times New Roman" w:hAnsi="Times New Roman"/>
          <w:sz w:val="18"/>
          <w:szCs w:val="18"/>
          <w:color w:val="auto"/>
        </w:rPr>
        <w:t>If the patents covering RYTELO or its methods of use are successfully challenged or designed around, or if we are unsuccessful in enforcing our patents against generics, we could face competition prior to the expiration of these patents, which could have a material adverse effect on our business, financial condition, results of operations and prospects.</w:t>
      </w:r>
    </w:p>
    <w:p>
      <w:pPr>
        <w:spacing w:after="0" w:line="19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or international patent law or interpretations of such patent laws could diminish the value of our patents in general, thereby impairing our ability to protect our technologies and RYTELO.</w:t>
      </w:r>
    </w:p>
    <w:p>
      <w:pPr>
        <w:spacing w:after="0" w:line="186" w:lineRule="exact"/>
        <w:rPr>
          <w:sz w:val="20"/>
          <w:szCs w:val="20"/>
          <w:color w:val="auto"/>
        </w:rPr>
      </w:pPr>
    </w:p>
    <w:p>
      <w:pPr>
        <w:jc w:val="both"/>
        <w:ind w:right="80" w:firstLine="1166"/>
        <w:spacing w:after="0" w:line="266" w:lineRule="auto"/>
        <w:rPr>
          <w:sz w:val="20"/>
          <w:szCs w:val="20"/>
          <w:color w:val="auto"/>
        </w:rPr>
      </w:pPr>
      <w:r>
        <w:rPr>
          <w:rFonts w:ascii="Times New Roman" w:cs="Times New Roman" w:eastAsia="Times New Roman" w:hAnsi="Times New Roman"/>
          <w:sz w:val="18"/>
          <w:szCs w:val="18"/>
          <w:color w:val="auto"/>
        </w:rPr>
        <w:t>The patent positions of pharmaceutical and biopharmaceutical companies, including ours, are highly uncertain and involve complex legal and technical questions. In particular, legal principles for biotechnology and pharmaceutical patents in the U.S. and in other countries are evolving, and the extent to which we will be able to obtain patent coverage to protect our technologies and RYTELO, or enforce or defend issued patents, is uncertain.</w:t>
      </w:r>
    </w:p>
    <w:p>
      <w:pPr>
        <w:spacing w:after="0" w:line="203" w:lineRule="exact"/>
        <w:rPr>
          <w:sz w:val="20"/>
          <w:szCs w:val="20"/>
          <w:color w:val="auto"/>
        </w:rPr>
      </w:pPr>
    </w:p>
    <w:p>
      <w:pPr>
        <w:ind w:right="60" w:firstLine="1166"/>
        <w:spacing w:after="0" w:line="254" w:lineRule="auto"/>
        <w:rPr>
          <w:sz w:val="20"/>
          <w:szCs w:val="20"/>
          <w:color w:val="auto"/>
        </w:rPr>
      </w:pPr>
      <w:r>
        <w:rPr>
          <w:rFonts w:ascii="Times New Roman" w:cs="Times New Roman" w:eastAsia="Times New Roman" w:hAnsi="Times New Roman"/>
          <w:sz w:val="18"/>
          <w:szCs w:val="18"/>
          <w:color w:val="auto"/>
        </w:rPr>
        <w:t>For instance, the U.S. has enacted and implemented wide-ranging patent reform legislation, including AIA, signed into law on September 16, 2011. The U.S. Supreme Court has ruled on several patent cases in recent years, either narrowing the scope of patent protection available in certain circumstances or weakening the rights of patent owners in certain situations. Depending on actions by Congress, the federal courts, and the USPTO, the laws and regulations governing patents could change in unpredictable ways that would weaken our ability to obtain new patents or to enforce our existing patents or patents that we might obtain in the future. Similarly, changes in patent law, regulations in other jurisdictions or the governmental bodies that enforce them or changes in how the relevant governmental authority enforces patent laws or regulations may weaken our ability to obtain new patents or to enforce our existing patents or patents that we may obtain in the future. Occurrence of these events and/or significant impairment of our RYTELO patent rights could severely and adversely affect our financial results, business and business prospects, which might cause us to cease operations.</w:t>
      </w:r>
    </w:p>
    <w:p>
      <w:pPr>
        <w:spacing w:after="0" w:line="219" w:lineRule="exact"/>
        <w:rPr>
          <w:sz w:val="20"/>
          <w:szCs w:val="20"/>
          <w:color w:val="auto"/>
        </w:rPr>
      </w:pPr>
    </w:p>
    <w:p>
      <w:pPr>
        <w:ind w:right="40" w:firstLine="1166"/>
        <w:spacing w:after="0" w:line="255" w:lineRule="auto"/>
        <w:rPr>
          <w:sz w:val="20"/>
          <w:szCs w:val="20"/>
          <w:color w:val="auto"/>
        </w:rPr>
      </w:pPr>
      <w:r>
        <w:rPr>
          <w:rFonts w:ascii="Times New Roman" w:cs="Times New Roman" w:eastAsia="Times New Roman" w:hAnsi="Times New Roman"/>
          <w:sz w:val="18"/>
          <w:szCs w:val="18"/>
          <w:color w:val="auto"/>
        </w:rPr>
        <w:t>In 2012, the European Patent Package, or EU Patent Package, was approved and included regulations with the goal of providing for the possibility of a single Unitary Patent covering the Contracting Member States, and a new Unified Patent Court, or UPC, for litigation of Unitary Patents and as well as European patents not opted out from the UPC system. The EU Patent Package entered into force fully in June 2023 and currently covers 18 EU Member States. As of June 1, 2023, all European patents, including those issued prior to June 1, 2023 in principle fall under the jurisdiction of the UPC and allow for the possibility of obtaining injunctions for the UPC Member States and are at risk of central revocation at the UPC in participating UPC Member States. Under the EU Patent Package, patent holders are permitted to “opt out” their European patents (but not their Unitary Patents) from the UPC on a patent-by-patent basis during an initial seven year</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6" w:name="page67"/>
    <w:bookmarkEnd w:id="66"/>
    <w:p>
      <w:pPr>
        <w:spacing w:after="0" w:line="258" w:lineRule="auto"/>
        <w:rPr>
          <w:sz w:val="20"/>
          <w:szCs w:val="20"/>
          <w:color w:val="auto"/>
        </w:rPr>
      </w:pPr>
      <w:r>
        <w:rPr>
          <w:rFonts w:ascii="Times New Roman" w:cs="Times New Roman" w:eastAsia="Times New Roman" w:hAnsi="Times New Roman"/>
          <w:sz w:val="18"/>
          <w:szCs w:val="18"/>
          <w:color w:val="auto"/>
        </w:rPr>
        <w:t>transitional period after June 1, 2023. Owners of European patent applications who receive notice of grant after the EU Patent Package came into effect could, for the UPC Member States, either obtain a Unitary Patent or validate the European patent nationally and optionally file an opt-out demand. The EU Patent Package may increase the uncertainties and costs surrounding the enforcement or defense of our issued European patents and pending applications. The full impact on future European patent filing strategy and the enforcement or defense of our issued European patents in European jurisdictions and/or the UPC is not fully known.</w:t>
      </w:r>
    </w:p>
    <w:p>
      <w:pPr>
        <w:spacing w:after="0" w:line="197" w:lineRule="exact"/>
        <w:rPr>
          <w:sz w:val="20"/>
          <w:szCs w:val="20"/>
          <w:color w:val="auto"/>
        </w:rPr>
      </w:pPr>
    </w:p>
    <w:p>
      <w:pPr>
        <w:ind w:right="80" w:firstLine="1166"/>
        <w:spacing w:after="0" w:line="245" w:lineRule="auto"/>
        <w:rPr>
          <w:sz w:val="20"/>
          <w:szCs w:val="20"/>
          <w:color w:val="auto"/>
        </w:rPr>
      </w:pPr>
      <w:r>
        <w:rPr>
          <w:rFonts w:ascii="Times New Roman" w:cs="Times New Roman" w:eastAsia="Times New Roman" w:hAnsi="Times New Roman"/>
          <w:sz w:val="18"/>
          <w:szCs w:val="18"/>
          <w:color w:val="auto"/>
        </w:rPr>
        <w:t>Filing, prosecuting, maintaining, defending and enforcing patents for RYTELO and our technologies in all countries throughout the world would be prohibitively expensive, and our intellectual property rights in some countries outside the U.S. are less extensive than those in the U.S. The requirements for patentability may differ in certain countries, particularly in developing countries; thus, even in countries where we do pursue patent protection, there can be no assurance that any patents will be issued with claims that cover RYTELO and our technologies.</w:t>
      </w:r>
    </w:p>
    <w:p>
      <w:pPr>
        <w:spacing w:after="0" w:line="2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other intellectual property rights, which could be expensive, time consuming and unsuccessful, and which could result in the invalidity or unenforceability of our patents covering RYTELO or its methods of use.</w:t>
      </w:r>
    </w:p>
    <w:p>
      <w:pPr>
        <w:spacing w:after="0" w:line="186" w:lineRule="exact"/>
        <w:rPr>
          <w:sz w:val="20"/>
          <w:szCs w:val="20"/>
          <w:color w:val="auto"/>
        </w:rPr>
      </w:pPr>
    </w:p>
    <w:p>
      <w:pPr>
        <w:ind w:right="80" w:firstLine="1166"/>
        <w:spacing w:after="0" w:line="266" w:lineRule="auto"/>
        <w:rPr>
          <w:sz w:val="20"/>
          <w:szCs w:val="20"/>
          <w:color w:val="auto"/>
        </w:rPr>
      </w:pPr>
      <w:r>
        <w:rPr>
          <w:rFonts w:ascii="Times New Roman" w:cs="Times New Roman" w:eastAsia="Times New Roman" w:hAnsi="Times New Roman"/>
          <w:sz w:val="18"/>
          <w:szCs w:val="18"/>
          <w:color w:val="auto"/>
        </w:rPr>
        <w:t>Competitors may infringe, misappropriate or otherwise violate our patents or other intellectual property rights. To counter infringement or unauthorized use, we may be required to file and prosecute legal claims against one or more third parties, which can be expensive and time-consuming, even if ultimately successful.</w:t>
      </w:r>
    </w:p>
    <w:p>
      <w:pPr>
        <w:spacing w:after="0" w:line="203" w:lineRule="exact"/>
        <w:rPr>
          <w:sz w:val="20"/>
          <w:szCs w:val="20"/>
          <w:color w:val="auto"/>
        </w:rPr>
      </w:pPr>
    </w:p>
    <w:p>
      <w:pPr>
        <w:ind w:right="20" w:firstLine="1166"/>
        <w:spacing w:after="0" w:line="255" w:lineRule="auto"/>
        <w:rPr>
          <w:sz w:val="20"/>
          <w:szCs w:val="20"/>
          <w:color w:val="auto"/>
        </w:rPr>
      </w:pPr>
      <w:r>
        <w:rPr>
          <w:rFonts w:ascii="Times New Roman" w:cs="Times New Roman" w:eastAsia="Times New Roman" w:hAnsi="Times New Roman"/>
          <w:sz w:val="18"/>
          <w:szCs w:val="18"/>
          <w:color w:val="auto"/>
        </w:rPr>
        <w:t>The initiation of a claim against a third party by us may also cause the third party to bring counter claims against us, such as claims asserting that our patents are invalid or unenforceable. Grounds for a validity challenge could be an alleged failure to meet any of several statutory requirements, including lack of novelty, obviousness, non-enablement or lack of written description or non-statutory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partes review, or IPR, or post-grant review, or oppositions or similar proceedings outside the U.S., in parallel with litigation or even outside the context of litigation.</w:t>
      </w:r>
    </w:p>
    <w:p>
      <w:pPr>
        <w:spacing w:after="0" w:line="216" w:lineRule="exact"/>
        <w:rPr>
          <w:sz w:val="20"/>
          <w:szCs w:val="20"/>
          <w:color w:val="auto"/>
        </w:rPr>
      </w:pPr>
    </w:p>
    <w:p>
      <w:pPr>
        <w:ind w:right="20" w:firstLine="1166"/>
        <w:spacing w:after="0" w:line="254" w:lineRule="auto"/>
        <w:rPr>
          <w:sz w:val="20"/>
          <w:szCs w:val="20"/>
          <w:color w:val="auto"/>
        </w:rPr>
      </w:pPr>
      <w:r>
        <w:rPr>
          <w:rFonts w:ascii="Times New Roman" w:cs="Times New Roman" w:eastAsia="Times New Roman" w:hAnsi="Times New Roman"/>
          <w:sz w:val="18"/>
          <w:szCs w:val="18"/>
          <w:color w:val="auto"/>
        </w:rPr>
        <w:t>In an infringement proceeding, a court may decide that a patent of ours is not valid or is unenforceable, or may refuse to stop the other party from using the technology at issue on the grounds that our patents do not cover the technology in question. The standards that courts use to interpret patents are not always applied predictably or uniformly and can change, particularly as new technologies develop. As a result, we cannot predict with certainty how much protection, if any, will be given to our patents if we attempt to enforce them and they are challenged in court and if any such lawsuits will ultimately be resolved successfully. Further, even if we prevail, the infringer may file an appeal and the court judgment may be overturned and/or that an adverse decision may be issued by an appeals court relating to the validity or enforceability of our patents. An adverse result in any litigation or defense proceedings could put one or more of our patents at risk of being invalidated or interpreted narrowly in a manner insufficient to achieve our business objectives. Even if we establish infringement, we may not seek, or the court may decide not to grant, an injunction against further infringing activity and instead award only monetary damages, which may or may not be an adequate remedy.</w:t>
      </w:r>
    </w:p>
    <w:p>
      <w:pPr>
        <w:spacing w:after="0" w:line="215" w:lineRule="exact"/>
        <w:rPr>
          <w:sz w:val="20"/>
          <w:szCs w:val="20"/>
          <w:color w:val="auto"/>
        </w:rPr>
      </w:pPr>
    </w:p>
    <w:p>
      <w:pPr>
        <w:ind w:right="80" w:firstLine="1166"/>
        <w:spacing w:after="0" w:line="266" w:lineRule="auto"/>
        <w:rPr>
          <w:sz w:val="20"/>
          <w:szCs w:val="20"/>
          <w:color w:val="auto"/>
        </w:rPr>
      </w:pPr>
      <w:r>
        <w:rPr>
          <w:rFonts w:ascii="Times New Roman" w:cs="Times New Roman" w:eastAsia="Times New Roman" w:hAnsi="Times New Roman"/>
          <w:sz w:val="18"/>
          <w:szCs w:val="18"/>
          <w:color w:val="auto"/>
        </w:rPr>
        <w:t>If a defendant were to prevail on a legal assertion of invalidity or unenforceability, we would lose at least part, and perhaps all, of any future patent protection for RYTELO, which could have a material adverse effect on our business, financial condition, results of operations and prospects. Additionally, any adverse outcome could allow third parties to commercialize RYTELO and compete directly with us, without payment to us.</w:t>
      </w:r>
    </w:p>
    <w:p>
      <w:pPr>
        <w:spacing w:after="0" w:line="203" w:lineRule="exact"/>
        <w:rPr>
          <w:sz w:val="20"/>
          <w:szCs w:val="20"/>
          <w:color w:val="auto"/>
        </w:rPr>
      </w:pPr>
    </w:p>
    <w:p>
      <w:pPr>
        <w:jc w:val="both"/>
        <w:ind w:right="360" w:firstLine="1166"/>
        <w:spacing w:after="0" w:line="266" w:lineRule="auto"/>
        <w:rPr>
          <w:sz w:val="20"/>
          <w:szCs w:val="20"/>
          <w:color w:val="auto"/>
        </w:rPr>
      </w:pPr>
      <w:r>
        <w:rPr>
          <w:rFonts w:ascii="Times New Roman" w:cs="Times New Roman" w:eastAsia="Times New Roman" w:hAnsi="Times New Roman"/>
          <w:sz w:val="18"/>
          <w:szCs w:val="18"/>
          <w:color w:val="auto"/>
        </w:rPr>
        <w:t>Furthermore, if we are engaged in intellectual property litigation, there would be public announcements of filings, briefings, hearings, motions or other interim proceedings or developments. If securities analysts or investors perceive these events to be negative, it could have an adverse effect on the price of our common stock.</w:t>
      </w:r>
    </w:p>
    <w:p>
      <w:pPr>
        <w:spacing w:after="0" w:line="203" w:lineRule="exact"/>
        <w:rPr>
          <w:sz w:val="20"/>
          <w:szCs w:val="20"/>
          <w:color w:val="auto"/>
        </w:rPr>
      </w:pPr>
    </w:p>
    <w:p>
      <w:pPr>
        <w:ind w:right="40" w:firstLine="1134"/>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jurisdictions outside the U.S.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proprietary rights generally. For example, many countries outside the U.S. have compulsory licensing laws under which a patent owner must grant licenses to third parties. Proceedings to enforce our patent rights in jurisdictions outside the U.S. could result in substantial costs and divert our efforts and attention from other aspects of our business, and could put our patents at risk of being invalidated or interpreted narrowly.</w:t>
      </w:r>
    </w:p>
    <w:p>
      <w:pPr>
        <w:spacing w:after="0" w:line="3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7" w:right="399" w:bottom="1440" w:gutter="0" w:footer="0" w:header="0"/>
        </w:sectPr>
      </w:pPr>
    </w:p>
    <w:bookmarkStart w:id="67" w:name="page68"/>
    <w:bookmarkEnd w:id="67"/>
    <w:p>
      <w:pPr>
        <w:ind w:right="60"/>
        <w:spacing w:after="0" w:line="282" w:lineRule="auto"/>
        <w:rPr>
          <w:sz w:val="20"/>
          <w:szCs w:val="20"/>
          <w:color w:val="auto"/>
        </w:rPr>
      </w:pPr>
      <w:r>
        <w:rPr>
          <w:rFonts w:ascii="Times New Roman" w:cs="Times New Roman" w:eastAsia="Times New Roman" w:hAnsi="Times New Roman"/>
          <w:sz w:val="18"/>
          <w:szCs w:val="18"/>
          <w:color w:val="auto"/>
        </w:rPr>
        <w:t>We may not be able to protect our intellectual property rights in the U.S or worldwide and challenges to our owned or licensed patent rights would result in costly and time-consuming legal proceedings that could prevent or limit development or commercialization of RYTELO.</w:t>
      </w:r>
    </w:p>
    <w:p>
      <w:pPr>
        <w:spacing w:after="0" w:line="189" w:lineRule="exact"/>
        <w:rPr>
          <w:sz w:val="20"/>
          <w:szCs w:val="20"/>
          <w:color w:val="auto"/>
        </w:rPr>
      </w:pPr>
    </w:p>
    <w:p>
      <w:pPr>
        <w:ind w:right="20" w:firstLine="1166"/>
        <w:spacing w:after="0" w:line="254" w:lineRule="auto"/>
        <w:rPr>
          <w:sz w:val="20"/>
          <w:szCs w:val="20"/>
          <w:color w:val="auto"/>
        </w:rPr>
      </w:pPr>
      <w:r>
        <w:rPr>
          <w:rFonts w:ascii="Times New Roman" w:cs="Times New Roman" w:eastAsia="Times New Roman" w:hAnsi="Times New Roman"/>
          <w:sz w:val="18"/>
          <w:szCs w:val="18"/>
          <w:color w:val="auto"/>
        </w:rPr>
        <w:t>Our patents or those patent rights we have licensed, including patent rights that we may seek with respect to inventions made by past or future collaborators, may be challenged through administrative or judicial proceedings, which could result in the loss of important patent rights. For example, where more than one party seeks U.S. patent protection for the same technology in patent applications that are subject to the law before the implementation of the AIA, the USPTO may declare an interference proceeding in order to ascertain the party to which the patent should be issued. Patent interferences are typically complex, highly contested legal proceedings, subject to appeal. They are usually expensive and prolonged and can cause significant delays in the issuance of patents. Our pending patent applications or our issued patents, or those we have licensed and may license from others, may be drawn into interference proceedings or be challenged through post-grant review procedures or litigation, any of which could delay or prevent the issuance of patents, or result in the loss of issued patent rights. We may not be able to obtain from our past or future collaborators the information needed to support our patent rights which could result in the loss of important patent rights.</w:t>
      </w:r>
    </w:p>
    <w:p>
      <w:pPr>
        <w:spacing w:after="0" w:line="215" w:lineRule="exact"/>
        <w:rPr>
          <w:sz w:val="20"/>
          <w:szCs w:val="20"/>
          <w:color w:val="auto"/>
        </w:rPr>
      </w:pPr>
    </w:p>
    <w:p>
      <w:pPr>
        <w:ind w:right="20" w:firstLine="1166"/>
        <w:spacing w:after="0" w:line="254" w:lineRule="auto"/>
        <w:rPr>
          <w:sz w:val="20"/>
          <w:szCs w:val="20"/>
          <w:color w:val="auto"/>
        </w:rPr>
      </w:pPr>
      <w:r>
        <w:rPr>
          <w:rFonts w:ascii="Times New Roman" w:cs="Times New Roman" w:eastAsia="Times New Roman" w:hAnsi="Times New Roman"/>
          <w:sz w:val="18"/>
          <w:szCs w:val="18"/>
          <w:color w:val="auto"/>
        </w:rPr>
        <w:t>Under the AIA, interference proceedings between patent applications filed on or after March 16, 2013, have been replaced with other types of proceedings, including derivation proceedings. The AIA also includes post-grant review procedures subjecting U.S. patents to post-grant review procedures similar to European oppositions, such as IPR, covered business method post-grant reviews and other post-grant reviews. This applies to all our U.S. patents and those we have licensed and may license from others, even those issued before March 16, 2013. A third party could attempt to use the USPTO procedures to invalidate patent claims that would not have been invalidated if first challenged by the third party as a defendant in a district court action. U.S. patents owned or licensed by us may therefore be subject to post-grant review procedures, as well as other forms of review and re-examination. In addition, the IPR process under the AIA permits any person, whether they are accused of infringing the patent at issue or not, such as entities associated with hedge funds, to challenge the validity of certain patents. Significant impairment of our RYTELO patent rights could severely and adversely affect our financial results, business and business prospects, which might cause us to cease operations.</w:t>
      </w:r>
    </w:p>
    <w:p>
      <w:pPr>
        <w:spacing w:after="0" w:line="215" w:lineRule="exact"/>
        <w:rPr>
          <w:sz w:val="20"/>
          <w:szCs w:val="20"/>
          <w:color w:val="auto"/>
        </w:rPr>
      </w:pPr>
    </w:p>
    <w:p>
      <w:pPr>
        <w:jc w:val="both"/>
        <w:ind w:right="540" w:firstLine="1166"/>
        <w:spacing w:after="0" w:line="266" w:lineRule="auto"/>
        <w:rPr>
          <w:sz w:val="20"/>
          <w:szCs w:val="20"/>
          <w:color w:val="auto"/>
        </w:rPr>
      </w:pPr>
      <w:r>
        <w:rPr>
          <w:rFonts w:ascii="Times New Roman" w:cs="Times New Roman" w:eastAsia="Times New Roman" w:hAnsi="Times New Roman"/>
          <w:sz w:val="18"/>
          <w:szCs w:val="18"/>
          <w:color w:val="auto"/>
        </w:rPr>
        <w:t>Certain jurisdictions, such as Europe, China, Japan, New Zealand and Australia, permit third parties to file third party observations, oppositions or invalidation trials against granted patents and/or patent applications. Because we seek to enable potential global commercialization of RYTELO, securing both proprietary protection and freedom to operate outside of the U.S. is important to our business.</w:t>
      </w:r>
    </w:p>
    <w:p>
      <w:pPr>
        <w:spacing w:after="0" w:line="203" w:lineRule="exact"/>
        <w:rPr>
          <w:sz w:val="20"/>
          <w:szCs w:val="20"/>
          <w:color w:val="auto"/>
        </w:rPr>
      </w:pPr>
    </w:p>
    <w:p>
      <w:pPr>
        <w:ind w:right="40" w:firstLine="1166"/>
        <w:spacing w:after="0" w:line="266" w:lineRule="auto"/>
        <w:rPr>
          <w:sz w:val="20"/>
          <w:szCs w:val="20"/>
          <w:color w:val="auto"/>
        </w:rPr>
      </w:pPr>
      <w:r>
        <w:rPr>
          <w:rFonts w:ascii="Times New Roman" w:cs="Times New Roman" w:eastAsia="Times New Roman" w:hAnsi="Times New Roman"/>
          <w:sz w:val="18"/>
          <w:szCs w:val="18"/>
          <w:color w:val="auto"/>
        </w:rPr>
        <w:t>Third party proceedings such as oppositions and invalidation trials require significant time and costs, and if we are unsuccessful or are unable to commit these types of resources to protect our RYTELO patent rights, we could lose our patent rights and we could be prevented or limited in the development and commercialization of RYTELO.</w:t>
      </w:r>
    </w:p>
    <w:p>
      <w:pPr>
        <w:spacing w:after="0" w:line="203" w:lineRule="exact"/>
        <w:rPr>
          <w:sz w:val="20"/>
          <w:szCs w:val="20"/>
          <w:color w:val="auto"/>
        </w:rPr>
      </w:pPr>
    </w:p>
    <w:p>
      <w:pPr>
        <w:ind w:firstLine="1166"/>
        <w:spacing w:after="0" w:line="256" w:lineRule="auto"/>
        <w:rPr>
          <w:sz w:val="20"/>
          <w:szCs w:val="20"/>
          <w:color w:val="auto"/>
        </w:rPr>
      </w:pPr>
      <w:r>
        <w:rPr>
          <w:rFonts w:ascii="Times New Roman" w:cs="Times New Roman" w:eastAsia="Times New Roman" w:hAnsi="Times New Roman"/>
          <w:sz w:val="18"/>
          <w:szCs w:val="18"/>
          <w:color w:val="auto"/>
        </w:rPr>
        <w:t>As more groups become engaged in scientific research and product development in the areas of telomerase biology and hematologic malignancies, the risk of our patents, or patents that we have in-licensed, being challenged through patent interferences, derivation proceedings, IPRs, post-grant proceedings, oppositions, invalidation trials, re-examinations, litigation or other means will likely increase. Challenges to our patents through these procedures would be extremely expensive and time-consuming, even if the outcome was favorable to us. An adverse outcome in a patent dispute could severely harm our ability to further develop or commercialize RYTELO, or could otherwise have a material adverse effect on our business, and might cause us to cease operations, by:</w:t>
      </w:r>
    </w:p>
    <w:p>
      <w:pPr>
        <w:spacing w:after="0" w:line="214"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us to lose patent rights in the relevant jurisdiction(s);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litigation, or other types of proceedings aimed at preventing us from commercializing RYTELO in the relevant jurisdiction(s);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obtain licenses to certain patents and patent applications;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forcing us to cease using the disputed technology;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develop or obtain alternative technologies.</w:t>
      </w:r>
    </w:p>
    <w:p>
      <w:pPr>
        <w:spacing w:after="0" w:line="23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infringement claims that are costly to defend, and such claims may limit our ability to use disputed technologies and prevent us from pursuing research, development, manufacturing or commercialization of RYTELO.</w:t>
      </w:r>
    </w:p>
    <w:p>
      <w:pPr>
        <w:spacing w:after="0" w:line="186" w:lineRule="exact"/>
        <w:rPr>
          <w:sz w:val="20"/>
          <w:szCs w:val="20"/>
          <w:color w:val="auto"/>
        </w:rPr>
      </w:pPr>
    </w:p>
    <w:p>
      <w:pPr>
        <w:ind w:right="180" w:firstLine="1166"/>
        <w:spacing w:after="0" w:line="266" w:lineRule="auto"/>
        <w:rPr>
          <w:sz w:val="20"/>
          <w:szCs w:val="20"/>
          <w:color w:val="auto"/>
        </w:rPr>
      </w:pPr>
      <w:r>
        <w:rPr>
          <w:rFonts w:ascii="Times New Roman" w:cs="Times New Roman" w:eastAsia="Times New Roman" w:hAnsi="Times New Roman"/>
          <w:sz w:val="18"/>
          <w:szCs w:val="18"/>
          <w:color w:val="auto"/>
        </w:rPr>
        <w:t>The commercial success of RYTELO will depend upon our ability to research, develop, manufacture, market and sell RYTELO without infringing or otherwise violating the intellectual property and other proprietary rights of third parties. There is considerable intellectual property litigation in the biotechnology and pharmaceutical industries, and</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8" w:name="page69"/>
    <w:bookmarkEnd w:id="68"/>
    <w:p>
      <w:pPr>
        <w:ind w:right="100"/>
        <w:spacing w:after="0" w:line="256" w:lineRule="auto"/>
        <w:rPr>
          <w:sz w:val="20"/>
          <w:szCs w:val="20"/>
          <w:color w:val="auto"/>
        </w:rPr>
      </w:pPr>
      <w:r>
        <w:rPr>
          <w:rFonts w:ascii="Times New Roman" w:cs="Times New Roman" w:eastAsia="Times New Roman" w:hAnsi="Times New Roman"/>
          <w:sz w:val="18"/>
          <w:szCs w:val="18"/>
          <w:color w:val="auto"/>
        </w:rPr>
        <w:t>many pharmaceutical companies, including potential competitors, have substantial patent portfolios. Since we cannot be aware of all intellectual property rights potentially relating to RYTELO and its uses, we do not know with certainty that RYTELO, or the commercialization thereof, does not and will not infringe or otherwise violate any third party’s intellectual property. For example, we are aware that certain third parties have or may be prosecuting patents and patent estates that may relate to RYTELO, and while these patents have expired, or we believe that a reasonable court should find they are invalid and/or would not be infringed by the manufacture, use or sale of RYTELO, it is possible that the owner(s) of these patents will assert claims against us in the future.</w:t>
      </w:r>
    </w:p>
    <w:p>
      <w:pPr>
        <w:spacing w:after="0" w:line="214" w:lineRule="exact"/>
        <w:rPr>
          <w:sz w:val="20"/>
          <w:szCs w:val="20"/>
          <w:color w:val="auto"/>
        </w:rPr>
      </w:pPr>
    </w:p>
    <w:p>
      <w:pPr>
        <w:ind w:right="40" w:firstLine="1166"/>
        <w:spacing w:after="0" w:line="258" w:lineRule="auto"/>
        <w:rPr>
          <w:sz w:val="20"/>
          <w:szCs w:val="20"/>
          <w:color w:val="auto"/>
        </w:rPr>
      </w:pPr>
      <w:r>
        <w:rPr>
          <w:rFonts w:ascii="Times New Roman" w:cs="Times New Roman" w:eastAsia="Times New Roman" w:hAnsi="Times New Roman"/>
          <w:sz w:val="18"/>
          <w:szCs w:val="18"/>
          <w:color w:val="auto"/>
        </w:rPr>
        <w:t>In the event our technologies infringe the rights of others or require the use of discoveries and technologies controlled by third parties, we may be prevented from pursuing research, development, manufacturing or commercialization of RYTELO, or may be required to obtain unblocking licenses from such third parties, develop alternative non-infringing technologies, which we may not be able to do at an acceptable cost or on acceptable terms, or at all, or cease the commercialization and continued development of RYTELO. If we are unable to resolve an infringement claim successfully, we could be subject to an injunction that would prevent us from commercializing RYTELO and could also require us to pay substantial damages.</w:t>
      </w:r>
    </w:p>
    <w:p>
      <w:pPr>
        <w:spacing w:after="0" w:line="210" w:lineRule="exact"/>
        <w:rPr>
          <w:sz w:val="20"/>
          <w:szCs w:val="20"/>
          <w:color w:val="auto"/>
        </w:rPr>
      </w:pPr>
    </w:p>
    <w:p>
      <w:pPr>
        <w:ind w:right="20" w:firstLine="1166"/>
        <w:spacing w:after="0" w:line="261" w:lineRule="auto"/>
        <w:rPr>
          <w:sz w:val="20"/>
          <w:szCs w:val="20"/>
          <w:color w:val="auto"/>
        </w:rPr>
      </w:pPr>
      <w:r>
        <w:rPr>
          <w:rFonts w:ascii="Times New Roman" w:cs="Times New Roman" w:eastAsia="Times New Roman" w:hAnsi="Times New Roman"/>
          <w:sz w:val="18"/>
          <w:szCs w:val="18"/>
          <w:color w:val="auto"/>
        </w:rPr>
        <w:t>In addition, while our past collaboration agreements have terminated, we are still subject to indemnification obligations to certain collaborators, including with respect to claims of third-party patent infringement. In addition to infringement claims, in the future we may also be subject to other claims relating to intellectual property, such as claims that we have misappropriated the trade secrets of third parties. Our success therefore depends significantly on our ability to operate without infringing patents and the proprietary rights of others.</w:t>
      </w:r>
    </w:p>
    <w:p>
      <w:pPr>
        <w:spacing w:after="0" w:line="207" w:lineRule="exact"/>
        <w:rPr>
          <w:sz w:val="20"/>
          <w:szCs w:val="20"/>
          <w:color w:val="auto"/>
        </w:rPr>
      </w:pPr>
    </w:p>
    <w:p>
      <w:pPr>
        <w:ind w:firstLine="1166"/>
        <w:spacing w:after="0" w:line="253" w:lineRule="auto"/>
        <w:rPr>
          <w:sz w:val="20"/>
          <w:szCs w:val="20"/>
          <w:color w:val="auto"/>
        </w:rPr>
      </w:pPr>
      <w:r>
        <w:rPr>
          <w:rFonts w:ascii="Times New Roman" w:cs="Times New Roman" w:eastAsia="Times New Roman" w:hAnsi="Times New Roman"/>
          <w:sz w:val="18"/>
          <w:szCs w:val="18"/>
          <w:color w:val="auto"/>
        </w:rPr>
        <w:t>We may become aware of discoveries and technologies controlled by third parties that are advantageous or necessary to further develop or manufacture RYTELO. Under such circumstances, we may initiate negotiations for licenses to other technologies as the need or opportunity arises. We may not be able to obtain a license to a technology required to pursue the research, development, manufacturing or commercialization of RYTELO on commercially favorable terms, or at all, or such licenses may be terminated on certain grounds, including as a result of our failure to comply with any material obligations under such licenses. If we do not obtain a necessary license or if such a license is terminated, we may need to redesign such technologies or obtain rights to alternative technologies, which may not be possible, and even if possible, could cause further delays in the development efforts for RYTELO and could increase the development and/or production costs of RYTELO. In cases where we are unable to license necessary technologies, we could be subject to litigation and prevented from pursuing research, development, manufacturing or commercialization of RYTELO, which would materially and adversely impact our business. Failure by us to obtain rights to alternative technologies or a license to any technology that may be required to pursue research, development, manufacturing or commercialization of RYTELO would further delay current and potential future clinical trials of RYTELO and any applications for regulatory approval, impair our ability to sell RYTELO, and therefore result in decreased sales of RYTELO for us. Occurrence of any of these events could materially and adversely affect our business and might cause us to cease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registered trademark, RYTELO, for our product and failure to maintain such trademark could adversely affect our business.</w:t>
      </w:r>
    </w:p>
    <w:p>
      <w:pPr>
        <w:spacing w:after="0" w:line="256" w:lineRule="exact"/>
        <w:rPr>
          <w:sz w:val="20"/>
          <w:szCs w:val="20"/>
          <w:color w:val="auto"/>
        </w:rPr>
      </w:pPr>
    </w:p>
    <w:p>
      <w:pPr>
        <w:ind w:right="20" w:firstLine="1166"/>
        <w:spacing w:after="0" w:line="253" w:lineRule="auto"/>
        <w:rPr>
          <w:sz w:val="20"/>
          <w:szCs w:val="20"/>
          <w:color w:val="auto"/>
        </w:rPr>
      </w:pPr>
      <w:r>
        <w:rPr>
          <w:rFonts w:ascii="Times New Roman" w:cs="Times New Roman" w:eastAsia="Times New Roman" w:hAnsi="Times New Roman"/>
          <w:sz w:val="18"/>
          <w:szCs w:val="18"/>
          <w:color w:val="auto"/>
        </w:rPr>
        <w:t>We have a registered trademark, RYTELO, which is the commercial trade name for imetelstat, in a number of countries and regions, including in the U.S. and Europe. Our product trademark, RYTELO, is approved for use as name of the imetelstat medicinal product by the FDA and the EC. Opposition or cancellation proceedings, however, may be filed against our trademarks, and our trademarks may not survive such proceedings. If our U.S. trademark application which forms the basis for our international registration, or IR, for our commercial trade name is withdrawn or abandoned within the first five years of our IR, we will lose our IR registrations which could adversely affect our business. We may be unable to maintain or enforce our current and future trademarks, and if we fail to satisfy the applicable regulatory requirements, we may not have enforceable trademark rights or registrations in such jurisdictions.</w:t>
      </w:r>
    </w:p>
    <w:p>
      <w:pPr>
        <w:spacing w:after="0" w:line="3"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We may become involved in disputes with past or future collaborator(s) over intellectual property inventorship, ownership or use, and publications by us, or by investigators, scientific consultants, research collaborators or others. Such disputes could impair our ability to obtain patent protection or protect our proprietary information, which, in either case, could have a significant impact on our business.</w:t>
      </w:r>
    </w:p>
    <w:p>
      <w:pPr>
        <w:spacing w:after="0" w:line="213" w:lineRule="exact"/>
        <w:rPr>
          <w:sz w:val="20"/>
          <w:szCs w:val="20"/>
          <w:color w:val="auto"/>
        </w:rPr>
      </w:pPr>
    </w:p>
    <w:p>
      <w:pPr>
        <w:ind w:right="100" w:firstLine="1166"/>
        <w:spacing w:after="0" w:line="261" w:lineRule="auto"/>
        <w:rPr>
          <w:sz w:val="20"/>
          <w:szCs w:val="20"/>
          <w:color w:val="auto"/>
        </w:rPr>
      </w:pPr>
      <w:r>
        <w:rPr>
          <w:rFonts w:ascii="Times New Roman" w:cs="Times New Roman" w:eastAsia="Times New Roman" w:hAnsi="Times New Roman"/>
          <w:sz w:val="18"/>
          <w:szCs w:val="18"/>
          <w:color w:val="auto"/>
        </w:rPr>
        <w:t>Inventions discovered under research, material transfer or other collaboration agreements may become jointly owned by us and the other party to such agreements in some cases and may be the exclusive property of either party in other cases. Under some circumstances, it may be difficult to determine who invents and owns a particular invention, or whether it is jointly owned, and disputes can arise regarding inventorship, ownership and use of those inventions. These</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9" w:name="page70"/>
    <w:bookmarkEnd w:id="69"/>
    <w:p>
      <w:pPr>
        <w:ind w:right="60"/>
        <w:spacing w:after="0" w:line="256" w:lineRule="auto"/>
        <w:rPr>
          <w:sz w:val="20"/>
          <w:szCs w:val="20"/>
          <w:color w:val="auto"/>
        </w:rPr>
      </w:pPr>
      <w:r>
        <w:rPr>
          <w:rFonts w:ascii="Times New Roman" w:cs="Times New Roman" w:eastAsia="Times New Roman" w:hAnsi="Times New Roman"/>
          <w:sz w:val="18"/>
          <w:szCs w:val="18"/>
          <w:color w:val="auto"/>
        </w:rPr>
        <w:t>disputes could be costly and time-consuming, and an unfavorable outcome could have a significant adverse effect on our business if we are not able to protect or license rights to these inventions. In addition, clinical trial investigators, scientific consultants and research collaborators generally have contractual rights to publish data and other proprietary information, subject to review by the trial sponsor. Publications by us, or by investigators, scientific consultants, previous employees, research collaborators or others, either with permission or in contravention of the terms of their agreements with us or with our past or future collaborators, may impair our ability to obtain patent protection or protect proprietary information, which could have a material adverse effect on our business and might cause us to cease operations.</w:t>
      </w:r>
    </w:p>
    <w:p>
      <w:pPr>
        <w:spacing w:after="0" w:line="21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Much of the information and know-how that is critical to our business is not patentable, and we may not be able to prevent others from obtaining this information and establishing competitive enterprises.</w:t>
      </w:r>
    </w:p>
    <w:p>
      <w:pPr>
        <w:spacing w:after="0" w:line="186" w:lineRule="exact"/>
        <w:rPr>
          <w:sz w:val="20"/>
          <w:szCs w:val="20"/>
          <w:color w:val="auto"/>
        </w:rPr>
      </w:pPr>
    </w:p>
    <w:p>
      <w:pPr>
        <w:ind w:firstLine="1166"/>
        <w:spacing w:after="0" w:line="254" w:lineRule="auto"/>
        <w:rPr>
          <w:sz w:val="20"/>
          <w:szCs w:val="20"/>
          <w:color w:val="auto"/>
        </w:rPr>
      </w:pPr>
      <w:r>
        <w:rPr>
          <w:rFonts w:ascii="Times New Roman" w:cs="Times New Roman" w:eastAsia="Times New Roman" w:hAnsi="Times New Roman"/>
          <w:sz w:val="18"/>
          <w:szCs w:val="18"/>
          <w:color w:val="auto"/>
        </w:rPr>
        <w:t>In addition to patent and trademark protection, we rely on trade secrets to protect our proprietary technology, especially in circumstances in which we believe patent protection is not appropriate or available. We attempt to protect our proprietary technology in part by entering into confidentiality agreements with our employees, consultants, collaborators and contractors. However, certain consultants and third parties with whom we have business relationships, and to whom in some cases we have disclosed trade secrets and other proprietary knowledge, may also provide services to other parties in the medical device/pharmaceutical industry, including companies, universities and research organizations that are developing competing products. In addition, some of our former employees who were exposed to certain of our trade secrets and other proprietary knowledge in the course of their employment may seek employment with, and become employed by, our competitors. We cannot provide assurance that these agreements will not be breached, that we would have adequate remedies for any breach, or that our trade secrets will not otherwise become known or be independently discovered by competitors, any of which would harm our business significantly.</w:t>
      </w:r>
    </w:p>
    <w:p>
      <w:pPr>
        <w:spacing w:after="0" w:line="215" w:lineRule="exact"/>
        <w:rPr>
          <w:sz w:val="20"/>
          <w:szCs w:val="20"/>
          <w:color w:val="auto"/>
        </w:rPr>
      </w:pPr>
    </w:p>
    <w:p>
      <w:pPr>
        <w:ind w:right="200" w:firstLine="1166"/>
        <w:spacing w:after="0" w:line="261" w:lineRule="auto"/>
        <w:rPr>
          <w:sz w:val="20"/>
          <w:szCs w:val="20"/>
          <w:color w:val="auto"/>
        </w:rPr>
      </w:pPr>
      <w:r>
        <w:rPr>
          <w:rFonts w:ascii="Times New Roman" w:cs="Times New Roman" w:eastAsia="Times New Roman" w:hAnsi="Times New Roman"/>
          <w:sz w:val="18"/>
          <w:szCs w:val="18"/>
          <w:color w:val="auto"/>
        </w:rPr>
        <w:t>Trade secret protection does not prevent independent discovery of the technology or proprietary information or use of the same. Competitors may independently duplicate or exceed our technology in whole or in part. If any of our trade secrets were to be lawfully obtained or independently developed by a competitor, we would have no right to prevent them, or those to whom they communicate it, from using that technology or information to compete with us in countries where we do not have patent protection.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MANAGING OUR GROWTH AND OTHER BUSINESS OPERATIONS</w:t>
      </w:r>
    </w:p>
    <w:p>
      <w:pPr>
        <w:spacing w:after="0" w:line="22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strategic restructuring plan and the associated workforce reduction implemented in December 2025 may not result in anticipated savings and long-term value creation, could result in total costs and operating expenses that are greater than expected and could disrupt our business.</w:t>
      </w:r>
    </w:p>
    <w:p>
      <w:pPr>
        <w:spacing w:after="0" w:line="186" w:lineRule="exact"/>
        <w:rPr>
          <w:sz w:val="20"/>
          <w:szCs w:val="20"/>
          <w:color w:val="auto"/>
        </w:rPr>
      </w:pPr>
    </w:p>
    <w:p>
      <w:pPr>
        <w:ind w:right="200" w:firstLine="1166"/>
        <w:spacing w:after="0" w:line="253" w:lineRule="auto"/>
        <w:rPr>
          <w:sz w:val="20"/>
          <w:szCs w:val="20"/>
          <w:color w:val="auto"/>
        </w:rPr>
      </w:pPr>
      <w:r>
        <w:rPr>
          <w:rFonts w:ascii="Times New Roman" w:cs="Times New Roman" w:eastAsia="Times New Roman" w:hAnsi="Times New Roman"/>
          <w:sz w:val="18"/>
          <w:szCs w:val="18"/>
          <w:color w:val="auto"/>
        </w:rPr>
        <w:t>In connection with our strategic restructuring plan announced in December 2025, we implemented a workforce reduction, representing approximately one-third of our workforce prior to the reduction in headcount. We may not realize, in full or in part, the anticipated benefits on our 2026 operating expenses from our restructuring efforts due to unforeseen difficulties, delays or unexpected costs. We incurred approximately $17.0 million in restructuring and restructuring-related charges for the year ended December 31, 2025, primarily consisting of one-time employee severance payments, healthcare and related benefits, and other employee-related costs. The workforce reduction was substantially completed in the first quarter of 2026. If we are unable to realize the expected operational efficiencies and cost savings from the restructuring, our operating results and financial condition could be adversely affected. We also cannot guarantee that we will not have to undertake additional workforce reductions or restructuring activities in the future. Furthermore, our workforce reduction may be disruptive to our operations, or could yield unanticipated consequences, such as attrition beyond planned staff reductions, or disruptions in our day-to-day operations. Our workforce reductions could also harm our ability to attract and retain qualified management, scientific, clinical, and manufacturing personnel who are critical to our business. Any failure to attract or retain qualified personnel could prevent us from successfully developing and commercializing our product candidates in the future, if approved.</w:t>
      </w:r>
    </w:p>
    <w:p>
      <w:pPr>
        <w:spacing w:after="0" w:line="21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retain or recruit key personnel to support the commercialization and further development of RYTELO or to otherwise successfully manage our growth.</w:t>
      </w:r>
    </w:p>
    <w:p>
      <w:pPr>
        <w:spacing w:after="0" w:line="186" w:lineRule="exact"/>
        <w:rPr>
          <w:sz w:val="20"/>
          <w:szCs w:val="20"/>
          <w:color w:val="auto"/>
        </w:rPr>
      </w:pPr>
    </w:p>
    <w:p>
      <w:pPr>
        <w:ind w:right="60" w:firstLine="1166"/>
        <w:spacing w:after="0" w:line="261" w:lineRule="auto"/>
        <w:rPr>
          <w:sz w:val="20"/>
          <w:szCs w:val="20"/>
          <w:color w:val="auto"/>
        </w:rPr>
      </w:pPr>
      <w:r>
        <w:rPr>
          <w:rFonts w:ascii="Times New Roman" w:cs="Times New Roman" w:eastAsia="Times New Roman" w:hAnsi="Times New Roman"/>
          <w:sz w:val="18"/>
          <w:szCs w:val="18"/>
          <w:color w:val="auto"/>
        </w:rPr>
        <w:t>Our ability to successfully commercialize RYTELO in the U.S. and in the EU for lower-risk MDS, and to continue to develop RYTELO in other myeloid hematologic malignancies depends to a significant extent on the skills, experience and efforts of our executive officers and key members of our staff. In addition, we need to recruit, maintain, motivate and integrate additional personnel with expertise and experience in sales, marketing, market access, commercial</w:t>
      </w: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70" w:name="page71"/>
    <w:bookmarkEnd w:id="70"/>
    <w:p>
      <w:pPr>
        <w:ind w:right="220"/>
        <w:spacing w:after="0" w:line="282" w:lineRule="auto"/>
        <w:rPr>
          <w:sz w:val="20"/>
          <w:szCs w:val="20"/>
          <w:color w:val="auto"/>
        </w:rPr>
      </w:pPr>
      <w:r>
        <w:rPr>
          <w:rFonts w:ascii="Times New Roman" w:cs="Times New Roman" w:eastAsia="Times New Roman" w:hAnsi="Times New Roman"/>
          <w:sz w:val="18"/>
          <w:szCs w:val="18"/>
          <w:color w:val="auto"/>
        </w:rPr>
        <w:t>operations, pricing, clinical science, biostatistics, clinical operations, pharmacovigilance, quality, manufacturing, regulatory affairs, medical affairs, legal affairs, and compliance to enable us to further commercialize and further develop RYTELO.</w:t>
      </w:r>
    </w:p>
    <w:p>
      <w:pPr>
        <w:spacing w:after="0" w:line="189" w:lineRule="exact"/>
        <w:rPr>
          <w:sz w:val="20"/>
          <w:szCs w:val="20"/>
          <w:color w:val="auto"/>
        </w:rPr>
      </w:pPr>
    </w:p>
    <w:p>
      <w:pPr>
        <w:ind w:firstLine="1166"/>
        <w:spacing w:after="0" w:line="254" w:lineRule="auto"/>
        <w:rPr>
          <w:sz w:val="20"/>
          <w:szCs w:val="20"/>
          <w:color w:val="auto"/>
        </w:rPr>
      </w:pPr>
      <w:r>
        <w:rPr>
          <w:rFonts w:ascii="Times New Roman" w:cs="Times New Roman" w:eastAsia="Times New Roman" w:hAnsi="Times New Roman"/>
          <w:sz w:val="18"/>
          <w:szCs w:val="18"/>
          <w:color w:val="auto"/>
        </w:rPr>
        <w:t>We face intense competition for qualified individuals from numerous pharmaceutical, biopharmaceutical and biotechnology companies, as well as academic and other research institutions, and competition in our geographic regions is particularly intense. The substantial risks and uncertainties related to our commercialization and further development of RYTELO, and the risks and uncertainties regarding our future business viability could have an adverse impact on our ability to retain and recruit qualified personnel. We may also face higher than expected personnel costs in order to attract new personnel due to shortages in qualified applicants, or to maintain our current management and personnel due to the increased number of opportunities in the biotechnology sector. If we are unable to successfully retain, motivate and incentivize our existing personnel, or to attract, assimilate and retain other highly qualified personnel in the future on acceptable terms, our ability to commercialize and further develop RYTELO will be impaired, and our business and the price of our common stock would be adversely impacted.</w:t>
      </w:r>
    </w:p>
    <w:p>
      <w:pPr>
        <w:spacing w:after="0" w:line="219" w:lineRule="exact"/>
        <w:rPr>
          <w:sz w:val="20"/>
          <w:szCs w:val="20"/>
          <w:color w:val="auto"/>
        </w:rPr>
      </w:pPr>
    </w:p>
    <w:p>
      <w:pPr>
        <w:ind w:right="620" w:firstLine="1166"/>
        <w:spacing w:after="0" w:line="282" w:lineRule="auto"/>
        <w:rPr>
          <w:sz w:val="20"/>
          <w:szCs w:val="20"/>
          <w:color w:val="auto"/>
        </w:rPr>
      </w:pPr>
      <w:r>
        <w:rPr>
          <w:rFonts w:ascii="Times New Roman" w:cs="Times New Roman" w:eastAsia="Times New Roman" w:hAnsi="Times New Roman"/>
          <w:sz w:val="18"/>
          <w:szCs w:val="18"/>
          <w:color w:val="auto"/>
        </w:rPr>
        <w:t>In addition, our personnel are currently performing their duties in multiple jurisdictions, and if we are unable or fail to comply with employment, tax, benefits and other laws in such jurisdictions, we may face penalties, fines or litigation.</w:t>
      </w:r>
    </w:p>
    <w:p>
      <w:pPr>
        <w:spacing w:after="0" w:line="189" w:lineRule="exact"/>
        <w:rPr>
          <w:sz w:val="20"/>
          <w:szCs w:val="20"/>
          <w:color w:val="auto"/>
        </w:rPr>
      </w:pPr>
    </w:p>
    <w:p>
      <w:pPr>
        <w:ind w:right="60" w:firstLine="1166"/>
        <w:spacing w:after="0" w:line="253" w:lineRule="auto"/>
        <w:rPr>
          <w:sz w:val="20"/>
          <w:szCs w:val="20"/>
          <w:color w:val="auto"/>
        </w:rPr>
      </w:pPr>
      <w:r>
        <w:rPr>
          <w:rFonts w:ascii="Times New Roman" w:cs="Times New Roman" w:eastAsia="Times New Roman" w:hAnsi="Times New Roman"/>
          <w:sz w:val="18"/>
          <w:szCs w:val="18"/>
          <w:color w:val="auto"/>
        </w:rPr>
        <w:t>Our future financial performance and our ability to develop, manufacture and commercialize RYTELO depends, in part, on our ability to effectively manage any future growth. Our management may have to divert financial and other resources, as well as devote a substantial amount of time, to managing growth activities, such as enhancing operational, financial and management processes and systems. If we do not effectively manage the expansion of our operations, we could experience weaknesses in our infrastructure and ability to comply with applicable legal and regulatory requirements and regulations, operational mistakes or shortcomings, loss of business opportunities, loss of employees and reduced productivity among remaining employees.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transition creates uncertainties and could harm our business.</w:t>
      </w:r>
    </w:p>
    <w:p>
      <w:pPr>
        <w:spacing w:after="0" w:line="234" w:lineRule="exact"/>
        <w:rPr>
          <w:sz w:val="20"/>
          <w:szCs w:val="20"/>
          <w:color w:val="auto"/>
        </w:rPr>
      </w:pPr>
    </w:p>
    <w:p>
      <w:pPr>
        <w:ind w:right="160" w:firstLine="1166"/>
        <w:spacing w:after="0" w:line="252" w:lineRule="auto"/>
        <w:rPr>
          <w:sz w:val="20"/>
          <w:szCs w:val="20"/>
          <w:color w:val="auto"/>
        </w:rPr>
      </w:pPr>
      <w:r>
        <w:rPr>
          <w:rFonts w:ascii="Times New Roman" w:cs="Times New Roman" w:eastAsia="Times New Roman" w:hAnsi="Times New Roman"/>
          <w:sz w:val="18"/>
          <w:szCs w:val="18"/>
          <w:color w:val="auto"/>
        </w:rPr>
        <w:t>Over the past few years, we have experienced significant changes in executive leadership, and more could occur. For example, on August 6, 2025, we announced the appointment of Harout Semerjian as our President and Chief Executive Officer and a member of our board of directors, effective August 7, 2025. In addition, in October 2025, we appointed a new EVP, Chief Commercial Officer and in November 2024, we appointed a new EVP of Research and Development. Additionally, in connection with our strategic restructuring plan announced in December 2025, we implemented a workforce reduction, representing approximately one-third of our workforce prior to the reduction in headcount. Changes to company strategy, which can often times occur with the appointment of new executives and departure of prior executives, can create uncertainty, may negatively impact our ability to execute quickly and effectively, and may ultimately be unsuccessful. In addition, executive leadership transition periods are often difficult as the new executives gain detailed knowledge of our operations, and friction can result from changes in strategy and management style. Management transition inherently causes some loss of institutional knowledge, which may have a disruptive impact on our ability to implement our strategy and could have a material adverse effect on our financial condition and our business and business prospects can negatively affect strategy and execution. Until we integrate new personnel, and unless they are able to succeed in their positions, we may be unable to successfully manage and grow our business, and our results of operations and financial condition could suffer as a result.</w:t>
      </w:r>
    </w:p>
    <w:p>
      <w:pPr>
        <w:spacing w:after="0" w:line="2"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Although we intend to establish potential future collaborative arrangements for RYTELO, we may be unable to establish such collaborative arrangements on acceptable terms, or at all, and may have to delay, alter or abandon commercialization or further development of RYTELO.</w:t>
      </w:r>
    </w:p>
    <w:p>
      <w:pPr>
        <w:spacing w:after="0" w:line="208" w:lineRule="exact"/>
        <w:rPr>
          <w:sz w:val="20"/>
          <w:szCs w:val="20"/>
          <w:color w:val="auto"/>
        </w:rPr>
      </w:pPr>
    </w:p>
    <w:p>
      <w:pPr>
        <w:ind w:right="20" w:firstLine="1166"/>
        <w:spacing w:after="0" w:line="253" w:lineRule="auto"/>
        <w:rPr>
          <w:sz w:val="20"/>
          <w:szCs w:val="20"/>
          <w:color w:val="auto"/>
        </w:rPr>
      </w:pPr>
      <w:r>
        <w:rPr>
          <w:rFonts w:ascii="Times New Roman" w:cs="Times New Roman" w:eastAsia="Times New Roman" w:hAnsi="Times New Roman"/>
          <w:sz w:val="18"/>
          <w:szCs w:val="18"/>
          <w:color w:val="auto"/>
        </w:rPr>
        <w:t>We intend to develop RYTELO broadly for hematologic malignancies, and to continue to commercialize, market and sell RYTELO in the U.S. for certain patients with lower-risk MDS ourselves. At this time, we do not plan to commercialize RYTELO independently in the EU (or in any other regions outside of the U.S. where RYTELO may be approved for marketing in the future). Accordingly, we plan to work with experienced third parties for the commercialization and marketing of RYTELO in the EU, including on critical path activities for the planned launch of RYTELO in the EU, such as reimbursement, Health Technology Assessment, or HTA, submissions, market access and distribution, and we may otherwise seek collaborative partners, at an appropriate time, to assist us in the potential development and commercialization of RYTELO outside the U.S., and to provide funding for such activities. We face significant competition in seeking appropriate collaborative partners, and these potential collaborative arrangements are complex and time consuming to negotiate, document and implement. In addition, the terms of our Pharmakon Loan Agreement may limit our ability to enter into certain collaborative arrangements and any future debt agreements may continue or further limit our ability to enter into such agreements. We may not be able to establish collaborative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1" w:name="page72"/>
    <w:bookmarkEnd w:id="71"/>
    <w:p>
      <w:pPr>
        <w:ind w:right="560"/>
        <w:spacing w:after="0" w:line="261" w:lineRule="auto"/>
        <w:rPr>
          <w:sz w:val="20"/>
          <w:szCs w:val="20"/>
          <w:color w:val="auto"/>
        </w:rPr>
      </w:pPr>
      <w:r>
        <w:rPr>
          <w:rFonts w:ascii="Times New Roman" w:cs="Times New Roman" w:eastAsia="Times New Roman" w:hAnsi="Times New Roman"/>
          <w:sz w:val="18"/>
          <w:szCs w:val="18"/>
          <w:color w:val="auto"/>
        </w:rPr>
        <w:t>arrangements on acceptable terms, or at all. In this regard, collaborative arrangements with third parties may require us to relinquish material rights, including revenue from commercialization, or assume material ongoing development obligations that we would have to fund or otherwise support.</w:t>
      </w:r>
    </w:p>
    <w:p>
      <w:pPr>
        <w:ind w:left="1180"/>
        <w:spacing w:after="0"/>
        <w:rPr>
          <w:sz w:val="20"/>
          <w:szCs w:val="20"/>
          <w:color w:val="auto"/>
        </w:rPr>
      </w:pPr>
      <w:r>
        <w:rPr>
          <w:rFonts w:ascii="Times New Roman" w:cs="Times New Roman" w:eastAsia="Times New Roman" w:hAnsi="Times New Roman"/>
          <w:sz w:val="18"/>
          <w:szCs w:val="18"/>
          <w:color w:val="auto"/>
        </w:rPr>
        <w:t>If we are unable to negotiate collaborative arrangements, we may have to:</w:t>
      </w:r>
    </w:p>
    <w:p>
      <w:pPr>
        <w:spacing w:after="0" w:line="234"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curtail or abandon the additional development of RYTELO;</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curtail or abandon the commercialization of RYTELO in jurisdictions where it is approved;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scope of potential future sales or marketing activities; or</w:t>
      </w:r>
    </w:p>
    <w:p>
      <w:pPr>
        <w:spacing w:after="0" w:line="9" w:lineRule="exact"/>
        <w:rPr>
          <w:rFonts w:ascii="Times New Roman" w:cs="Times New Roman" w:eastAsia="Times New Roman" w:hAnsi="Times New Roman"/>
          <w:sz w:val="18"/>
          <w:szCs w:val="18"/>
          <w:color w:val="auto"/>
        </w:rPr>
      </w:pPr>
    </w:p>
    <w:p>
      <w:pPr>
        <w:ind w:left="660" w:right="280" w:hanging="328"/>
        <w:spacing w:after="0" w:line="260"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expenditures and undertake development or commercialization activities at our own expense, which will require additional capital than our current resources.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established subsidiaries in the United Kingdom and the Netherlands, which exposes us to additional costs and risks.</w:t>
      </w:r>
    </w:p>
    <w:p>
      <w:pPr>
        <w:spacing w:after="0" w:line="256" w:lineRule="exact"/>
        <w:rPr>
          <w:sz w:val="20"/>
          <w:szCs w:val="20"/>
          <w:color w:val="auto"/>
        </w:rPr>
      </w:pPr>
    </w:p>
    <w:p>
      <w:pPr>
        <w:ind w:right="640" w:firstLine="1166"/>
        <w:spacing w:after="0" w:line="282" w:lineRule="auto"/>
        <w:rPr>
          <w:sz w:val="20"/>
          <w:szCs w:val="20"/>
          <w:color w:val="auto"/>
        </w:rPr>
      </w:pPr>
      <w:r>
        <w:rPr>
          <w:rFonts w:ascii="Times New Roman" w:cs="Times New Roman" w:eastAsia="Times New Roman" w:hAnsi="Times New Roman"/>
          <w:sz w:val="18"/>
          <w:szCs w:val="18"/>
          <w:color w:val="auto"/>
        </w:rPr>
        <w:t>The wholly-owned subsidiaries we have established in the U.K. and the Netherlands subject us to certain additional costs and risks associated with doing business outside the U.S., including:</w:t>
      </w:r>
    </w:p>
    <w:p>
      <w:pPr>
        <w:spacing w:after="0" w:line="189"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complexity and costs inherent in managing international operations in geographically disparate locations;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and costs of complying with diverse regulatory, financial and legal requirements, which are subject to change at any time;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changes in applicable tax laws and regulations;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costly trade laws, tariffs, export quotas, custom duties or other trade restrictions, and any changes to them, including in connection with new Trump administration changes;</w:t>
      </w: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9" w:lineRule="exact"/>
        <w:rPr>
          <w:rFonts w:ascii="Times New Roman" w:cs="Times New Roman" w:eastAsia="Times New Roman" w:hAnsi="Times New Roman"/>
          <w:sz w:val="18"/>
          <w:szCs w:val="18"/>
          <w:color w:val="auto"/>
        </w:rPr>
      </w:pPr>
    </w:p>
    <w:p>
      <w:pPr>
        <w:ind w:left="660" w:right="700" w:hanging="328"/>
        <w:spacing w:after="0" w:line="250"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employees in diverse geographies, including the need to adapt systems, policies, benefits and compliance programs to differing labor and other regulations;</w:t>
      </w:r>
    </w:p>
    <w:p>
      <w:pPr>
        <w:ind w:left="660" w:right="640" w:hanging="328"/>
        <w:spacing w:after="0" w:line="250"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terrorism and civil and political unrest, military conflicts, outbreak of health epidemics, and the resulting global economic and social impacts; and</w:t>
      </w: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additional risks related to operating outside of the U.S. that could materially adversely affect our business.</w:t>
      </w:r>
    </w:p>
    <w:p>
      <w:pPr>
        <w:spacing w:after="0" w:line="256" w:lineRule="exact"/>
        <w:rPr>
          <w:sz w:val="20"/>
          <w:szCs w:val="20"/>
          <w:color w:val="auto"/>
        </w:rPr>
      </w:pPr>
    </w:p>
    <w:p>
      <w:pPr>
        <w:ind w:right="20" w:firstLine="1166"/>
        <w:spacing w:after="0" w:line="266" w:lineRule="auto"/>
        <w:rPr>
          <w:sz w:val="20"/>
          <w:szCs w:val="20"/>
          <w:color w:val="auto"/>
        </w:rPr>
      </w:pPr>
      <w:r>
        <w:rPr>
          <w:rFonts w:ascii="Times New Roman" w:cs="Times New Roman" w:eastAsia="Times New Roman" w:hAnsi="Times New Roman"/>
          <w:sz w:val="18"/>
          <w:szCs w:val="18"/>
          <w:color w:val="auto"/>
        </w:rPr>
        <w:t>We have employees located outside of the U.S., conduct clinical trials outside of the U.S., and are pursuing paths to make RYTELO available to LR-MDS patients outside of the U.S., including in the EU, which may subject us to additional risks, including risks related to operating outside of the U.S., such as:</w:t>
      </w:r>
    </w:p>
    <w:p>
      <w:pPr>
        <w:spacing w:after="0" w:line="203"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unexpected changes in tariffs, trade barriers, price and exchange controls and other regulatory requirements;</w:t>
      </w:r>
    </w:p>
    <w:p>
      <w:pPr>
        <w:spacing w:after="0" w:line="27" w:lineRule="exact"/>
        <w:rPr>
          <w:rFonts w:ascii="Times New Roman" w:cs="Times New Roman" w:eastAsia="Times New Roman" w:hAnsi="Times New Roman"/>
          <w:sz w:val="18"/>
          <w:szCs w:val="18"/>
          <w:color w:val="auto"/>
        </w:rPr>
      </w:pPr>
    </w:p>
    <w:p>
      <w:pPr>
        <w:ind w:left="660" w:right="840" w:hanging="328"/>
        <w:spacing w:after="0" w:line="250"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potential noncompliance by us or by any third parties we engage with legal requirements applicable to privacy, data protection, information security and other matters;</w:t>
      </w: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potential noncompliance with tax, employment, immigration and labor laws for employees living or traveling abroad;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taxes outside of the U.S., including withholding and payroll taxes;</w:t>
      </w:r>
    </w:p>
    <w:p>
      <w:pPr>
        <w:spacing w:after="0" w:line="9"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foreign currency fluctuations, which could result in increased operating expenses and reduced revenue, and other obligations incident to doing business in another country;</w:t>
      </w: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operations outside of the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and government payors in foreign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or comparable regulations outside of the U.S.;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234" w:lineRule="exact"/>
        <w:rPr>
          <w:sz w:val="20"/>
          <w:szCs w:val="20"/>
          <w:color w:val="auto"/>
        </w:rPr>
      </w:pPr>
    </w:p>
    <w:p>
      <w:pPr>
        <w:jc w:val="both"/>
        <w:ind w:right="400" w:firstLine="1166"/>
        <w:spacing w:after="0" w:line="266" w:lineRule="auto"/>
        <w:rPr>
          <w:sz w:val="20"/>
          <w:szCs w:val="20"/>
          <w:color w:val="auto"/>
        </w:rPr>
      </w:pPr>
      <w:r>
        <w:rPr>
          <w:rFonts w:ascii="Times New Roman" w:cs="Times New Roman" w:eastAsia="Times New Roman" w:hAnsi="Times New Roman"/>
          <w:sz w:val="18"/>
          <w:szCs w:val="18"/>
          <w:color w:val="auto"/>
        </w:rPr>
        <w:t>For example, the current administration in the U.S. has called for substantial changes to foreign trade policy and has recently imposed significant increases in tariffs on international trade and the renegotiation of international trade agreements. We cannot predict what effects these and potential additional tariffs or renegotiation of existing</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72" w:name="page73"/>
    <w:bookmarkEnd w:id="72"/>
    <w:p>
      <w:pPr>
        <w:ind w:right="20"/>
        <w:spacing w:after="0" w:line="253" w:lineRule="auto"/>
        <w:rPr>
          <w:sz w:val="20"/>
          <w:szCs w:val="20"/>
          <w:color w:val="auto"/>
        </w:rPr>
      </w:pPr>
      <w:r>
        <w:rPr>
          <w:rFonts w:ascii="Times New Roman" w:cs="Times New Roman" w:eastAsia="Times New Roman" w:hAnsi="Times New Roman"/>
          <w:sz w:val="18"/>
          <w:szCs w:val="18"/>
          <w:color w:val="auto"/>
        </w:rPr>
        <w:t>international trade agreements, scope and nature of tariffs in the future, including as a result of litigation or other challenges, will have on our business, including in the context of escalating global trade and political tensions. However, such tariffs and other trade restrictions could increase our cost of doing business, reduce our gross margins or otherwise negatively impact our financial results. Likewise, the ongoing Russia-Ukraine military conflict and the ongoing military conflict involving the U.S., Israel and Iran have had and may continue to have further global economic consequences, including continued disruptions of the global supply chain and energy markets, which could disrupt our existing supply chain and increase our cost of doing business, reduce our gross margins or otherwise negatively impact our financial results. See the risk factors titled, “</w:t>
      </w:r>
      <w:r>
        <w:rPr>
          <w:rFonts w:ascii="Times New Roman" w:cs="Times New Roman" w:eastAsia="Times New Roman" w:hAnsi="Times New Roman"/>
          <w:sz w:val="18"/>
          <w:szCs w:val="18"/>
          <w:i w:val="1"/>
          <w:iCs w:val="1"/>
          <w:color w:val="auto"/>
        </w:rPr>
        <w:t>Global trade issues and changes in and uncertainties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respect to trade policies and export regulations, including import and export license requirements, trade sanctions, tariffs and international trade disputes, could increase our costs and negatively impact net revenues from sales of RYTELO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Failure by us to maintain a manufacturing supply chain to appropriately and adequately supply RYTELO for commercial and future clinical uses would adversely affect our ability to commercialize RYTELO and result in a further delay in or cessation of clinical trials, and our business and business prospects could be severely harmed, and we could cease operations.</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right="60" w:firstLine="1166"/>
        <w:spacing w:after="0" w:line="256" w:lineRule="auto"/>
        <w:rPr>
          <w:sz w:val="20"/>
          <w:szCs w:val="20"/>
          <w:color w:val="auto"/>
        </w:rPr>
      </w:pPr>
      <w:r>
        <w:rPr>
          <w:rFonts w:ascii="Times New Roman" w:cs="Times New Roman" w:eastAsia="Times New Roman" w:hAnsi="Times New Roman"/>
          <w:sz w:val="18"/>
          <w:szCs w:val="18"/>
          <w:color w:val="auto"/>
        </w:rPr>
        <w:t>Uncertainty in the regulatory framework and future legislation could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Changes to existing regulations may add considerably to the time from clinical development to marketing authorization and commercialization of products in foreign jurisdictions and increase our costs. We cannot predict the impact of such changes and future regulation on our business or the results of our operations. These and other risks associated with international operations may materially adversely affect our ability to attain or maintain profitable operations.</w:t>
      </w:r>
    </w:p>
    <w:p>
      <w:pPr>
        <w:spacing w:after="0" w:line="210"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Global trade issues and changes in and uncertainties with respect to trade policies and export regulations, including import and export license requirements, trade sanctions, tariffs and international trade disputes, could increase our costs and negatively impact net revenues from sales of RYTELO.</w:t>
      </w:r>
    </w:p>
    <w:p>
      <w:pPr>
        <w:spacing w:after="0" w:line="202" w:lineRule="exact"/>
        <w:rPr>
          <w:sz w:val="20"/>
          <w:szCs w:val="20"/>
          <w:color w:val="auto"/>
        </w:rPr>
      </w:pPr>
    </w:p>
    <w:p>
      <w:pPr>
        <w:ind w:right="100" w:firstLine="1166"/>
        <w:spacing w:after="0" w:line="269" w:lineRule="auto"/>
        <w:rPr>
          <w:sz w:val="20"/>
          <w:szCs w:val="20"/>
          <w:color w:val="auto"/>
        </w:rPr>
      </w:pPr>
      <w:r>
        <w:rPr>
          <w:rFonts w:ascii="Times New Roman" w:cs="Times New Roman" w:eastAsia="Times New Roman" w:hAnsi="Times New Roman"/>
          <w:sz w:val="17"/>
          <w:szCs w:val="17"/>
          <w:color w:val="auto"/>
        </w:rPr>
        <w:t>There is inherent risk, based on the complex relationships among the U.S. and the countries in which we now conduct or may in the future conduct our business, that political, diplomatic, and national security factors can lead to global trade restrictions and changes in trade policies and export regulations that may adversely affect our business and operations. Compliance with applicable regulatory requirements regarding the export of products may create delays in the introduction of RYTELO in international markets, including in the EU, or, in some cases, prevent the export of RYTELO to some countries altogether. Furthermore, U.S. export control laws and economic sanctions prohibit the provision of certain products and services to countries, governments and persons targeted by U.S. sanctions. The U.S. and other countries have imposed and may continue to impose new trade restrictions and export regulations, have levied tariffs and taxes on certain goods, and could continue to significantly increase tariffs on a broad array of goods, including pharmaceutical and biological products. Notwithstanding the U.S. Supreme Court’s recent decision invalidating tariffs imposed under the International Emergency Economic Powers Act, the magnitude and impact of tariffs are uncertain and are subject to a variety of factors, including the effective date and duration of additional tariffs, changes in the amount, scope and nature of tariffs in the future, including as a result of litigation or other challenges, any retaliatory tariffs that other countries may impose in response to tariffs levied by the United States and any mitigating actions that may become available.</w:t>
      </w:r>
    </w:p>
    <w:p>
      <w:pPr>
        <w:spacing w:after="0" w:line="209" w:lineRule="exact"/>
        <w:rPr>
          <w:sz w:val="20"/>
          <w:szCs w:val="20"/>
          <w:color w:val="auto"/>
        </w:rPr>
      </w:pPr>
    </w:p>
    <w:p>
      <w:pPr>
        <w:ind w:firstLine="1166"/>
        <w:spacing w:after="0" w:line="253" w:lineRule="auto"/>
        <w:rPr>
          <w:sz w:val="20"/>
          <w:szCs w:val="20"/>
          <w:color w:val="auto"/>
        </w:rPr>
      </w:pPr>
      <w:r>
        <w:rPr>
          <w:rFonts w:ascii="Times New Roman" w:cs="Times New Roman" w:eastAsia="Times New Roman" w:hAnsi="Times New Roman"/>
          <w:sz w:val="18"/>
          <w:szCs w:val="18"/>
          <w:color w:val="auto"/>
        </w:rPr>
        <w:t>The ongoing trade tensions between the U.S. and other jurisdictions have resulted in multiple rounds of tariffs and potential tariffs affecting pharmaceuticals and pharmaceutical ingredients, including finished drug products, manufacturing equipment, and related supplies. In April 2025, the U.S. government imposed a 10% baseline global tariff and in August 2025, the U.S. imposed higher “reciprocal” tariffs on numerous other territories, including EU Member States and South Korea. While the U.S. Supreme Court recently issued a ruling invalidating tariffs imposed by the Trump administration under the International Emergency Economic Powers Act, other tariffs imposed by the U.S. government remain in place, including the 10% global tariff imposed by the Trump administration under Section 122 of the Trade Act of 1974 following the U.S. Supreme Court decision. Moreover, the Bureau of Industry and Security, U.S. Department of Commerce, has initiated an investigation to determine whether pharmaceutical ingredients, including finished drug product, manufactured outside the U.S. pose a national security risk and should be subject to additional tariffs. Unlike consumer goods, pharmaceuticals face unique regulatory constraints that make rapid supply chain adjustments particularly difficult and costly. Although a significant portion of our supply chain for imetelstat is currently based in the U.S., the active pharmaceutical ingredient, or API, for imetelstat is manufactured in South Korea and our 47mg vial of RYTELO drug product is currently manufactured in Italy. In addition, in the future we may choose to utilize other contract manufacturers for different presentations of imetelstat and source materials for our supply chain from other international jurisdictions.</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3" w:name="page74"/>
    <w:bookmarkEnd w:id="73"/>
    <w:p>
      <w:pPr>
        <w:spacing w:after="0" w:line="258" w:lineRule="auto"/>
        <w:rPr>
          <w:sz w:val="20"/>
          <w:szCs w:val="20"/>
          <w:color w:val="auto"/>
        </w:rPr>
      </w:pPr>
      <w:r>
        <w:rPr>
          <w:rFonts w:ascii="Times New Roman" w:cs="Times New Roman" w:eastAsia="Times New Roman" w:hAnsi="Times New Roman"/>
          <w:sz w:val="18"/>
          <w:szCs w:val="18"/>
          <w:color w:val="auto"/>
        </w:rPr>
        <w:t>Accordingly, such global or industry-specific tariffs, or the renegotiation of current international trade agreements, or other trade restrictions could result in additional costs on our business, including generally increasing our manufacturing costs, and may decrease our gross margins and increase our supply chain complexity. Moreover, other governments have imposed and may continue to impose retaliatory tariffs, trade restrictions or trade barriers impacting RYTELO, which could impose additional costs and complexity on our business, including with respect to our planned commercialization of RYTELO in select EU markets in 2026 or restrict our ability to sell RYTELO in the EU or in other international markets where we may obtain approval of RYTELO.</w:t>
      </w:r>
    </w:p>
    <w:p>
      <w:pPr>
        <w:spacing w:after="0" w:line="210" w:lineRule="exact"/>
        <w:rPr>
          <w:sz w:val="20"/>
          <w:szCs w:val="20"/>
          <w:color w:val="auto"/>
        </w:rPr>
      </w:pPr>
    </w:p>
    <w:p>
      <w:pPr>
        <w:ind w:firstLine="1166"/>
        <w:spacing w:after="0" w:line="254" w:lineRule="auto"/>
        <w:rPr>
          <w:sz w:val="20"/>
          <w:szCs w:val="20"/>
          <w:color w:val="auto"/>
        </w:rPr>
      </w:pPr>
      <w:r>
        <w:rPr>
          <w:rFonts w:ascii="Times New Roman" w:cs="Times New Roman" w:eastAsia="Times New Roman" w:hAnsi="Times New Roman"/>
          <w:sz w:val="18"/>
          <w:szCs w:val="18"/>
          <w:color w:val="auto"/>
        </w:rPr>
        <w:t>Further, the continued threats of new or increased tariffs, sanctions, trade restrictions and trade barriers as well as ongoing changes in U.S. and foreign government trade policies, including potential modifications to existing international trade agreements, have had and may continue to have a generally disruptive impact on the global economy and, therefore, could negatively impact revenues from sales of RYTELO. Given the significant volatility and uncertainty regarding the scope and duration of such tariffs and other aspects of U.S. and foreign government trade policies, the ultimate impact on our operations and financial results is uncertain and could be significant in the future.</w:t>
      </w:r>
    </w:p>
    <w:p>
      <w:pPr>
        <w:spacing w:after="0" w:line="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may not be able to obtain or maintain sufficient insurance on commercially reasonable terms or with adequate coverage against potential liabilities in order to protect ourselves against claims such as product liability or personal injury claims arising from our commercialization of RYTELO, claims related to clinical trial conduct, or claims related to data protection.</w:t>
      </w:r>
    </w:p>
    <w:p>
      <w:pPr>
        <w:spacing w:after="0" w:line="213" w:lineRule="exact"/>
        <w:rPr>
          <w:sz w:val="20"/>
          <w:szCs w:val="20"/>
          <w:color w:val="auto"/>
        </w:rPr>
      </w:pPr>
    </w:p>
    <w:p>
      <w:pPr>
        <w:ind w:right="20" w:firstLine="1166"/>
        <w:spacing w:after="0" w:line="252" w:lineRule="auto"/>
        <w:rPr>
          <w:sz w:val="20"/>
          <w:szCs w:val="20"/>
          <w:color w:val="auto"/>
        </w:rPr>
      </w:pPr>
      <w:r>
        <w:rPr>
          <w:rFonts w:ascii="Times New Roman" w:cs="Times New Roman" w:eastAsia="Times New Roman" w:hAnsi="Times New Roman"/>
          <w:sz w:val="18"/>
          <w:szCs w:val="18"/>
          <w:color w:val="auto"/>
        </w:rPr>
        <w:t>Our business exposes us to potential product liability and other risks that are inherent in the testing, manufacturing and marketing of human therapeutic products. We may become subject to product liability or personal injury claims related to the commercialization of RYTELO, or claims related to clinical trial conduct, including if the use of RYTELO is alleged to have injured patients, such as injuries alleged to arise from any hepatotoxicity or hemorrhagic event associated with the use of RYTELO. We currently have product liability and clinical trial liability insurance that we believe is adequate, but we may experience losses in excess of our coverage or that are not covered by our insurance, and we may not be able to maintain this type of insurance for the commercialization of RYTELO, or any of our current or potential future clinical trials of RYTELO. In addition, this type of insurance may become too expensive for us to afford because of the highly risky and uncertain nature of commercialization of RYTELO, clinical trials generally and the high cost of insurance for our business activities. We may be unable to obtain or maintain clinical trial insurance in all of the jurisdictions where we conduct current or potential future clinical trials. In addition, business liability, product liability and cybersecurity insurance are becoming increasingly expensive, particularly for biotechnology and pharmaceutical companies, and the pool of insurers offering insurance coverage to biotechnology and pharmaceutical companies generally is becoming smaller, making it more difficult to obtain insurance for our business activities at a reasonable price, or at all. Being unable to obtain or maintain product liability, clinical trial liability, cybersecurity or other insurance for our business activities in the future on acceptable terms or with adequate coverage against potential liabilities would have a material adverse effect on our business, and could cause us to limit or cease our commercialization and further development of RYTELO.</w:t>
      </w:r>
    </w:p>
    <w:p>
      <w:pPr>
        <w:spacing w:after="0" w:line="220"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and certain of our current and former officers and directors have been named as defendants in securities class action lawsuits and derivative lawsuits. These lawsuits, and potential similar or related lawsuits, could result in substantial damages, divert management’s time and attention from our business, and have a material adverse effect on our results of operations. These lawsuits, and any other lawsuits to which we are subject, will be costly to defend or pursue and are uncertain in their outcome.</w:t>
      </w:r>
    </w:p>
    <w:p>
      <w:pPr>
        <w:spacing w:after="0" w:line="201" w:lineRule="exact"/>
        <w:rPr>
          <w:sz w:val="20"/>
          <w:szCs w:val="20"/>
          <w:color w:val="auto"/>
        </w:rPr>
      </w:pPr>
    </w:p>
    <w:p>
      <w:pPr>
        <w:ind w:right="20" w:firstLine="1166"/>
        <w:spacing w:after="0" w:line="253" w:lineRule="auto"/>
        <w:rPr>
          <w:sz w:val="20"/>
          <w:szCs w:val="20"/>
          <w:color w:val="auto"/>
        </w:rPr>
      </w:pPr>
      <w:r>
        <w:rPr>
          <w:rFonts w:ascii="Times New Roman" w:cs="Times New Roman" w:eastAsia="Times New Roman" w:hAnsi="Times New Roman"/>
          <w:sz w:val="18"/>
          <w:szCs w:val="18"/>
          <w:color w:val="auto"/>
        </w:rPr>
        <w:t xml:space="preserve">Securities class action lawsuits and/or derivative lawsuits have often been brought against companies, including biotechnology and biopharmaceutical companies, that experience volatility in the market price of their securities. This risk is especially relevant for us because we often experience significant stock price volatility in connection with our activities. On March 13 and March 14, 2025, we and certain of our current and former officers were named as defendants in two putative securities class action lawsuits filed in the United States District Court for the Northern District of California captioned </w:t>
      </w:r>
      <w:r>
        <w:rPr>
          <w:rFonts w:ascii="Times New Roman" w:cs="Times New Roman" w:eastAsia="Times New Roman" w:hAnsi="Times New Roman"/>
          <w:sz w:val="18"/>
          <w:szCs w:val="18"/>
          <w:i w:val="1"/>
          <w:iCs w:val="1"/>
          <w:color w:val="auto"/>
        </w:rPr>
        <w:t>Dabestani v. Geron Corporation, et al.</w:t>
      </w:r>
      <w:r>
        <w:rPr>
          <w:rFonts w:ascii="Times New Roman" w:cs="Times New Roman" w:eastAsia="Times New Roman" w:hAnsi="Times New Roman"/>
          <w:sz w:val="18"/>
          <w:szCs w:val="18"/>
          <w:color w:val="auto"/>
        </w:rPr>
        <w:t xml:space="preserve">, No. 3:25-cv-02507 and </w:t>
      </w:r>
      <w:r>
        <w:rPr>
          <w:rFonts w:ascii="Times New Roman" w:cs="Times New Roman" w:eastAsia="Times New Roman" w:hAnsi="Times New Roman"/>
          <w:sz w:val="18"/>
          <w:szCs w:val="18"/>
          <w:i w:val="1"/>
          <w:iCs w:val="1"/>
          <w:color w:val="auto"/>
        </w:rPr>
        <w:t>Potvin v. Geron Corporation, et al.</w:t>
      </w:r>
      <w:r>
        <w:rPr>
          <w:rFonts w:ascii="Times New Roman" w:cs="Times New Roman" w:eastAsia="Times New Roman" w:hAnsi="Times New Roman"/>
          <w:sz w:val="18"/>
          <w:szCs w:val="18"/>
          <w:color w:val="auto"/>
        </w:rPr>
        <w:t xml:space="preserve">, No. 3:25-cv-02563, respectively. Both lawsuits allege violation of Sections 10(b) and 20(a) of the Securities Exchange Act of 1934, as amended, and Rule 10b-5 promulgated thereunder in connection with allegedly false and misleading statements concerning the commercial potential of RYTELO. The plaintiffs allege, among other things, that we overstated RYTELO's commercial potential by making materially false and misleading statements and/or concealing material adverse facts concerning RYTELO's commercial potential, including the lack of awareness among healthcare providers for RYTELO, the burden of monitoring requirements in administering the drug, and the impacts of seasonality and existing competition on RYTELO's sales, and that our stock price dropped when we disclosed in our earnings call on February 26, 2025 that we had observed flat revenue trends over the prior few months. The plaintiffs seek damages and interest, and an award of reasonable costs, including attorneys' and experts' fees. On May 29, 2025, the Court consolidated the </w:t>
      </w:r>
      <w:r>
        <w:rPr>
          <w:rFonts w:ascii="Times New Roman" w:cs="Times New Roman" w:eastAsia="Times New Roman" w:hAnsi="Times New Roman"/>
          <w:sz w:val="18"/>
          <w:szCs w:val="18"/>
          <w:i w:val="1"/>
          <w:iCs w:val="1"/>
          <w:color w:val="auto"/>
        </w:rPr>
        <w:t>Dabestani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Potvin</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4" w:name="page75"/>
    <w:bookmarkEnd w:id="74"/>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cases into one consolidated action captioned </w:t>
      </w:r>
      <w:r>
        <w:rPr>
          <w:rFonts w:ascii="Times New Roman" w:cs="Times New Roman" w:eastAsia="Times New Roman" w:hAnsi="Times New Roman"/>
          <w:sz w:val="18"/>
          <w:szCs w:val="18"/>
          <w:i w:val="1"/>
          <w:iCs w:val="1"/>
          <w:color w:val="auto"/>
        </w:rPr>
        <w:t>In re Geron Corporation Securities Litigation</w:t>
      </w:r>
      <w:r>
        <w:rPr>
          <w:rFonts w:ascii="Times New Roman" w:cs="Times New Roman" w:eastAsia="Times New Roman" w:hAnsi="Times New Roman"/>
          <w:sz w:val="18"/>
          <w:szCs w:val="18"/>
          <w:color w:val="auto"/>
        </w:rPr>
        <w:t>, or the Securities Class Action, and appointed lead plaintiffs and counsel for lead plaintiffs. On August 8, 2025, lead plaintiffs filed a consolidated amended complaint. On October 7, 2025, we filed our motion to dismiss the consolidated amended complaint. A hearing on the motion to dismiss was held on March 19, 2026, and on March 30, 2026, the Court entered an order granting our motion to dismiss without prejudice. On April 13, 2026, lead plaintiffs filed a second amended complaint. We intend to move to dismiss the second amended complaint.</w:t>
      </w:r>
    </w:p>
    <w:p>
      <w:pPr>
        <w:spacing w:after="0" w:line="212" w:lineRule="exact"/>
        <w:rPr>
          <w:sz w:val="20"/>
          <w:szCs w:val="20"/>
          <w:color w:val="auto"/>
        </w:rPr>
      </w:pPr>
    </w:p>
    <w:p>
      <w:pPr>
        <w:ind w:right="120" w:firstLine="1166"/>
        <w:spacing w:after="0" w:line="254" w:lineRule="auto"/>
        <w:rPr>
          <w:sz w:val="20"/>
          <w:szCs w:val="20"/>
          <w:color w:val="auto"/>
        </w:rPr>
      </w:pPr>
      <w:r>
        <w:rPr>
          <w:rFonts w:ascii="Times New Roman" w:cs="Times New Roman" w:eastAsia="Times New Roman" w:hAnsi="Times New Roman"/>
          <w:sz w:val="18"/>
          <w:szCs w:val="18"/>
          <w:color w:val="auto"/>
        </w:rPr>
        <w:t xml:space="preserve">In addition, on April 15, 2025 and April 16, 2025, three purported stockholders filed derivative complaints, each filed in the United States District Court for the Northern District of California, captioned </w:t>
      </w:r>
      <w:r>
        <w:rPr>
          <w:rFonts w:ascii="Times New Roman" w:cs="Times New Roman" w:eastAsia="Times New Roman" w:hAnsi="Times New Roman"/>
          <w:sz w:val="18"/>
          <w:szCs w:val="18"/>
          <w:i w:val="1"/>
          <w:iCs w:val="1"/>
          <w:color w:val="auto"/>
        </w:rPr>
        <w:t>Bishop v. Scarlett, et al.</w:t>
      </w:r>
      <w:r>
        <w:rPr>
          <w:rFonts w:ascii="Times New Roman" w:cs="Times New Roman" w:eastAsia="Times New Roman" w:hAnsi="Times New Roman"/>
          <w:sz w:val="18"/>
          <w:szCs w:val="18"/>
          <w:color w:val="auto"/>
        </w:rPr>
        <w:t xml:space="preserve">, No. 3:25-cv-03356, </w:t>
      </w:r>
      <w:r>
        <w:rPr>
          <w:rFonts w:ascii="Times New Roman" w:cs="Times New Roman" w:eastAsia="Times New Roman" w:hAnsi="Times New Roman"/>
          <w:sz w:val="18"/>
          <w:szCs w:val="18"/>
          <w:i w:val="1"/>
          <w:iCs w:val="1"/>
          <w:color w:val="auto"/>
        </w:rPr>
        <w:t>Lerner v. Scarlett, et al.</w:t>
      </w:r>
      <w:r>
        <w:rPr>
          <w:rFonts w:ascii="Times New Roman" w:cs="Times New Roman" w:eastAsia="Times New Roman" w:hAnsi="Times New Roman"/>
          <w:sz w:val="18"/>
          <w:szCs w:val="18"/>
          <w:color w:val="auto"/>
        </w:rPr>
        <w:t xml:space="preserve">, No. 3:25-cv-03401, and </w:t>
      </w:r>
      <w:r>
        <w:rPr>
          <w:rFonts w:ascii="Times New Roman" w:cs="Times New Roman" w:eastAsia="Times New Roman" w:hAnsi="Times New Roman"/>
          <w:sz w:val="18"/>
          <w:szCs w:val="18"/>
          <w:i w:val="1"/>
          <w:iCs w:val="1"/>
          <w:color w:val="auto"/>
        </w:rPr>
        <w:t>Willis v. Scarlett, et al.</w:t>
      </w:r>
      <w:r>
        <w:rPr>
          <w:rFonts w:ascii="Times New Roman" w:cs="Times New Roman" w:eastAsia="Times New Roman" w:hAnsi="Times New Roman"/>
          <w:sz w:val="18"/>
          <w:szCs w:val="18"/>
          <w:color w:val="auto"/>
        </w:rPr>
        <w:t xml:space="preserve">, No: 3:25-cv-03396, respectively. The three lawsuits name certain of our current and former directors and officers and allege that they breached their fiduciary duties and violated federal securities laws by issuing allegedly false and misleading statements concerning the commercial potential of RYTELO. The allegations in each of the three derivative complaints are substantially similar to the Securities Class Action. The plaintiff seeks damages and interest, and an award of reasonable costs, including attorneys' and experts' fees. The plaintiffs in </w:t>
      </w:r>
      <w:r>
        <w:rPr>
          <w:rFonts w:ascii="Times New Roman" w:cs="Times New Roman" w:eastAsia="Times New Roman" w:hAnsi="Times New Roman"/>
          <w:sz w:val="18"/>
          <w:szCs w:val="18"/>
          <w:i w:val="1"/>
          <w:iCs w:val="1"/>
          <w:color w:val="auto"/>
        </w:rPr>
        <w:t>Bishop v. Scarlett, et al.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Willis v. Scarlett, et al. </w:t>
      </w:r>
      <w:r>
        <w:rPr>
          <w:rFonts w:ascii="Times New Roman" w:cs="Times New Roman" w:eastAsia="Times New Roman" w:hAnsi="Times New Roman"/>
          <w:sz w:val="18"/>
          <w:szCs w:val="18"/>
          <w:color w:val="auto"/>
        </w:rPr>
        <w:t>also seek punitive damages. On May 16, 2025, the Court consolidated the three derivative complaints into one consolidated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captioned </w:t>
      </w:r>
      <w:r>
        <w:rPr>
          <w:rFonts w:ascii="Times New Roman" w:cs="Times New Roman" w:eastAsia="Times New Roman" w:hAnsi="Times New Roman"/>
          <w:sz w:val="18"/>
          <w:szCs w:val="18"/>
          <w:i w:val="1"/>
          <w:iCs w:val="1"/>
          <w:color w:val="auto"/>
        </w:rPr>
        <w:t>In re Geron Corporation Derivative Litigation</w:t>
      </w:r>
      <w:r>
        <w:rPr>
          <w:rFonts w:ascii="Times New Roman" w:cs="Times New Roman" w:eastAsia="Times New Roman" w:hAnsi="Times New Roman"/>
          <w:sz w:val="18"/>
          <w:szCs w:val="18"/>
          <w:color w:val="auto"/>
        </w:rPr>
        <w:t>, or the Consolidated Derivative Action. On June 17, 2025, the Court stayed the Consolidated Derivative Action pending a final ruling on the anticipated motion to dismiss in the Securities Class Action.</w:t>
      </w:r>
    </w:p>
    <w:p>
      <w:pPr>
        <w:spacing w:after="0" w:line="215" w:lineRule="exact"/>
        <w:rPr>
          <w:sz w:val="20"/>
          <w:szCs w:val="20"/>
          <w:color w:val="auto"/>
        </w:rPr>
      </w:pPr>
    </w:p>
    <w:p>
      <w:pPr>
        <w:ind w:right="60" w:firstLine="1166"/>
        <w:spacing w:after="0" w:line="253" w:lineRule="auto"/>
        <w:rPr>
          <w:sz w:val="20"/>
          <w:szCs w:val="20"/>
          <w:color w:val="auto"/>
        </w:rPr>
      </w:pPr>
      <w:r>
        <w:rPr>
          <w:rFonts w:ascii="Times New Roman" w:cs="Times New Roman" w:eastAsia="Times New Roman" w:hAnsi="Times New Roman"/>
          <w:sz w:val="18"/>
          <w:szCs w:val="18"/>
          <w:color w:val="auto"/>
        </w:rPr>
        <w:t xml:space="preserve">On August 29, 2025, a purported stockholder made a demand on our board of directors to commence a civil action against certain of our current and former directors for breaching their fiduciary duties and violating the securities laws by issuing allegedly false and misleading statements concerning the commercial potential of RYTELO. On September 19, 2025, the board of directors responded that it would defer a final decision on the demand given the other pending derivative lawsuits and the Securities Class Action. On October 7, 2025, the purported stockholder filed a suit in the United States District Court for the Northern District of California, captioned </w:t>
      </w:r>
      <w:r>
        <w:rPr>
          <w:rFonts w:ascii="Times New Roman" w:cs="Times New Roman" w:eastAsia="Times New Roman" w:hAnsi="Times New Roman"/>
          <w:sz w:val="18"/>
          <w:szCs w:val="18"/>
          <w:i w:val="1"/>
          <w:iCs w:val="1"/>
          <w:color w:val="auto"/>
        </w:rPr>
        <w:t>Jae Hyung v. Bir, et al.</w:t>
      </w:r>
      <w:r>
        <w:rPr>
          <w:rFonts w:ascii="Times New Roman" w:cs="Times New Roman" w:eastAsia="Times New Roman" w:hAnsi="Times New Roman"/>
          <w:sz w:val="18"/>
          <w:szCs w:val="18"/>
          <w:color w:val="auto"/>
        </w:rPr>
        <w:t>, No. 3:25-cv-08575. The derivative lawsuit names certain of our current and former directors and officers. The allegations in the derivative lawsuit are substantially similar to the Securities Class Action and the Consolidated Derivative Action. The plaintiff seeks damages and an award of reasonable costs, including attorneys’ and experts’ fees. On January 23 and February 19, 2026, respectively, two additional purported stockholders each made a similar demand on our board of directors. On March 25, 2026, our board of directors similarly responded that it would defer a final decision on the demands given the other pending derivative lawsuits and the Securities Class Action.</w:t>
      </w:r>
    </w:p>
    <w:p>
      <w:pPr>
        <w:spacing w:after="0" w:line="221" w:lineRule="exact"/>
        <w:rPr>
          <w:sz w:val="20"/>
          <w:szCs w:val="20"/>
          <w:color w:val="auto"/>
        </w:rPr>
      </w:pPr>
    </w:p>
    <w:p>
      <w:pPr>
        <w:ind w:right="80" w:firstLine="1166"/>
        <w:spacing w:after="0" w:line="261" w:lineRule="auto"/>
        <w:rPr>
          <w:sz w:val="20"/>
          <w:szCs w:val="20"/>
          <w:color w:val="auto"/>
        </w:rPr>
      </w:pPr>
      <w:r>
        <w:rPr>
          <w:rFonts w:ascii="Times New Roman" w:cs="Times New Roman" w:eastAsia="Times New Roman" w:hAnsi="Times New Roman"/>
          <w:sz w:val="18"/>
          <w:szCs w:val="18"/>
          <w:color w:val="auto"/>
        </w:rPr>
        <w:t>We have also been subject to securities class action lawsuits in the past. In 2020, three securities class action lawsuits were filed against us and certain of our officers. One of the lawsuits was voluntarily dismissed, and we settled the other two lawsuits and a final judgment was entered in October 2023. In 2020 and 2021, seven shareholder derivative actions were filed in a number of courts, naming as defendants certain of our then current officers and certain of our then current and former members of our board. All seven of the shareholder derivative actions were dismissed with prejudice.</w:t>
      </w:r>
    </w:p>
    <w:p>
      <w:pPr>
        <w:spacing w:after="0" w:line="207" w:lineRule="exact"/>
        <w:rPr>
          <w:sz w:val="20"/>
          <w:szCs w:val="20"/>
          <w:color w:val="auto"/>
        </w:rPr>
      </w:pPr>
    </w:p>
    <w:p>
      <w:pPr>
        <w:ind w:firstLine="1166"/>
        <w:spacing w:after="0" w:line="253" w:lineRule="auto"/>
        <w:rPr>
          <w:sz w:val="20"/>
          <w:szCs w:val="20"/>
          <w:color w:val="auto"/>
        </w:rPr>
      </w:pPr>
      <w:r>
        <w:rPr>
          <w:rFonts w:ascii="Times New Roman" w:cs="Times New Roman" w:eastAsia="Times New Roman" w:hAnsi="Times New Roman"/>
          <w:sz w:val="18"/>
          <w:szCs w:val="18"/>
          <w:color w:val="auto"/>
        </w:rPr>
        <w:t>It is possible that additional lawsuits might be filed, or allegations might be received from stockholders, with respect to these same matters as alleged in the pending lawsuits or other matters and also naming us and/or our officers and directors as defendants. Such lawsuits and any other related lawsuits are subject to inherent uncertainties, and the actual defense and disposition costs will depend upon many unknown factors. The outcome of the pending lawsuits and any other related lawsuits is necessarily uncertain. We could be forced to expend significant resources and may incur substantial legal fees and costs in the defense of the pending lawsuits and any related or additional lawsuits, and we may not prevail. Monitoring, initiating and defending against legal actions is also time-consuming for our management, is likely to be expensive and may detract from our ability to fully focus our internal resources on our business activities. Given the early stage of these lawsuits and the inherent uncertainly of litigation, we cannot predict how long it may take to resolve the pending lawsuits or the amount of costs we may incur, or the potential outcome or the possible amount of any damages we may be required to pay. A decision adverse to our interests in the pending lawsuits or in similar or related litigation, could result in the payment of substantial damages or settlements, or possibly fines, and, although we maintain liability insurance, we may not be successful in having any such lawsuits dismissed or settled within the limits of our insurance coverage. If any judgment or settlement against us and costs or expenses associated with the pending litigation exceed our insurance coverage or insurance coverage is denied, we may be forced to bear some or all of these costs and expenses directly, which could be substantial and could have a material adverse effect on our business, our stock price, cash flow, results of operations and financial condition.</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5"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third-party litigation, and such litigation would be costly to defend or pursue and uncertain in its outcome.</w:t>
      </w:r>
    </w:p>
    <w:p>
      <w:pPr>
        <w:spacing w:after="0" w:line="256" w:lineRule="exact"/>
        <w:rPr>
          <w:sz w:val="20"/>
          <w:szCs w:val="20"/>
          <w:color w:val="auto"/>
        </w:rPr>
      </w:pPr>
    </w:p>
    <w:p>
      <w:pPr>
        <w:ind w:right="140" w:firstLine="1166"/>
        <w:spacing w:after="0" w:line="256" w:lineRule="auto"/>
        <w:rPr>
          <w:sz w:val="20"/>
          <w:szCs w:val="20"/>
          <w:color w:val="auto"/>
        </w:rPr>
      </w:pPr>
      <w:r>
        <w:rPr>
          <w:rFonts w:ascii="Times New Roman" w:cs="Times New Roman" w:eastAsia="Times New Roman" w:hAnsi="Times New Roman"/>
          <w:sz w:val="18"/>
          <w:szCs w:val="18"/>
          <w:color w:val="auto"/>
        </w:rPr>
        <w:t>Our business may bring us into conflict with our licensees, licensors, or others with whom we have contractual or other business relationships, or with our competitors or others whose interests differ from ours. Our commercialization of RYTELO may result in product or personal injury disputes, or other disputes with health care providers, patients or other third parties as a result of our commercialization efforts. We may experience employment-related disputes. We may become involved in performance or other disputes with the CROs we have retained to support our clinical development activities, or with other third parties such as service providers, vendors, manufacturers, suppliers or consultants. If we are unable to resolve those conflicts on terms that are satisfactory to all parties, we may become involved in litigation brought by or against us.</w:t>
      </w:r>
    </w:p>
    <w:p>
      <w:pPr>
        <w:spacing w:after="0" w:line="214" w:lineRule="exact"/>
        <w:rPr>
          <w:sz w:val="20"/>
          <w:szCs w:val="20"/>
          <w:color w:val="auto"/>
        </w:rPr>
      </w:pPr>
    </w:p>
    <w:p>
      <w:pPr>
        <w:ind w:right="160" w:firstLine="1166"/>
        <w:spacing w:after="0" w:line="258" w:lineRule="auto"/>
        <w:rPr>
          <w:sz w:val="20"/>
          <w:szCs w:val="20"/>
          <w:color w:val="auto"/>
        </w:rPr>
      </w:pPr>
      <w:r>
        <w:rPr>
          <w:rFonts w:ascii="Times New Roman" w:cs="Times New Roman" w:eastAsia="Times New Roman" w:hAnsi="Times New Roman"/>
          <w:sz w:val="18"/>
          <w:szCs w:val="18"/>
          <w:color w:val="auto"/>
        </w:rPr>
        <w:t>Lawsuits are subject to inherent uncertainties, and defense and disposition costs depend upon many unknown factors. Despite the availability of insurance, we may incur substantial legal fees and costs in connection with litigation. Lawsuits could result in judgments against us that require us to pay damages, enjoin us from certain activities, or otherwise negatively affect our legal or contractual rights, which could have a significant adverse effect on our business. In addition, the inherent uncertainty of such litigation could lead to increased volatility in our stock price and a decrease in the value of our stockholders’ investment in our securities.</w:t>
      </w:r>
    </w:p>
    <w:p>
      <w:pPr>
        <w:spacing w:after="0" w:line="20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202" w:lineRule="exact"/>
        <w:rPr>
          <w:sz w:val="20"/>
          <w:szCs w:val="20"/>
          <w:color w:val="auto"/>
        </w:rPr>
      </w:pPr>
    </w:p>
    <w:p>
      <w:pPr>
        <w:ind w:firstLine="1166"/>
        <w:spacing w:after="0" w:line="249"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SYSTEMS, DATA SECURITY AND DATA PRIVACY</w:t>
      </w:r>
    </w:p>
    <w:p>
      <w:pPr>
        <w:spacing w:after="0" w:line="201"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with whom we work, are or were compromised, we could experience adverse consequences resulting from such compromise, including regulatory investigations or actions; litigation; fines and penalties; a disruption of our business operations, including our clinical trials; reputational harm; loss of revenue and profits; and other adverse consequences.</w:t>
      </w:r>
    </w:p>
    <w:p>
      <w:pPr>
        <w:spacing w:after="0" w:line="202" w:lineRule="exact"/>
        <w:rPr>
          <w:sz w:val="20"/>
          <w:szCs w:val="20"/>
          <w:color w:val="auto"/>
        </w:rPr>
      </w:pPr>
    </w:p>
    <w:p>
      <w:pPr>
        <w:ind w:right="40" w:firstLine="1166"/>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and third parties with whom we work collect, receive, store, use, transfer, make accessible, protect, secure, dispose of, transmit, disclose, or otherwise process proprietary, confidential, and sensitive data, including personal data such as health-related data and participant study related data, intellectual property, and trade secrets (collectively, sensitive information). In addition, we rely on third-party service providers to establish and maintain appropriate information technology and data security protections, including disaster recovery and business continuity procedures, over the information technology systems they provide us to operate our critical business systems, including cloud-based infrastructure and systems, employee email, and data storage and management systems. However, except for the initial cyber security assessments that we conduct for critical service providers and contractual duties and obligations, we have limited ability to control or monitor third parties’ safeguards and actions related to such matters. Furthermore, while we may be entitled to damages if our third-party service providers fail to satisfy their privacy or security-related obligations to us, any award may be insufficient to cover our damages, or we may be unable to recover such award. Most of our employees work remotely, resulting in increased risks of loss or theft of company devices as well as increased risks to our information technology systems and data, as employees utilize network connections, computers, and devices outside our premises and networks, including working at home and while in transit and in public locations.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6" w:name="page77"/>
    <w:bookmarkEnd w:id="76"/>
    <w:p>
      <w:pPr>
        <w:ind w:right="320" w:firstLine="1166"/>
        <w:spacing w:after="0" w:line="261"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207" w:lineRule="exact"/>
        <w:rPr>
          <w:sz w:val="20"/>
          <w:szCs w:val="20"/>
          <w:color w:val="auto"/>
        </w:rPr>
      </w:pPr>
    </w:p>
    <w:p>
      <w:pPr>
        <w:ind w:firstLine="1166"/>
        <w:spacing w:after="0" w:line="254" w:lineRule="auto"/>
        <w:rPr>
          <w:sz w:val="20"/>
          <w:szCs w:val="20"/>
          <w:color w:val="auto"/>
        </w:rPr>
      </w:pPr>
      <w:r>
        <w:rPr>
          <w:rFonts w:ascii="Times New Roman" w:cs="Times New Roman" w:eastAsia="Times New Roman" w:hAnsi="Times New Roman"/>
          <w:sz w:val="18"/>
          <w:szCs w:val="18"/>
          <w:color w:val="auto"/>
        </w:rPr>
        <w:t>Our information technology systems, including in our remote work environment, and those of the third parties with whom we work, have been in the past and may continue to be vulnerable to evolving threats. These threats are prevalent, continue to increase, and come from a variety of sources such as traditional “hackers,” threat actors, “hacktivists,” organized criminal threats actors, or internal bad actors, personnel, sophisticated nation states and nation-state-supported actors. These threats include, but are not limited to, social-engineering attacks, targeted phishing campaigns, malicious code or malware, unauthorized intrusions, denial-of-service attacks, personnel misconduct or errors, ransomware attacks, supply-chain attacks, software bugs, computer viruses, server malfunctions, software, hardware or data center failures, loss of data or other information technology assets, natural disasters, terrorism, war, telecommunication and electrical failures and attacks enhanced or facilitated by artificial intelligence, or AI, and other similar threats. In particular, ransomware attacks are becoming increasingly prevalent and severe and can lead to significant interruptions in operations, loss of sensitive data and income, reputational harm, and diversion of funds.</w:t>
      </w:r>
    </w:p>
    <w:p>
      <w:pPr>
        <w:spacing w:after="0" w:line="215" w:lineRule="exact"/>
        <w:rPr>
          <w:sz w:val="20"/>
          <w:szCs w:val="20"/>
          <w:color w:val="auto"/>
        </w:rPr>
      </w:pPr>
    </w:p>
    <w:p>
      <w:pPr>
        <w:ind w:right="120" w:firstLine="1166"/>
        <w:spacing w:after="0" w:line="255" w:lineRule="auto"/>
        <w:rPr>
          <w:sz w:val="20"/>
          <w:szCs w:val="20"/>
          <w:color w:val="auto"/>
        </w:rPr>
      </w:pPr>
      <w:r>
        <w:rPr>
          <w:rFonts w:ascii="Times New Roman" w:cs="Times New Roman" w:eastAsia="Times New Roman" w:hAnsi="Times New Roman"/>
          <w:sz w:val="18"/>
          <w:szCs w:val="18"/>
          <w:color w:val="auto"/>
        </w:rPr>
        <w:t>If we were to experience such an attack, extortion payments might alleviate the negative impact of a ransomware attack, but we might be unwilling or unable to make such payments due to, for example, applicable laws or regulations prohibiting such payments. Similarly, supply-chain attacks and attacks on clinical trial sites as well as regulatory and health authorities have increased in frequency and severity, and we cannot guarantee that third parties and infrastructure in our supply chain or our third-party partners’ supply chains, or of clinical trial sites and regulatory and health authorities, have not been compromised or that they do not contain exploitable defects or bugs that could result in a breach of or disruption to our information technology systems or the third-party information technology systems that support us and the services provided to us, or remediate and recover compromised systems in a timely manner.</w:t>
      </w:r>
    </w:p>
    <w:p>
      <w:pPr>
        <w:spacing w:after="0" w:line="216" w:lineRule="exact"/>
        <w:rPr>
          <w:sz w:val="20"/>
          <w:szCs w:val="20"/>
          <w:color w:val="auto"/>
        </w:rPr>
      </w:pPr>
    </w:p>
    <w:p>
      <w:pPr>
        <w:ind w:firstLine="1166"/>
        <w:spacing w:after="0" w:line="253" w:lineRule="auto"/>
        <w:rPr>
          <w:sz w:val="20"/>
          <w:szCs w:val="20"/>
          <w:color w:val="auto"/>
        </w:rPr>
      </w:pPr>
      <w:r>
        <w:rPr>
          <w:rFonts w:ascii="Times New Roman" w:cs="Times New Roman" w:eastAsia="Times New Roman" w:hAnsi="Times New Roman"/>
          <w:sz w:val="18"/>
          <w:szCs w:val="18"/>
          <w:color w:val="auto"/>
        </w:rPr>
        <w:t>Such incidents or threats may result in unauthorized, unlawful or accidental loss, corruption, access, modification, destruction, alteration, acquisition or disclosure of sensitive information. The costs to us to attempt to protect against such security incidents could be significant, including potentially requiring us to modify our business, and while we have implemented security measures, policies and procedures designed to protect our information technology systems from cybersecurity threats and to identify and remediate vulnerabilities, such measures may not be fully implemented, complied with or successful in protecting our systems and information. We may expend significant resources or modify our business activities (including our clinical trial activities) to try to protect against security incidents. We may be unable in the future to detect cybersecurity threats or vulnerabilities in our information technology systems because such threats and techniques change frequently, are sophisticated in nature, and may not be detected until after a security incident has occurred.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Unremediated high risk or critical vulnerabilities pose material risks to our business, particularly due to the reliance on software vendors to adequately patch and implement fixes to address critical or high-risk vulnerabilities in a timely manner. Further, we may be materially impacted by software updates applied by our software vendors if such updates cause significant downtime to our systems.</w:t>
      </w:r>
    </w:p>
    <w:p>
      <w:pPr>
        <w:spacing w:after="0" w:line="214" w:lineRule="exact"/>
        <w:rPr>
          <w:sz w:val="20"/>
          <w:szCs w:val="20"/>
          <w:color w:val="auto"/>
        </w:rPr>
      </w:pPr>
    </w:p>
    <w:p>
      <w:pPr>
        <w:ind w:firstLine="1166"/>
        <w:spacing w:after="0" w:line="254" w:lineRule="auto"/>
        <w:rPr>
          <w:sz w:val="20"/>
          <w:szCs w:val="20"/>
          <w:color w:val="auto"/>
        </w:rPr>
      </w:pPr>
      <w:r>
        <w:rPr>
          <w:rFonts w:ascii="Times New Roman" w:cs="Times New Roman" w:eastAsia="Times New Roman" w:hAnsi="Times New Roman"/>
          <w:sz w:val="18"/>
          <w:szCs w:val="18"/>
          <w:color w:val="auto"/>
        </w:rPr>
        <w:t>If we or third parties with whom we work experience or are perceived to have experienced a breach, we may experience material adverse consequences. These consequences may include: government enforcement actions (for example, investigations, fines, penalties, audits, and inspections), interruptions in our operations, including disruption of our commercialization and development efforts, interruptions or restrictions on processing sensitive data (which could result in delays in obtaining, or our inability to obtain, regulatory approvals and significantly increase our costs to recover or reproduce the data), reputational harm, litigation (including class action claims), indemnification obligations, negative publicity, financial loss, and other harms. In addition, such a breach may require public notification of the breach, or we may choose to voluntarily notify relevant stakeholders, or take other actions, such as providing credit monitoring and identity theft protection services, and we have done so in the past. Such disclosures are costly, and the disclosure or the failure to comply with such requirements could lead to adverse consequences.</w:t>
      </w:r>
    </w:p>
    <w:p>
      <w:pPr>
        <w:spacing w:after="0" w:line="219" w:lineRule="exact"/>
        <w:rPr>
          <w:sz w:val="20"/>
          <w:szCs w:val="20"/>
          <w:color w:val="auto"/>
        </w:rPr>
      </w:pPr>
    </w:p>
    <w:p>
      <w:pPr>
        <w:ind w:firstLine="1166"/>
        <w:spacing w:after="0" w:line="266"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77" w:name="page78"/>
    <w:bookmarkEnd w:id="77"/>
    <w:p>
      <w:pPr>
        <w:ind w:right="320"/>
        <w:spacing w:after="0" w:line="261" w:lineRule="auto"/>
        <w:rPr>
          <w:sz w:val="20"/>
          <w:szCs w:val="20"/>
          <w:color w:val="auto"/>
        </w:rPr>
      </w:pPr>
      <w:r>
        <w:rPr>
          <w:rFonts w:ascii="Times New Roman" w:cs="Times New Roman" w:eastAsia="Times New Roman" w:hAnsi="Times New Roman"/>
          <w:sz w:val="18"/>
          <w:szCs w:val="18"/>
          <w:color w:val="auto"/>
        </w:rPr>
        <w:t>information of the Company could be leaked, disclosed, or revealed as a result of or in connection with our employees’, personnel’s, or vendors’ use of generative AI technologies.</w:t>
      </w:r>
    </w:p>
    <w:p>
      <w:pPr>
        <w:ind w:right="60" w:firstLine="1166"/>
        <w:spacing w:after="0" w:line="252" w:lineRule="auto"/>
        <w:rPr>
          <w:sz w:val="20"/>
          <w:szCs w:val="20"/>
          <w:color w:val="auto"/>
        </w:rPr>
      </w:pPr>
      <w:r>
        <w:rPr>
          <w:rFonts w:ascii="Times New Roman" w:cs="Times New Roman" w:eastAsia="Times New Roman" w:hAnsi="Times New Roman"/>
          <w:sz w:val="18"/>
          <w:szCs w:val="18"/>
          <w:color w:val="auto"/>
        </w:rPr>
        <w:t>Many of our contracts with relevant stakeholders include obligations relating to the safeguard of sensitive information, and a breach could lead to claims against us by such stakeholders. There can be no assurance that the limitations of liability in our contracts would be enforceable or adequate or would otherwise protect us from liabilities, damages, or claims relating to our data privacy and security obligations. In addition, failure to maintain effective internal accounting controls related to data security breaches and cybersecurity in general could impact our ability to produce timely and accurate financial statements and could subject us to regulatory scrutiny. While we do maintain cyber liability insurance, our insurance coverages may not be sufficient in type or amount to cover us against any such losses, claims, or liabilities related to security breaches, cyber-attacks, cyber intrusion, or other related breaches or disruptions.</w:t>
      </w:r>
    </w:p>
    <w:p>
      <w:pPr>
        <w:spacing w:after="0" w:line="21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and third parties with whom we work are subject to stringent and changing U.S. and foreign laws, regulations,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fines and penalties; disruptions of our business operations; reputational harm; loss of revenue and profits; and other adverse business impacts.</w:t>
      </w:r>
    </w:p>
    <w:p>
      <w:pPr>
        <w:spacing w:after="0" w:line="207" w:lineRule="exact"/>
        <w:rPr>
          <w:sz w:val="20"/>
          <w:szCs w:val="20"/>
          <w:color w:val="auto"/>
        </w:rPr>
      </w:pPr>
    </w:p>
    <w:p>
      <w:pPr>
        <w:ind w:right="120" w:firstLine="1166"/>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process personal data and other sensitive data, including proprietary and confidential business data, trade secrets, intellectual property, clinical trial participant data, and other sensitive third-party data. We are therefore subject to or affected by numerous data privacy and security obligations, such as federal, state, local and foreign laws, regulations, guidance, industry standards, external and internal privacy and security policies, contracts, and other obligations governing the processing of personal data. These obligations may change, are subject to differing interpretations and may be inconsistent or conflict among jurisdictions. The global data protection landscape is rapidly evolving, and implementation standards and enforcement practices are likely to remain uncertain for the foreseeable future. This evolution may create uncertainty in our business; affect us or our collaborators’, service providers’ and contractors’ ability to operate in certain jurisdictions or to collect, store, transfer, use and share personal data; necessitate the acceptance of more onerous obligations in our contracts; result in liability; or impose additional costs on us. These obligations may necessitate changes to our information technologies, systems, and practices and to those of any third parties that process personal data on our behalf. In addition, these obligations may require us to change our business model.</w:t>
      </w:r>
    </w:p>
    <w:p>
      <w:pPr>
        <w:spacing w:after="0" w:line="221" w:lineRule="exact"/>
        <w:rPr>
          <w:sz w:val="20"/>
          <w:szCs w:val="20"/>
          <w:color w:val="auto"/>
        </w:rPr>
      </w:pPr>
    </w:p>
    <w:p>
      <w:pPr>
        <w:ind w:right="60" w:firstLine="1166"/>
        <w:spacing w:after="0" w:line="256" w:lineRule="auto"/>
        <w:rPr>
          <w:sz w:val="20"/>
          <w:szCs w:val="20"/>
          <w:color w:val="auto"/>
        </w:rPr>
      </w:pPr>
      <w:r>
        <w:rPr>
          <w:rFonts w:ascii="Times New Roman" w:cs="Times New Roman" w:eastAsia="Times New Roman" w:hAnsi="Times New Roman"/>
          <w:sz w:val="18"/>
          <w:szCs w:val="18"/>
          <w:color w:val="auto"/>
        </w:rPr>
        <w:t>Outside the U.S., an increasing number of laws, regulations, and industry standards apply to data privacy and security. For example, the European Union’s General Data Protection Regulation, or the EU GDPR, and the United Kingdom’s GDPR, or the UK GDPR (collectively, the “GDPR”), impose strict requirements on the processing of personal data. For example, under GDPR, government regulators may impose temporary or definitive bans on data processing,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214" w:lineRule="exact"/>
        <w:rPr>
          <w:sz w:val="20"/>
          <w:szCs w:val="20"/>
          <w:color w:val="auto"/>
        </w:rPr>
      </w:pPr>
    </w:p>
    <w:p>
      <w:pPr>
        <w:ind w:firstLine="1166"/>
        <w:spacing w:after="0" w:line="252"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the EEA, the UK and other jurisdictions to the U.S. or other countries due to data localization requirements or limitations on cross-border data flows. The EEA and other jurisdictions have enacted laws requiring data to be localized or limiting the transfer of personal data to other countries. In particular, the EEA and the UK have significantly restricted the transfer of personal data to the U.S.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U.S. in compliance with law, such as the EEA and UK’s standard contractual clauses, the UK’s International Data Transfer Agreement / Addendum, and the EU-U.S. Data Privacy Framework and the UK extension thereto, these mechanisms are subject to legal challenges, and there is no assurance that we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U.S., are subject to increased scrutiny from regulators, individual litigants, and activist groups, and some EEA regulators have prevented companies from transferring personal data out of the EEA for allegedly violating the EU GDPR’s cross-border data transfer limitations.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78" w:name="page79"/>
    <w:bookmarkEnd w:id="78"/>
    <w:p>
      <w:pPr>
        <w:ind w:right="40" w:firstLine="1166"/>
        <w:spacing w:after="0" w:line="253" w:lineRule="auto"/>
        <w:rPr>
          <w:sz w:val="20"/>
          <w:szCs w:val="20"/>
          <w:color w:val="auto"/>
        </w:rPr>
      </w:pPr>
      <w:r>
        <w:rPr>
          <w:rFonts w:ascii="Times New Roman" w:cs="Times New Roman" w:eastAsia="Times New Roman" w:hAnsi="Times New Roman"/>
          <w:sz w:val="18"/>
          <w:szCs w:val="18"/>
          <w:color w:val="auto"/>
        </w:rPr>
        <w:t>Likewise, we expect that there will continue to be new proposed laws, regulations and industry standards relating to data privacy and security in the U.S. For example, HIPAA, as amended by HITECH, imposes specific requirements relating to the privacy, security, and transmission of individually identifiable health data. Additionally, the California Consumer Privacy Act of 2018, as amended by the California Privacy Rights Act of 2020, or CPRA, collectively CCPA, imposes obligations on businesses to which it applies. These obligations include, but are not limited to, providing specific disclosures in privacy notices and affording California residents certain rights related to their personal data. The CCPA allows for statutory fines for noncompliance. While the CCPA contains limited exceptions for clinical trial data, the CCPA’s implementation standards and enforcement practices are likely to remain uncertain for the foreseeable future. In addition, the CPRA establishes a California Privacy Protection Agency to implement and enforce the CPRA, which could increase the risk of an enforcement action, and applies to personal data of business representatives and employees. Other states have also enacted data privacy and security laws. For example, Virginia passed the Consumer Data Protection Act, and Colorado passed the Colorado Privacy Act, both of which differ from the CPRA and became effective in 2023. If we become subject to new data privacy and security laws, at the state level or otherwise, the risk of enforcement action against us could increase because we may become subject to additional obligations, and the number of individuals or entities that can initiate actions against us may increase.</w:t>
      </w:r>
    </w:p>
    <w:p>
      <w:pPr>
        <w:spacing w:after="0" w:line="217" w:lineRule="exact"/>
        <w:rPr>
          <w:sz w:val="20"/>
          <w:szCs w:val="20"/>
          <w:color w:val="auto"/>
        </w:rPr>
      </w:pPr>
    </w:p>
    <w:p>
      <w:pPr>
        <w:ind w:right="160" w:firstLine="1134"/>
        <w:spacing w:after="0" w:line="266" w:lineRule="auto"/>
        <w:rPr>
          <w:sz w:val="20"/>
          <w:szCs w:val="20"/>
          <w:color w:val="auto"/>
        </w:rPr>
      </w:pPr>
      <w:r>
        <w:rPr>
          <w:rFonts w:ascii="Times New Roman" w:cs="Times New Roman" w:eastAsia="Times New Roman" w:hAnsi="Times New Roman"/>
          <w:sz w:val="18"/>
          <w:szCs w:val="18"/>
          <w:color w:val="auto"/>
        </w:rPr>
        <w:t>In Europe, the Network and Information Security Directive (“NIS2”) regulates resilience and incident response capabilities of entities operating in a number of sectors, including the health sector. Non-compliance with NIS2 may lead up to administrative fines of a maximum of 10 million Euros or up to 2% of the total worldwide revenue of the preceding fiscal year.</w:t>
      </w:r>
    </w:p>
    <w:p>
      <w:pPr>
        <w:spacing w:after="0" w:line="203" w:lineRule="exact"/>
        <w:rPr>
          <w:sz w:val="20"/>
          <w:szCs w:val="20"/>
          <w:color w:val="auto"/>
        </w:rPr>
      </w:pPr>
    </w:p>
    <w:p>
      <w:pPr>
        <w:ind w:right="20" w:firstLine="1134"/>
        <w:spacing w:after="0" w:line="261" w:lineRule="auto"/>
        <w:rPr>
          <w:sz w:val="20"/>
          <w:szCs w:val="20"/>
          <w:color w:val="auto"/>
        </w:rPr>
      </w:pPr>
      <w:r>
        <w:rPr>
          <w:rFonts w:ascii="Times New Roman" w:cs="Times New Roman" w:eastAsia="Times New Roman" w:hAnsi="Times New Roman"/>
          <w:sz w:val="18"/>
          <w:szCs w:val="18"/>
          <w:color w:val="auto"/>
        </w:rPr>
        <w:t>Our employees and personnel use generative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207" w:lineRule="exact"/>
        <w:rPr>
          <w:sz w:val="20"/>
          <w:szCs w:val="20"/>
          <w:color w:val="auto"/>
        </w:rPr>
      </w:pPr>
    </w:p>
    <w:p>
      <w:pPr>
        <w:ind w:firstLine="1134"/>
        <w:spacing w:after="0" w:line="254" w:lineRule="auto"/>
        <w:rPr>
          <w:sz w:val="20"/>
          <w:szCs w:val="20"/>
          <w:color w:val="auto"/>
        </w:rPr>
      </w:pPr>
      <w:r>
        <w:rPr>
          <w:rFonts w:ascii="Times New Roman" w:cs="Times New Roman" w:eastAsia="Times New Roman" w:hAnsi="Times New Roman"/>
          <w:sz w:val="18"/>
          <w:szCs w:val="18"/>
          <w:color w:val="auto"/>
        </w:rPr>
        <w:t>In addition to data privacy and security laws, we are contractually subject to industry standards adopted by industry groups and we are, and may become in the future, subject to such obligations. Moreover, clinical trial participants or research subjects about whom we or our vendors obtain information, as well as the providers who share this information with us, may contractually limit our ability to use and disclose the information. We are also bound by other contractual obligations related to data privacy and security, and our efforts to comply with such obligations may not be successful. We may publish privacy policies, marketing materials, white papers, and other statements, such as statements relating to compliance with certain certifications or self-regulatory principles concerning data privacy and security. Regulators in the U.S.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219" w:lineRule="exact"/>
        <w:rPr>
          <w:sz w:val="20"/>
          <w:szCs w:val="20"/>
          <w:color w:val="auto"/>
        </w:rPr>
      </w:pPr>
    </w:p>
    <w:p>
      <w:pPr>
        <w:ind w:right="80" w:firstLine="1166"/>
        <w:spacing w:after="0" w:line="254" w:lineRule="auto"/>
        <w:rPr>
          <w:sz w:val="20"/>
          <w:szCs w:val="20"/>
          <w:color w:val="auto"/>
        </w:rPr>
      </w:pPr>
      <w:r>
        <w:rPr>
          <w:rFonts w:ascii="Times New Roman" w:cs="Times New Roman" w:eastAsia="Times New Roman" w:hAnsi="Times New Roman"/>
          <w:sz w:val="18"/>
          <w:szCs w:val="18"/>
          <w:color w:val="auto"/>
        </w:rPr>
        <w:t>It is possible that, in the future, we may fail or be perceived to have failed to comply with applicable data privacy and security obligations. Moreover, despite our best compliance efforts, we may not be successful in achieving compliance if our personnel or third parties with whom we work fail to comply with such obligations, which could negatively impact our business operations and compliance posture. If we or the third parties with whom we work fail, or are perceived to have failed, to address or comply with data privacy and security obligations, we could face significant consequences. These consequences may include, but are not limited to, government enforcement actions; litigation;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interruptions or stoppages in our business operations including, as relevant, clinical trials; inability to process personal data or to operate in certain jurisdictions; limited ability to continue to develop or commercialize RYTELO; expenditure of time and resources to defend any claim or inquiry; adverse publicity; or revision or restructuring of our operations.</w:t>
      </w:r>
    </w:p>
    <w:p>
      <w:pPr>
        <w:spacing w:after="0" w:line="18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FINANCIAL REPORTING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Historically, our stock price has been extremely volatile and your investment may suffer a decline in value.</w:t>
      </w:r>
    </w:p>
    <w:p>
      <w:pPr>
        <w:spacing w:after="0" w:line="229" w:lineRule="exact"/>
        <w:rPr>
          <w:sz w:val="20"/>
          <w:szCs w:val="20"/>
          <w:color w:val="auto"/>
        </w:rPr>
      </w:pPr>
    </w:p>
    <w:p>
      <w:pPr>
        <w:ind w:right="340" w:firstLine="1166"/>
        <w:spacing w:after="0" w:line="282" w:lineRule="auto"/>
        <w:rPr>
          <w:sz w:val="20"/>
          <w:szCs w:val="20"/>
          <w:color w:val="auto"/>
        </w:rPr>
      </w:pPr>
      <w:r>
        <w:rPr>
          <w:rFonts w:ascii="Times New Roman" w:cs="Times New Roman" w:eastAsia="Times New Roman" w:hAnsi="Times New Roman"/>
          <w:sz w:val="18"/>
          <w:szCs w:val="18"/>
          <w:color w:val="auto"/>
        </w:rPr>
        <w:t>Historically, our stock price has been extremely volatile. Between January 1, 2016 and March 31, 2026, our stock has traded as high as $6.38 per share and as low as $0.89 per share. Between April 1, 2025 and March 31, 2026,</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79" w:name="page80"/>
    <w:bookmarkEnd w:id="79"/>
    <w:p>
      <w:pPr>
        <w:ind w:right="220"/>
        <w:spacing w:after="0" w:line="282" w:lineRule="auto"/>
        <w:rPr>
          <w:sz w:val="20"/>
          <w:szCs w:val="20"/>
          <w:color w:val="auto"/>
        </w:rPr>
      </w:pPr>
      <w:r>
        <w:rPr>
          <w:rFonts w:ascii="Times New Roman" w:cs="Times New Roman" w:eastAsia="Times New Roman" w:hAnsi="Times New Roman"/>
          <w:sz w:val="18"/>
          <w:szCs w:val="18"/>
          <w:color w:val="auto"/>
        </w:rPr>
        <w:t>the price has ranged between a high of $1.95 per share and a low of $1.04 per share. The significant market price fluctuations of our common stock have been due to and may in the future be influenced by a variety of factors, including:</w:t>
      </w:r>
    </w:p>
    <w:p>
      <w:pPr>
        <w:spacing w:after="0" w:line="162"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and market opportunity for future sales of RYTELO;</w:t>
      </w:r>
    </w:p>
    <w:p>
      <w:pPr>
        <w:spacing w:after="0" w:line="27"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regulatory approval or non-approval of RYTELO in any other jurisdictions or indications, or specific label indications for RYTELO, or restrictions, warnings or limitations in its use;</w:t>
      </w:r>
    </w:p>
    <w:p>
      <w:pPr>
        <w:ind w:left="660" w:hanging="328"/>
        <w:spacing w:after="0" w:line="250"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the research and development of imetelstat, or adverse efficacy or safety results of, further delays in the commencement, enrollment or conduct of, discontinuation of, or further modifications or refinements to any current or potential future clinical trials, or our inability to successfully continue the development of imetelstat;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if and when needed, to further advance our development program;</w:t>
      </w:r>
    </w:p>
    <w:p>
      <w:pPr>
        <w:spacing w:after="0" w:line="9" w:lineRule="exact"/>
        <w:rPr>
          <w:rFonts w:ascii="Times New Roman" w:cs="Times New Roman" w:eastAsia="Times New Roman" w:hAnsi="Times New Roman"/>
          <w:sz w:val="18"/>
          <w:szCs w:val="18"/>
          <w:color w:val="auto"/>
        </w:rPr>
      </w:pPr>
    </w:p>
    <w:p>
      <w:pPr>
        <w:ind w:left="660" w:right="300" w:hanging="328"/>
        <w:spacing w:after="0" w:line="250"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RYTELO, including laws or regulations concerning the commercialization of RYTELO or clinical trial requirements for approval or other regulatory developments related to RYTELO;</w:t>
      </w:r>
    </w:p>
    <w:p>
      <w:pPr>
        <w:ind w:left="660" w:right="140" w:hanging="328"/>
        <w:spacing w:after="0" w:line="250"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manufacturers, including our inability to obtain adequate product supply for RYTELO or inability to do so at acceptable prices;</w:t>
      </w: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market opportunity for RYTELO in its currently approved and any potential future approved indications;</w:t>
      </w:r>
    </w:p>
    <w:p>
      <w:pPr>
        <w:spacing w:after="0" w:line="9"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RYTELO proprietary rights, including patents, litigation matters and our ability to obtain, enforce and defend patent protection and maintain regulatory exclusivity for RYTELO and our technologies;</w:t>
      </w:r>
    </w:p>
    <w:p>
      <w:pPr>
        <w:ind w:left="660" w:right="680" w:hanging="328"/>
        <w:spacing w:after="0" w:line="250"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future collaboration agreements for the further development and commercialization of RYTELO that we may establish;</w:t>
      </w: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collaborations, joint ventures or capital commitments by us or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or continuing operating losses;</w:t>
      </w:r>
    </w:p>
    <w:p>
      <w:pPr>
        <w:spacing w:after="0" w:line="9" w:lineRule="exact"/>
        <w:rPr>
          <w:rFonts w:ascii="Times New Roman" w:cs="Times New Roman" w:eastAsia="Times New Roman" w:hAnsi="Times New Roman"/>
          <w:sz w:val="18"/>
          <w:szCs w:val="18"/>
          <w:color w:val="auto"/>
        </w:rPr>
      </w:pPr>
    </w:p>
    <w:p>
      <w:pPr>
        <w:ind w:left="660" w:right="560" w:hanging="328"/>
        <w:spacing w:after="0" w:line="250"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domestic and international market conditions or market conditions relating to the biopharmaceutical and pharmaceutical industries, especially given the volatility caused by macroeconomic or other global conditions,</w:t>
      </w: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of the biotechnology and pharmaceutical industry by the public, legislature, regulators and the investment community;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general public;</w:t>
      </w:r>
    </w:p>
    <w:p>
      <w:pPr>
        <w:spacing w:after="0" w:line="9" w:lineRule="exact"/>
        <w:rPr>
          <w:rFonts w:ascii="Times New Roman" w:cs="Times New Roman" w:eastAsia="Times New Roman" w:hAnsi="Times New Roman"/>
          <w:sz w:val="18"/>
          <w:szCs w:val="18"/>
          <w:color w:val="auto"/>
        </w:rPr>
      </w:pPr>
    </w:p>
    <w:p>
      <w:pPr>
        <w:ind w:left="660" w:right="620" w:hanging="328"/>
        <w:spacing w:after="0" w:line="250"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commentary, articles or research reports about us or our industry, or positive or negative recommendations or withdrawal of research coverage by securities analysts, bloggers, news media or other third parties;</w:t>
      </w: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sales of common stock by stockholders;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or developments concerning pending and potential future litigation;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instituted by activist shareholders or others;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that are beyond our control;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other risks and uncertainties discussed under the heading “Risk Factors.”</w:t>
      </w:r>
    </w:p>
    <w:p>
      <w:pPr>
        <w:spacing w:after="0" w:line="232" w:lineRule="exact"/>
        <w:rPr>
          <w:sz w:val="20"/>
          <w:szCs w:val="20"/>
          <w:color w:val="auto"/>
        </w:rPr>
      </w:pPr>
    </w:p>
    <w:p>
      <w:pPr>
        <w:ind w:right="80" w:firstLine="1166"/>
        <w:spacing w:after="0" w:line="254" w:lineRule="auto"/>
        <w:rPr>
          <w:sz w:val="20"/>
          <w:szCs w:val="20"/>
          <w:color w:val="auto"/>
        </w:rPr>
      </w:pPr>
      <w:r>
        <w:rPr>
          <w:rFonts w:ascii="Times New Roman" w:cs="Times New Roman" w:eastAsia="Times New Roman" w:hAnsi="Times New Roman"/>
          <w:sz w:val="18"/>
          <w:szCs w:val="18"/>
          <w:color w:val="auto"/>
        </w:rPr>
        <w:t>In addition, as further discussed in the Risk Factor above titled “</w:t>
      </w:r>
      <w:r>
        <w:rPr>
          <w:rFonts w:ascii="Times New Roman" w:cs="Times New Roman" w:eastAsia="Times New Roman" w:hAnsi="Times New Roman"/>
          <w:sz w:val="18"/>
          <w:szCs w:val="18"/>
          <w:i w:val="1"/>
          <w:iCs w:val="1"/>
          <w:color w:val="auto"/>
        </w:rPr>
        <w:t>We and certain of our current and former officers and directors have been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named as defendants in securities class action lawsuits and derivative lawsuits. These lawsuits, and potential similar or related lawsuits, could result in substantial damages, divert management’s time and attention from our business, and have a material adverse effect on our results of operations. These lawsuits, and any other lawsuits to which we are subject, may be costly to defend or pursue and are uncertain in their outcome</w:t>
      </w:r>
      <w:r>
        <w:rPr>
          <w:rFonts w:ascii="Times New Roman" w:cs="Times New Roman" w:eastAsia="Times New Roman" w:hAnsi="Times New Roman"/>
          <w:sz w:val="18"/>
          <w:szCs w:val="18"/>
          <w:color w:val="auto"/>
        </w:rPr>
        <w:t>,” we and certain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and former officers and directors have been named as defendants in securities class action and derivative lawsuits. Such lawsuits have often been instituted against companies, including us, whose securities have experienced periods of volatility in market price. The pending lawsuits and any lawsuits brought against us in the future could result in substantial costs and divert our management’s attention and resources, which could have a material adverse effect on our financial condition and business operations and lead to increased volatility in our stock price and a decrease in the value of our stockholders’ investment in our securities.</w:t>
      </w:r>
    </w:p>
    <w:p>
      <w:pPr>
        <w:spacing w:after="0" w:line="21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maintain compliance with the continued listing requirements of the Nasdaq Global Select Market may result in our common stock being delisted from the Nasdaq Global Select Market, which could negatively impact the</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price of our common stock, liquidity, our ability to access the capital markets and our stockholders’ ability to sell their shares.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common stock is currently listed on the Nasdaq Global Select Market, or Nasdaq, under the symbol “GERN.” The listing standards of Nasdaq provide that a company, in order to qualify for continued listing, must maintain a minimum stock price of $1.00 and satisfy standards relative to minimum stockholders’ equity, minimum market value of publicly held shares and various additional requirements. Historically, our stock price has been extremely volatile and recently, our stock has traded as low as $1.04 per share through May 1, 2026. While our common stock is currently listed on Nasdaq, we can give no assurance that we will be able to maintain compliance with the continued listing requirements for Nasdaq. If we fail to maintain compliance with any such continued listing requirement, there can also be no assurance that we will be able to regain compliance with any such continued listing requirement in the future or that our common stock will not be delisted in the future. If Nasdaq delists our securities from trading on its exchange for failure to meet the listing standards, we and our stockholders could face significant negative consequences including:</w:t>
      </w:r>
    </w:p>
    <w:p>
      <w:pPr>
        <w:spacing w:after="0" w:line="219"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our securities;</w:t>
      </w:r>
    </w:p>
    <w:p>
      <w:pPr>
        <w:spacing w:after="0" w:line="27"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common stock is a “penny stock”, which would require brokers trading in the common stock to adhere to more stringent rules, possibly resulting in a reduced level of trading activity in the secondary trading market for shares of common stock;</w:t>
      </w:r>
    </w:p>
    <w:p>
      <w:pPr>
        <w:ind w:left="700" w:hanging="368"/>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if any; and</w:t>
      </w:r>
    </w:p>
    <w:p>
      <w:pPr>
        <w:spacing w:after="0" w:line="9"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34" w:lineRule="exact"/>
        <w:rPr>
          <w:sz w:val="20"/>
          <w:szCs w:val="20"/>
          <w:color w:val="auto"/>
        </w:rPr>
      </w:pPr>
    </w:p>
    <w:p>
      <w:pPr>
        <w:ind w:right="120" w:firstLine="1166"/>
        <w:spacing w:after="0" w:line="282" w:lineRule="auto"/>
        <w:rPr>
          <w:sz w:val="20"/>
          <w:szCs w:val="20"/>
          <w:color w:val="auto"/>
        </w:rPr>
      </w:pPr>
      <w:r>
        <w:rPr>
          <w:rFonts w:ascii="Times New Roman" w:cs="Times New Roman" w:eastAsia="Times New Roman" w:hAnsi="Times New Roman"/>
          <w:sz w:val="18"/>
          <w:szCs w:val="18"/>
          <w:color w:val="auto"/>
        </w:rPr>
        <w:t>Delisting from Nasdaq could also result in other negative consequences, including the potential loss of confidence by suppliers, customers and employees, the loss of institutional investor interest and fewer business development opportunities.</w:t>
      </w:r>
    </w:p>
    <w:p>
      <w:pPr>
        <w:spacing w:after="0" w:line="185"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bylaws and Delaware law may inhibit potential acquisition bids for us, which may adversely affect the market price of our common stock and/or prevent holders of our common stock from benefiting from what they believe may be the positive aspects of acquisitions and takeovers.</w:t>
      </w:r>
    </w:p>
    <w:p>
      <w:pPr>
        <w:spacing w:after="0" w:line="202" w:lineRule="exact"/>
        <w:rPr>
          <w:sz w:val="20"/>
          <w:szCs w:val="20"/>
          <w:color w:val="auto"/>
        </w:rPr>
      </w:pPr>
    </w:p>
    <w:p>
      <w:pPr>
        <w:ind w:right="120" w:firstLine="1166"/>
        <w:spacing w:after="0" w:line="261" w:lineRule="auto"/>
        <w:rPr>
          <w:sz w:val="20"/>
          <w:szCs w:val="20"/>
          <w:color w:val="auto"/>
        </w:rPr>
      </w:pPr>
      <w:r>
        <w:rPr>
          <w:rFonts w:ascii="Times New Roman" w:cs="Times New Roman" w:eastAsia="Times New Roman" w:hAnsi="Times New Roman"/>
          <w:sz w:val="18"/>
          <w:szCs w:val="18"/>
          <w:color w:val="auto"/>
        </w:rPr>
        <w:t>Provisions of our charter documents and bylaws may make it substantially more difficult for a third party to acquire control of us and may prevent changes in our management, including provisions that prevent stockholders from taking actions by written consent, divide the board of directors into separate classes with terms of office that are structured to prevent all of the directors from being elected in any one year and set forth procedures for nominating directors and submitting proposals for consideration at stockholders’ meetings.</w:t>
      </w:r>
    </w:p>
    <w:p>
      <w:pPr>
        <w:spacing w:after="0" w:line="207" w:lineRule="exact"/>
        <w:rPr>
          <w:sz w:val="20"/>
          <w:szCs w:val="20"/>
          <w:color w:val="auto"/>
        </w:rPr>
      </w:pPr>
    </w:p>
    <w:p>
      <w:pPr>
        <w:ind w:right="180" w:firstLine="1166"/>
        <w:spacing w:after="0" w:line="261" w:lineRule="auto"/>
        <w:rPr>
          <w:sz w:val="20"/>
          <w:szCs w:val="20"/>
          <w:color w:val="auto"/>
        </w:rPr>
      </w:pPr>
      <w:r>
        <w:rPr>
          <w:rFonts w:ascii="Times New Roman" w:cs="Times New Roman" w:eastAsia="Times New Roman" w:hAnsi="Times New Roman"/>
          <w:sz w:val="18"/>
          <w:szCs w:val="18"/>
          <w:color w:val="auto"/>
        </w:rPr>
        <w:t>In addition, our certificate of incorporation provides our board of directors with the authority to issue up to 3,000,000 shares of undesignated preferred stock and to determine or alter the rights, preferences, privileges and restrictions granted to or imported upon these shares without further vote or action by our stockholders. The issuance of shares of preferred stock may delay or prevent a change in control transaction without further action by our stockholders. As a result, the market price of our common stock may be adversely affected.</w:t>
      </w:r>
    </w:p>
    <w:p>
      <w:pPr>
        <w:spacing w:after="0" w:line="207" w:lineRule="exact"/>
        <w:rPr>
          <w:sz w:val="20"/>
          <w:szCs w:val="20"/>
          <w:color w:val="auto"/>
        </w:rPr>
      </w:pPr>
    </w:p>
    <w:p>
      <w:pPr>
        <w:ind w:right="180" w:firstLine="1166"/>
        <w:spacing w:after="0" w:line="266" w:lineRule="auto"/>
        <w:rPr>
          <w:sz w:val="20"/>
          <w:szCs w:val="20"/>
          <w:color w:val="auto"/>
        </w:rPr>
      </w:pPr>
      <w:r>
        <w:rPr>
          <w:rFonts w:ascii="Times New Roman" w:cs="Times New Roman" w:eastAsia="Times New Roman" w:hAnsi="Times New Roman"/>
          <w:sz w:val="18"/>
          <w:szCs w:val="18"/>
          <w:color w:val="auto"/>
        </w:rPr>
        <w:t>If in the future, we issue preferred stock that has preference over our common stock with respect to the payment of dividends or upon our liquidation, dissolution or winding up, or if we issue preferred stock with voting rights that dilute the voting power of our common stock, the rights of holders of our common stock or the market price of our common stock could be adversely affected.</w:t>
      </w:r>
    </w:p>
    <w:p>
      <w:pPr>
        <w:spacing w:after="0" w:line="203" w:lineRule="exact"/>
        <w:rPr>
          <w:sz w:val="20"/>
          <w:szCs w:val="20"/>
          <w:color w:val="auto"/>
        </w:rPr>
      </w:pPr>
    </w:p>
    <w:p>
      <w:pPr>
        <w:ind w:firstLine="1166"/>
        <w:spacing w:after="0" w:line="258" w:lineRule="auto"/>
        <w:rPr>
          <w:sz w:val="20"/>
          <w:szCs w:val="20"/>
          <w:color w:val="auto"/>
        </w:rPr>
      </w:pPr>
      <w:r>
        <w:rPr>
          <w:rFonts w:ascii="Times New Roman" w:cs="Times New Roman" w:eastAsia="Times New Roman" w:hAnsi="Times New Roman"/>
          <w:sz w:val="18"/>
          <w:szCs w:val="18"/>
          <w:color w:val="auto"/>
        </w:rPr>
        <w:t>Provisions of Delaware law may also inhibit potential acquisition bids for us or prevent us from engaging in business combinations. In addition, we have individual severance agreements with our executive officers and a company-wide severance plan, either of which could require a potential acquirer to pay a higher price. Either collectively or individually, these provisions may prevent holders of our common stock from benefiting from what they may believe are the positive aspects of acquisitions and takeovers, including the potential realization of a higher rate of return on their investment from these types of transactions.</w:t>
      </w:r>
    </w:p>
    <w:p>
      <w:pPr>
        <w:spacing w:after="0" w:line="206"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exclusive forum provisions in our amended and restated bylaws could limit our stockholders’ ability to obtain a favorable judicial forum for disputes with us or any of our directors, officers, or employees, or the underwriters of any offering giving rise to such claim, which may discourage lawsuits with respect to such claims.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81" w:name="page82"/>
    <w:bookmarkEnd w:id="81"/>
    <w:p>
      <w:pPr>
        <w:ind w:right="20" w:firstLine="1166"/>
        <w:spacing w:after="0" w:line="261"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will be the sole and exclusive forum for:</w:t>
      </w:r>
    </w:p>
    <w:p>
      <w:pPr>
        <w:spacing w:after="0" w:line="207"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claim or cause of action or proceeding brought on our behalf;</w:t>
      </w:r>
    </w:p>
    <w:p>
      <w:pPr>
        <w:spacing w:after="0" w:line="27" w:lineRule="exact"/>
        <w:rPr>
          <w:rFonts w:ascii="Times New Roman" w:cs="Times New Roman" w:eastAsia="Times New Roman" w:hAnsi="Times New Roman"/>
          <w:sz w:val="18"/>
          <w:szCs w:val="18"/>
          <w:color w:val="auto"/>
        </w:rPr>
      </w:pPr>
    </w:p>
    <w:p>
      <w:pPr>
        <w:ind w:left="660" w:right="420" w:hanging="328"/>
        <w:spacing w:after="0" w:line="250"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for breach of a fiduciary duty owed by any of our current or former directors, officers or other employees, or our stockholders, to us or to our stockholders;</w:t>
      </w:r>
    </w:p>
    <w:p>
      <w:pPr>
        <w:ind w:left="660" w:right="80" w:hanging="328"/>
        <w:spacing w:after="0" w:line="250"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or any of our current or former directors, officers or other employees, or our stockholders, arising pursuant to any provision of the General Corporation Law of the State of Delaware, our certificate of incorporation, or our bylaws;</w:t>
      </w: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seeking to interpret, apply, enforce or determine the validity of our certificate of incorporation or bylaws;</w:t>
      </w:r>
    </w:p>
    <w:p>
      <w:pPr>
        <w:spacing w:after="0" w:line="9"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as to which the General Corporation Law of the State of Delaware confers jurisdiction on the Court of Chancery of the State of Delaware; or</w:t>
      </w:r>
    </w:p>
    <w:p>
      <w:pPr>
        <w:ind w:left="660" w:right="80" w:hanging="328"/>
        <w:spacing w:after="0" w:line="260"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or any of our current or former directors, officers or other employees, or our stockholders, governed by the internal affairs doctrine or otherwise related to our internal affairs.</w:t>
      </w:r>
    </w:p>
    <w:p>
      <w:pPr>
        <w:spacing w:after="0" w:line="208" w:lineRule="exact"/>
        <w:rPr>
          <w:sz w:val="20"/>
          <w:szCs w:val="20"/>
          <w:color w:val="auto"/>
        </w:rPr>
      </w:pPr>
    </w:p>
    <w:p>
      <w:pPr>
        <w:ind w:firstLine="1166"/>
        <w:spacing w:after="0" w:line="253" w:lineRule="auto"/>
        <w:rPr>
          <w:sz w:val="20"/>
          <w:szCs w:val="20"/>
          <w:color w:val="auto"/>
        </w:rPr>
      </w:pPr>
      <w:r>
        <w:rPr>
          <w:rFonts w:ascii="Times New Roman" w:cs="Times New Roman" w:eastAsia="Times New Roman" w:hAnsi="Times New Roman"/>
          <w:sz w:val="18"/>
          <w:szCs w:val="18"/>
          <w:color w:val="auto"/>
        </w:rPr>
        <w:t>In addition, Section 22 of the Securities Act creates concurrent jurisdiction for federal and state courts over all claims brought to enforce any duty or liability created by the Securities Act of 1933, as amended, or the Securities Act, or the rules and regulations thereunder. Our amended and restated bylaws provide that the federal district courts of the United States of America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The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w:t>
      </w:r>
    </w:p>
    <w:p>
      <w:pPr>
        <w:spacing w:after="0" w:line="221" w:lineRule="exact"/>
        <w:rPr>
          <w:sz w:val="20"/>
          <w:szCs w:val="20"/>
          <w:color w:val="auto"/>
        </w:rPr>
      </w:pPr>
    </w:p>
    <w:p>
      <w:pPr>
        <w:ind w:right="180" w:firstLine="1166"/>
        <w:spacing w:after="0" w:line="256" w:lineRule="auto"/>
        <w:rPr>
          <w:sz w:val="20"/>
          <w:szCs w:val="20"/>
          <w:color w:val="auto"/>
        </w:rPr>
      </w:pPr>
      <w:r>
        <w:rPr>
          <w:rFonts w:ascii="Times New Roman" w:cs="Times New Roman" w:eastAsia="Times New Roman" w:hAnsi="Times New Roman"/>
          <w:sz w:val="18"/>
          <w:szCs w:val="18"/>
          <w:color w:val="auto"/>
        </w:rPr>
        <w:t>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an instance, we would expect to vigorously assert the validity and enforceability of the exclusive forum provisions of our amended and restated bylaws. This may require significant additional costs associated with resolving such action in other jurisdictions, which costs could be borne by stockholders, and there can be no assurance that the provisions will be enforced by a court in those other jurisdictions.</w:t>
      </w:r>
    </w:p>
    <w:p>
      <w:pPr>
        <w:spacing w:after="0" w:line="214" w:lineRule="exact"/>
        <w:rPr>
          <w:sz w:val="20"/>
          <w:szCs w:val="20"/>
          <w:color w:val="auto"/>
        </w:rPr>
      </w:pPr>
    </w:p>
    <w:p>
      <w:pPr>
        <w:ind w:right="40" w:firstLine="1166"/>
        <w:spacing w:after="0" w:line="255"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the exclusive forum provisions in our amended and restated bylaws, including the Federal Forum Provision. These provisions could limit a stockholder’s ability to bring a claim in a judicial forum that it finds favorable for disputes with us or any of our directors, officers, or other employees, or our stockholders or the underwriters of any offering giving rise to such claims, which may discourage lawsuits with respect to such claims. Furthermore, if a court were to find the exclusive forum provisions contained in our bylaws to be inapplicable or unenforceable in an action, we may incur additional costs associated with resolving such action in other jurisdictions, which could have a material and adverse impact on our business and our financial condition. We do not intend to pay cash dividends on our common stock in the foreseeable future.</w:t>
      </w:r>
    </w:p>
    <w:p>
      <w:pPr>
        <w:spacing w:after="0" w:line="216" w:lineRule="exact"/>
        <w:rPr>
          <w:sz w:val="20"/>
          <w:szCs w:val="20"/>
          <w:color w:val="auto"/>
        </w:rPr>
      </w:pPr>
    </w:p>
    <w:p>
      <w:pPr>
        <w:ind w:right="20" w:firstLine="1166"/>
        <w:spacing w:after="0" w:line="254" w:lineRule="auto"/>
        <w:rPr>
          <w:sz w:val="20"/>
          <w:szCs w:val="20"/>
          <w:color w:val="auto"/>
        </w:rPr>
      </w:pPr>
      <w:r>
        <w:rPr>
          <w:rFonts w:ascii="Times New Roman" w:cs="Times New Roman" w:eastAsia="Times New Roman" w:hAnsi="Times New Roman"/>
          <w:sz w:val="18"/>
          <w:szCs w:val="18"/>
          <w:color w:val="auto"/>
        </w:rPr>
        <w:t>We do not anticipate paying cash dividends on our common stock in the foreseeable future. Any payment of cash dividends will depend upon our financial condition, results of operations, capital requirements and other factors, and will be at the discretion of our board of directors. In addition, the terms of our Pharmakon Loan Agreement restrict our ability to pay dividends and any future debt agreements may continue to or further restrict our ability to pay dividends. As a result, capital appreciation, if any, of our common stock will be the sole source of gain for our stockholders for the foreseeable future.</w:t>
      </w:r>
    </w:p>
    <w:p>
      <w:pPr>
        <w:spacing w:after="0" w:line="3"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Our employees, independent contractors, principal investigators, clinical trial sites, CROs, consultants or vendors may engage in misconduct or other improper activities, including noncompliance with regulatory standards and requirements.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2" w:name="page83"/>
    <w:bookmarkEnd w:id="82"/>
    <w:p>
      <w:pPr>
        <w:ind w:firstLine="1166"/>
        <w:spacing w:after="0" w:line="254"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principal investigators, clinical trial sites, CROs, consultants or vendors may engage in fraudulent or other illegal activity. Misconduct by these parties could include intentional, reckless and/or negligent conduct or disclosure of unauthorized activities to us that violate the FDA’s or similar international regulatory authorities’ regulations, including those laws requiring the reporting of true, complete and accurate information; manufacturing standards; healthcare fraud and abuse laws and regulations; or laws that require the true, complete and accurate reporting of financial information or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w:t>
      </w:r>
    </w:p>
    <w:p>
      <w:pPr>
        <w:spacing w:after="0" w:line="219" w:lineRule="exact"/>
        <w:rPr>
          <w:sz w:val="20"/>
          <w:szCs w:val="20"/>
          <w:color w:val="auto"/>
        </w:rPr>
      </w:pPr>
    </w:p>
    <w:p>
      <w:pPr>
        <w:ind w:firstLine="1166"/>
        <w:spacing w:after="0" w:line="255" w:lineRule="auto"/>
        <w:rPr>
          <w:sz w:val="20"/>
          <w:szCs w:val="20"/>
          <w:color w:val="auto"/>
        </w:rPr>
      </w:pPr>
      <w:r>
        <w:rPr>
          <w:rFonts w:ascii="Times New Roman" w:cs="Times New Roman" w:eastAsia="Times New Roman" w:hAnsi="Times New Roman"/>
          <w:sz w:val="18"/>
          <w:szCs w:val="18"/>
          <w:color w:val="auto"/>
        </w:rPr>
        <w:t>Activities subject to these laws also involve the improper use or misrepresentation of information obtained in the course of clinical trials or creating fraudulent data in our non-clinical studies or clinical trials, which could result in regulatory sanctions and serious harm to our reputation. It is not always possible to identify and deter misconduct by our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adversely affect our business, financial condition, results of operations or prospects through:</w:t>
      </w:r>
    </w:p>
    <w:p>
      <w:pPr>
        <w:spacing w:after="0" w:line="216"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civil, criminal and administrative penalties, damages and monetary fines;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exclusion from participation in Medicare, Medicaid and other federal healthcare programs;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damages;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potential profits and future earnings;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curtailment of our operations.</w:t>
      </w:r>
    </w:p>
    <w:p>
      <w:pPr>
        <w:spacing w:after="0" w:line="23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effective internal controls in accordance with Section 404 of the Sarbanes-Oxley Act of 2002 could have a material adverse effect on our business and stock price.</w:t>
      </w:r>
    </w:p>
    <w:p>
      <w:pPr>
        <w:spacing w:after="0" w:line="186" w:lineRule="exact"/>
        <w:rPr>
          <w:sz w:val="20"/>
          <w:szCs w:val="20"/>
          <w:color w:val="auto"/>
        </w:rPr>
      </w:pPr>
    </w:p>
    <w:p>
      <w:pPr>
        <w:ind w:firstLine="1166"/>
        <w:spacing w:after="0" w:line="254" w:lineRule="auto"/>
        <w:rPr>
          <w:sz w:val="20"/>
          <w:szCs w:val="20"/>
          <w:color w:val="auto"/>
        </w:rPr>
      </w:pPr>
      <w:r>
        <w:rPr>
          <w:rFonts w:ascii="Times New Roman" w:cs="Times New Roman" w:eastAsia="Times New Roman" w:hAnsi="Times New Roman"/>
          <w:sz w:val="18"/>
          <w:szCs w:val="18"/>
          <w:color w:val="auto"/>
        </w:rPr>
        <w:t>Section 404 of the Sarbanes-Oxley Act of 2002, or Section 404, requires that we establish and maintain an adequate internal control structure and procedures for financial reporting. Our Annual Reports on Form 10-K must contain an annual assessment by management of the effectiveness of our internal control over financial reporting and must include disclosure of any material weaknesses in internal control over financial reporting that we have identified. In addition, our independent registered public accounting firm must provide an opinion annually on the effectiveness of our internal control over financial reporting. As described further below, we identified a material weakness in our internal control over financial reporting that existed as of September 30, 2025, which we remediated as of December 31, 2025. However, in the future, any testing by us conducted in connection with Section 404, or any testing by our independent registered public accounting firm, may reveal additional deficiencies in our internal control over financial reporting that are deemed to be material weaknesses or that may require prospective or retroactive changes to our financial statements or identify other areas for further attention or improvement.</w:t>
      </w:r>
    </w:p>
    <w:p>
      <w:pPr>
        <w:spacing w:after="0" w:line="215" w:lineRule="exact"/>
        <w:rPr>
          <w:sz w:val="20"/>
          <w:szCs w:val="20"/>
          <w:color w:val="auto"/>
        </w:rPr>
      </w:pPr>
    </w:p>
    <w:p>
      <w:pPr>
        <w:ind w:firstLine="1166"/>
        <w:spacing w:after="0" w:line="261" w:lineRule="auto"/>
        <w:rPr>
          <w:sz w:val="20"/>
          <w:szCs w:val="20"/>
          <w:color w:val="auto"/>
        </w:rPr>
      </w:pPr>
      <w:r>
        <w:rPr>
          <w:rFonts w:ascii="Times New Roman" w:cs="Times New Roman" w:eastAsia="Times New Roman" w:hAnsi="Times New Roman"/>
          <w:sz w:val="18"/>
          <w:szCs w:val="18"/>
          <w:color w:val="auto"/>
        </w:rPr>
        <w:t>The requirements of Section 404 are ongoing and also apply to future years. We expect that our internal control over financial reporting will continue to evolve as our business develops, including in connection with our commercialization of RYTELO. Although we are committed to continue to improve our internal control processes and we will continue to review our internal control over financial reporting, any control system, regardless of how well designed, operated and evaluated, can provide only reasonable, not absolute, assurance that its objectives will be met.</w:t>
      </w:r>
    </w:p>
    <w:p>
      <w:pPr>
        <w:spacing w:after="0" w:line="207" w:lineRule="exact"/>
        <w:rPr>
          <w:sz w:val="20"/>
          <w:szCs w:val="20"/>
          <w:color w:val="auto"/>
        </w:rPr>
      </w:pPr>
    </w:p>
    <w:p>
      <w:pPr>
        <w:ind w:right="40" w:firstLine="1166"/>
        <w:spacing w:after="0" w:line="255" w:lineRule="auto"/>
        <w:rPr>
          <w:sz w:val="20"/>
          <w:szCs w:val="20"/>
          <w:color w:val="auto"/>
        </w:rPr>
      </w:pPr>
      <w:r>
        <w:rPr>
          <w:rFonts w:ascii="Times New Roman" w:cs="Times New Roman" w:eastAsia="Times New Roman" w:hAnsi="Times New Roman"/>
          <w:sz w:val="18"/>
          <w:szCs w:val="18"/>
          <w:color w:val="auto"/>
        </w:rPr>
        <w:t>Therefore, we cannot assure you that additional material weaknesses or significant deficiencies will not exist or otherwise be discovered in the future, particularly in light of our increased reliance on personnel working remotely. If material weaknesses or other significant deficiencies continue to occur, such weaknesses or deficiencies could result in misstatements of our results of operations, restatements of our financial statements, a decline in our stock price, or other material adverse effects on our business, reputation, results of operations, financial condition or liquidity.</w:t>
      </w:r>
    </w:p>
    <w:p>
      <w:pPr>
        <w:spacing w:after="0" w:line="3"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We have previously identified a material weakness in our internal control over financial reporting and may identify additional material weaknesses in the future or otherwise fail to maintain an effective system of internal controls, which</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0"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may result in material misstatements of our consolidated financial statements or cause us to fail to meet our periodic reporting obligations.</w:t>
      </w:r>
    </w:p>
    <w:p>
      <w:pPr>
        <w:spacing w:after="0" w:line="252" w:lineRule="exact"/>
        <w:rPr>
          <w:sz w:val="20"/>
          <w:szCs w:val="20"/>
          <w:color w:val="auto"/>
        </w:rPr>
      </w:pPr>
    </w:p>
    <w:p>
      <w:pPr>
        <w:ind w:firstLine="1166"/>
        <w:spacing w:after="0" w:line="253"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We previously identified a material weakness in internal control related to the design and operation of certain Information Technology General Controls, or ITGCs, related to user access and program change management for our Enterprise Resource Planning and payment processing systems. Consequently, IT application controls and IT dependent manual business process controls that rely upon information from these systems, were also deemed ineffective. Although the material weakness identified did not result in any material misstatements in our consolidated financial statements for the periods presented in this Report and there were otherwise no changes to our previously issued financial statements, our management concluded that these control deficiencies existed as of September 30, 2025 and constitute a material weakness. Accordingly, our internal control over financial reporting and our disclosure controls and procedures were not effective as of September 30, 2025. While we subsequently remediated this material weakness as of December 31, 2025, we cannot assure you that there will not be material weaknesses or significant deficiencies in our internal control over financial reporting in the future. Our failure to implement and maintain effective internal control over financial reporting could result in errors in our consolidated financial statements that could result in a restatement of our previously issued financial statements and could cause us to fail to meet our periodic reporting obligations, any of which could diminish investor confidence in us and cause a decline in the price of our common stock</w:t>
      </w:r>
    </w:p>
    <w:p>
      <w:pPr>
        <w:spacing w:after="0" w:line="21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186" w:lineRule="exact"/>
        <w:rPr>
          <w:sz w:val="20"/>
          <w:szCs w:val="20"/>
          <w:color w:val="auto"/>
        </w:rPr>
      </w:pPr>
    </w:p>
    <w:p>
      <w:pPr>
        <w:ind w:right="40" w:firstLine="1166"/>
        <w:spacing w:after="0" w:line="253" w:lineRule="auto"/>
        <w:rPr>
          <w:sz w:val="20"/>
          <w:szCs w:val="20"/>
          <w:color w:val="auto"/>
        </w:rPr>
      </w:pPr>
      <w:r>
        <w:rPr>
          <w:rFonts w:ascii="Times New Roman" w:cs="Times New Roman" w:eastAsia="Times New Roman" w:hAnsi="Times New Roman"/>
          <w:sz w:val="18"/>
          <w:szCs w:val="18"/>
          <w:color w:val="auto"/>
        </w:rPr>
        <w:t>New income, sales, use, excise or other tax laws, statutes, rules, regulations or ordinances could be enacted at any time, which could affect the tax treatment of our domestic and foreign sales and earnings. Any new taxes could adversely affect our domestic and international business operations and our business and financial condition. Further, existing tax laws, statutes, rules, regulations or ordinances could be interpreted, changed, modified or applied adversely to us. For example, the Inflation Reduction Act of 2022 included provisions that impacted the U.S. federal income taxation of corporations, including imposing a minimum tax on the book income of certain large corporations and an excise tax on certain corporate stock repurchases that is imposed on the corporation repurchasing such stock. In addition, the U.S. government recently enacted legislation commonly referred to as the One Big Beautiful Bill Act, that (along with other recent U.S. federal tax reform) has resulted in significant changes to the taxation of business entities including, among other changes, changes to the taxation of income derived from international operations, changes in the deduction and amortization of research and development expenditures, and limitations on the deductibility of business interest. Future guidance from the Internal Revenue Service and other tax authorities with respect to any legislation may affect us, and certain aspects of such legislation could be repealed or modified or sunset in future years. Changes in tax reform legislation could have a material impact on the value of our deferred tax assets, could result in significant one-time charges, and could increase our future United States tax expense.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56" w:lineRule="exact"/>
        <w:rPr>
          <w:sz w:val="20"/>
          <w:szCs w:val="20"/>
          <w:color w:val="auto"/>
        </w:rPr>
      </w:pPr>
    </w:p>
    <w:p>
      <w:pPr>
        <w:ind w:firstLine="1166"/>
        <w:spacing w:after="0" w:line="242" w:lineRule="auto"/>
        <w:rPr>
          <w:sz w:val="20"/>
          <w:szCs w:val="20"/>
          <w:color w:val="auto"/>
        </w:rPr>
      </w:pPr>
      <w:r>
        <w:rPr>
          <w:rFonts w:ascii="Times New Roman" w:cs="Times New Roman" w:eastAsia="Times New Roman" w:hAnsi="Times New Roman"/>
          <w:sz w:val="18"/>
          <w:szCs w:val="18"/>
          <w:color w:val="auto"/>
        </w:rPr>
        <w:t>Our net operating loss carryforwards attributable to tax years beginning before January 1, 2018 could expire unused and be unavailable to offset future income tax liabilities. In addition, federal net operating losses incurred in taxable years beginning after December 31, 2017, can be carried forward indefinitely, but the deductibility of such federal net operating losses in a taxable year is limited to 80% of taxable income in such year. Under Sections 382 and 383 of the Internal Revenue Code of 1986, as amended, and corresponding provisions of state law, if a corporation undergoes an “ownership change,” generally defined as a greater than 50 percentage point cumulative change (by value) in its equity ownership over a three-year period, the corporation’s ability to use its pre-change net operating loss carryforwards and other pre-change tax attributes (such as research and development tax credits) to offset its post-change taxable income or taxes may be limited. Changes in our stock ownership have occurred in the past, and future ownership changes, some of which may be outside our control, could occur in the future, as a result of shifts in our stock ownership. If a limitation were to apply, utilization of a portion of our domestic net operating loss and tax credit carryforwards could be limited in future periods, and a portion of the carryforwards may expire before being available to reduce future income tax liabilities, which could adversely impact our financial position. At the state level, there may be periods during which the use of net operating loss carryforwards is suspended or otherwise limited, which could accelerate or permanently increase state taxes owed. For example, in June 2024, California enacted legislation that, with certain exceptions, suspends the use of California net operating losses to offset California income and limits the use of California business tax credits to offset California taxes, for taxable years beginning after 2023 and before 2027.</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84" w:name="page85"/>
    <w:bookmarkEnd w:id="84"/>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5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jc w:val="center"/>
        <w:ind w:right="7320"/>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jc w:val="center"/>
        <w:ind w:right="7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firstLine="116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officers (as defined in Rule 16a-1(f) under the Exchange Act) adopted or terminated any “Rule 10b5-1 trading arrangement” or “non-Rule 10b5-1 trading arrangement,” as those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143" w:right="719" w:bottom="1440" w:gutter="0" w:footer="0" w:header="0"/>
        </w:sectPr>
      </w:pPr>
    </w:p>
    <w:bookmarkStart w:id="85" w:name="page86"/>
    <w:bookmarkEnd w:id="85"/>
    <w:tbl>
      <w:tblPr>
        <w:tblLayout w:type="fixed"/>
        <w:tblInd w:w="10" w:type="dxa"/>
        <w:tblCellMar>
          <w:top w:w="0" w:type="dxa"/>
          <w:left w:w="0" w:type="dxa"/>
          <w:bottom w:w="0" w:type="dxa"/>
          <w:right w:w="0" w:type="dxa"/>
        </w:tblCellMar>
      </w:tblPr>
      <w:tr>
        <w:trPr>
          <w:trHeight w:val="238"/>
        </w:trPr>
        <w:tc>
          <w:tcPr>
            <w:tcW w:w="820" w:type="dxa"/>
            <w:vAlign w:val="bottom"/>
            <w:gridSpan w:val="7"/>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ITEM 6.</w:t>
            </w:r>
          </w:p>
        </w:tc>
        <w:tc>
          <w:tcPr>
            <w:tcW w:w="20" w:type="dxa"/>
            <w:vAlign w:val="bottom"/>
          </w:tcPr>
          <w:p>
            <w:pPr>
              <w:spacing w:after="0"/>
              <w:rPr>
                <w:sz w:val="20"/>
                <w:szCs w:val="20"/>
                <w:color w:val="auto"/>
              </w:rPr>
            </w:pPr>
          </w:p>
        </w:tc>
        <w:tc>
          <w:tcPr>
            <w:tcW w:w="6000" w:type="dxa"/>
            <w:vAlign w:val="bottom"/>
            <w:gridSpan w:val="14"/>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35"/>
        </w:trPr>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2"/>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r>
        <w:trPr>
          <w:trHeight w:val="186"/>
        </w:trPr>
        <w:tc>
          <w:tcPr>
            <w:tcW w:w="16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360" w:type="dxa"/>
            <w:vAlign w:val="bottom"/>
            <w:tcBorders>
              <w:right w:val="single" w:sz="8" w:color="auto"/>
            </w:tcBorders>
          </w:tcPr>
          <w:p>
            <w:pPr>
              <w:spacing w:after="0"/>
              <w:rPr>
                <w:sz w:val="16"/>
                <w:szCs w:val="16"/>
                <w:color w:val="auto"/>
              </w:rPr>
            </w:pPr>
          </w:p>
        </w:tc>
      </w:tr>
      <w:tr>
        <w:trPr>
          <w:trHeight w:val="37"/>
        </w:trPr>
        <w:tc>
          <w:tcPr>
            <w:tcW w:w="160" w:type="dxa"/>
            <w:vAlign w:val="bottom"/>
            <w:tcBorders>
              <w:left w:val="single" w:sz="8" w:color="auto"/>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r>
      <w:tr>
        <w:trPr>
          <w:trHeight w:val="171"/>
        </w:trPr>
        <w:tc>
          <w:tcPr>
            <w:tcW w:w="16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40" w:type="dxa"/>
            <w:vAlign w:val="bottom"/>
            <w:tcBorders>
              <w:right w:val="single" w:sz="8" w:color="auto"/>
            </w:tcBorders>
            <w:gridSpan w:val="11"/>
          </w:tcPr>
          <w:p>
            <w:pPr>
              <w:ind w:left="6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r>
      <w:tr>
        <w:trPr>
          <w:trHeight w:val="190"/>
        </w:trPr>
        <w:tc>
          <w:tcPr>
            <w:tcW w:w="820" w:type="dxa"/>
            <w:vAlign w:val="bottom"/>
            <w:tcBorders>
              <w:left w:val="single" w:sz="8" w:color="auto"/>
              <w:right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w w:val="96"/>
              </w:rPr>
              <w:t>Filing</w:t>
            </w:r>
          </w:p>
        </w:tc>
        <w:tc>
          <w:tcPr>
            <w:tcW w:w="18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r>
      <w:tr>
        <w:trPr>
          <w:trHeight w:val="37"/>
        </w:trPr>
        <w:tc>
          <w:tcPr>
            <w:tcW w:w="160" w:type="dxa"/>
            <w:vAlign w:val="bottom"/>
            <w:tcBorders>
              <w:left w:val="single" w:sz="8" w:color="auto"/>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r>
      <w:tr>
        <w:trPr>
          <w:trHeight w:val="196"/>
        </w:trPr>
        <w:tc>
          <w:tcPr>
            <w:tcW w:w="660" w:type="dxa"/>
            <w:vAlign w:val="bottom"/>
            <w:tcBorders>
              <w:left w:val="single" w:sz="8" w:color="auto"/>
            </w:tcBorders>
            <w:gridSpan w:val="6"/>
          </w:tcPr>
          <w:p>
            <w:pPr>
              <w:jc w:val="center"/>
              <w:ind w:left="72"/>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tcBorders>
              <w:right w:val="single" w:sz="8" w:color="auto"/>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Amended Non-Employee Director Compensation Policy, effective March 12, 2026</w:t>
            </w:r>
          </w:p>
        </w:tc>
        <w:tc>
          <w:tcPr>
            <w:tcW w:w="8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r>
      <w:tr>
        <w:trPr>
          <w:trHeight w:val="48"/>
        </w:trPr>
        <w:tc>
          <w:tcPr>
            <w:tcW w:w="160" w:type="dxa"/>
            <w:vAlign w:val="bottom"/>
            <w:tcBorders>
              <w:left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300" w:type="dxa"/>
            <w:vAlign w:val="bottom"/>
            <w:tcBorders>
              <w:top w:val="single" w:sz="8" w:color="auto"/>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31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r>
      <w:tr>
        <w:trPr>
          <w:trHeight w:val="196"/>
        </w:trPr>
        <w:tc>
          <w:tcPr>
            <w:tcW w:w="620" w:type="dxa"/>
            <w:vAlign w:val="bottom"/>
            <w:tcBorders>
              <w:left w:val="single" w:sz="8" w:color="auto"/>
            </w:tcBorders>
            <w:gridSpan w:val="5"/>
          </w:tcPr>
          <w:p>
            <w:pPr>
              <w:jc w:val="center"/>
              <w:ind w:left="132"/>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tcBorders>
              <w:right w:val="single" w:sz="8" w:color="auto"/>
            </w:tcBorders>
            <w:gridSpan w:val="14"/>
          </w:tcPr>
          <w:p>
            <w:pPr>
              <w:spacing w:after="0" w:line="19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First Amendment to Loan Agreement, dated January 5, 2026, among the</w:t>
              </w:r>
            </w:hyperlink>
          </w:p>
        </w:tc>
        <w:tc>
          <w:tcPr>
            <w:tcW w:w="8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r>
      <w:tr>
        <w:trPr>
          <w:trHeight w:val="20"/>
        </w:trPr>
        <w:tc>
          <w:tcPr>
            <w:tcW w:w="1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auto"/>
            </w:tcBorders>
            <w:gridSpan w:val="2"/>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540" w:type="dxa"/>
            <w:vAlign w:val="bottom"/>
            <w:tcBorders>
              <w:right w:val="single" w:sz="8" w:color="auto"/>
            </w:tcBorders>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r>
      <w:tr>
        <w:trPr>
          <w:trHeight w:val="196"/>
        </w:trPr>
        <w:tc>
          <w:tcPr>
            <w:tcW w:w="16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tcBorders>
              <w:right w:val="single" w:sz="8" w:color="auto"/>
            </w:tcBorders>
            <w:gridSpan w:val="14"/>
          </w:tcPr>
          <w:p>
            <w:pPr>
              <w:spacing w:after="0" w:line="19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Registrant, BioPharma Credit Investments V (Master) LP and BPCR Limited</w:t>
              </w:r>
            </w:hyperlink>
          </w:p>
        </w:tc>
        <w:tc>
          <w:tcPr>
            <w:tcW w:w="8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r>
      <w:tr>
        <w:trPr>
          <w:trHeight w:val="196"/>
        </w:trPr>
        <w:tc>
          <w:tcPr>
            <w:tcW w:w="16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560" w:type="dxa"/>
            <w:vAlign w:val="bottom"/>
            <w:tcBorders>
              <w:top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Partnership.</w:t>
              </w:r>
            </w:hyperlink>
          </w:p>
        </w:tc>
        <w:tc>
          <w:tcPr>
            <w:tcW w:w="440" w:type="dxa"/>
            <w:vAlign w:val="bottom"/>
            <w:tcBorders>
              <w:right w:val="single" w:sz="8" w:color="auto"/>
            </w:tcBorders>
            <w:gridSpan w:val="6"/>
          </w:tcPr>
          <w:p>
            <w:pPr>
              <w:spacing w:after="0"/>
              <w:rPr>
                <w:sz w:val="17"/>
                <w:szCs w:val="17"/>
                <w:color w:val="auto"/>
              </w:rPr>
            </w:pPr>
          </w:p>
        </w:tc>
        <w:tc>
          <w:tcPr>
            <w:tcW w:w="8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10.25</w:t>
            </w:r>
          </w:p>
        </w:tc>
        <w:tc>
          <w:tcPr>
            <w:tcW w:w="5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8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March 2, 2026</w:t>
            </w:r>
          </w:p>
        </w:tc>
        <w:tc>
          <w:tcPr>
            <w:tcW w:w="1360" w:type="dxa"/>
            <w:vAlign w:val="bottom"/>
            <w:tcBorders>
              <w:right w:val="single" w:sz="8" w:color="auto"/>
            </w:tcBorders>
          </w:tcPr>
          <w:p>
            <w:pPr>
              <w:jc w:val="right"/>
              <w:ind w:right="219"/>
              <w:spacing w:after="0" w:line="196" w:lineRule="exact"/>
              <w:rPr>
                <w:sz w:val="20"/>
                <w:szCs w:val="20"/>
                <w:color w:val="auto"/>
              </w:rPr>
            </w:pPr>
            <w:r>
              <w:rPr>
                <w:rFonts w:ascii="Times New Roman" w:cs="Times New Roman" w:eastAsia="Times New Roman" w:hAnsi="Times New Roman"/>
                <w:sz w:val="18"/>
                <w:szCs w:val="18"/>
                <w:color w:val="auto"/>
              </w:rPr>
              <w:t>000-20859</w:t>
            </w:r>
          </w:p>
        </w:tc>
      </w:tr>
      <w:tr>
        <w:trPr>
          <w:trHeight w:val="48"/>
        </w:trPr>
        <w:tc>
          <w:tcPr>
            <w:tcW w:w="160" w:type="dxa"/>
            <w:vAlign w:val="bottom"/>
            <w:tcBorders>
              <w:left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top w:val="single" w:sz="8" w:color="0000FF"/>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r>
      <w:tr>
        <w:trPr>
          <w:trHeight w:val="196"/>
        </w:trPr>
        <w:tc>
          <w:tcPr>
            <w:tcW w:w="820" w:type="dxa"/>
            <w:vAlign w:val="bottom"/>
            <w:tcBorders>
              <w:left w:val="single" w:sz="8" w:color="auto"/>
              <w:right w:val="single" w:sz="8" w:color="auto"/>
            </w:tcBorders>
            <w:gridSpan w:val="7"/>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10.3+*</w:t>
            </w:r>
          </w:p>
        </w:tc>
        <w:tc>
          <w:tcPr>
            <w:tcW w:w="20" w:type="dxa"/>
            <w:vAlign w:val="bottom"/>
          </w:tcPr>
          <w:p>
            <w:pPr>
              <w:spacing w:after="0"/>
              <w:rPr>
                <w:sz w:val="17"/>
                <w:szCs w:val="17"/>
                <w:color w:val="auto"/>
              </w:rPr>
            </w:pPr>
          </w:p>
        </w:tc>
        <w:tc>
          <w:tcPr>
            <w:tcW w:w="6000" w:type="dxa"/>
            <w:vAlign w:val="bottom"/>
            <w:tcBorders>
              <w:right w:val="single" w:sz="8" w:color="auto"/>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Consulting Agreement by and between the Company and Andrew Grethlein,</w:t>
            </w:r>
          </w:p>
        </w:tc>
        <w:tc>
          <w:tcPr>
            <w:tcW w:w="8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r>
      <w:tr>
        <w:trPr>
          <w:trHeight w:val="196"/>
        </w:trPr>
        <w:tc>
          <w:tcPr>
            <w:tcW w:w="160" w:type="dxa"/>
            <w:vAlign w:val="bottom"/>
            <w:tcBorders>
              <w:left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52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effective October 16, 2025.</w:t>
            </w:r>
          </w:p>
        </w:tc>
        <w:tc>
          <w:tcPr>
            <w:tcW w:w="480" w:type="dxa"/>
            <w:vAlign w:val="bottom"/>
            <w:tcBorders>
              <w:right w:val="single" w:sz="8" w:color="auto"/>
            </w:tcBorders>
            <w:gridSpan w:val="7"/>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r>
      <w:tr>
        <w:trPr>
          <w:trHeight w:val="48"/>
        </w:trPr>
        <w:tc>
          <w:tcPr>
            <w:tcW w:w="160" w:type="dxa"/>
            <w:vAlign w:val="bottom"/>
            <w:tcBorders>
              <w:left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r>
      <w:tr>
        <w:trPr>
          <w:trHeight w:val="196"/>
        </w:trPr>
        <w:tc>
          <w:tcPr>
            <w:tcW w:w="820" w:type="dxa"/>
            <w:vAlign w:val="bottom"/>
            <w:tcBorders>
              <w:left w:val="single" w:sz="8" w:color="auto"/>
              <w:right w:val="single" w:sz="8" w:color="auto"/>
            </w:tcBorders>
            <w:gridSpan w:val="7"/>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10.4+*</w:t>
            </w:r>
          </w:p>
        </w:tc>
        <w:tc>
          <w:tcPr>
            <w:tcW w:w="20" w:type="dxa"/>
            <w:vAlign w:val="bottom"/>
          </w:tcPr>
          <w:p>
            <w:pPr>
              <w:spacing w:after="0"/>
              <w:rPr>
                <w:sz w:val="17"/>
                <w:szCs w:val="17"/>
                <w:color w:val="auto"/>
              </w:rPr>
            </w:pPr>
          </w:p>
        </w:tc>
        <w:tc>
          <w:tcPr>
            <w:tcW w:w="6000" w:type="dxa"/>
            <w:vAlign w:val="bottom"/>
            <w:tcBorders>
              <w:right w:val="single" w:sz="8" w:color="auto"/>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Employment Agreement by and between the Company and Timothy Williams,</w:t>
            </w:r>
          </w:p>
        </w:tc>
        <w:tc>
          <w:tcPr>
            <w:tcW w:w="8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r>
      <w:tr>
        <w:trPr>
          <w:trHeight w:val="196"/>
        </w:trPr>
        <w:tc>
          <w:tcPr>
            <w:tcW w:w="160" w:type="dxa"/>
            <w:vAlign w:val="bottom"/>
            <w:tcBorders>
              <w:left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680" w:type="dxa"/>
            <w:vAlign w:val="bottom"/>
            <w:tcBorders>
              <w:top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effective April 13, 2026.</w:t>
            </w:r>
          </w:p>
        </w:tc>
        <w:tc>
          <w:tcPr>
            <w:tcW w:w="320" w:type="dxa"/>
            <w:vAlign w:val="bottom"/>
            <w:tcBorders>
              <w:right w:val="single" w:sz="8" w:color="auto"/>
            </w:tcBorders>
            <w:gridSpan w:val="4"/>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r>
      <w:tr>
        <w:trPr>
          <w:trHeight w:val="48"/>
        </w:trPr>
        <w:tc>
          <w:tcPr>
            <w:tcW w:w="160" w:type="dxa"/>
            <w:vAlign w:val="bottom"/>
            <w:tcBorders>
              <w:left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r>
      <w:tr>
        <w:trPr>
          <w:trHeight w:val="196"/>
        </w:trPr>
        <w:tc>
          <w:tcPr>
            <w:tcW w:w="660" w:type="dxa"/>
            <w:vAlign w:val="bottom"/>
            <w:tcBorders>
              <w:left w:val="single" w:sz="8" w:color="auto"/>
            </w:tcBorders>
            <w:gridSpan w:val="6"/>
          </w:tcPr>
          <w:p>
            <w:pPr>
              <w:jc w:val="center"/>
              <w:ind w:left="72"/>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tcBorders>
              <w:right w:val="single" w:sz="8" w:color="auto"/>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pursuant to Form of Rule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as</w:t>
            </w:r>
          </w:p>
        </w:tc>
        <w:tc>
          <w:tcPr>
            <w:tcW w:w="8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r>
      <w:tr>
        <w:trPr>
          <w:trHeight w:val="196"/>
        </w:trPr>
        <w:tc>
          <w:tcPr>
            <w:tcW w:w="16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720" w:type="dxa"/>
            <w:vAlign w:val="bottom"/>
            <w:tcBorders>
              <w:top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302(a) of the Sarbanes</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Oxley Act of 2002.</w:t>
            </w:r>
          </w:p>
        </w:tc>
        <w:tc>
          <w:tcPr>
            <w:tcW w:w="280" w:type="dxa"/>
            <w:vAlign w:val="bottom"/>
            <w:tcBorders>
              <w:right w:val="single" w:sz="8" w:color="auto"/>
            </w:tcBorders>
            <w:gridSpan w:val="2"/>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r>
      <w:tr>
        <w:trPr>
          <w:trHeight w:val="48"/>
        </w:trPr>
        <w:tc>
          <w:tcPr>
            <w:tcW w:w="160" w:type="dxa"/>
            <w:vAlign w:val="bottom"/>
            <w:tcBorders>
              <w:left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31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r>
      <w:tr>
        <w:trPr>
          <w:trHeight w:val="196"/>
        </w:trPr>
        <w:tc>
          <w:tcPr>
            <w:tcW w:w="660" w:type="dxa"/>
            <w:vAlign w:val="bottom"/>
            <w:tcBorders>
              <w:left w:val="single" w:sz="8" w:color="auto"/>
            </w:tcBorders>
            <w:gridSpan w:val="6"/>
          </w:tcPr>
          <w:p>
            <w:pPr>
              <w:jc w:val="center"/>
              <w:ind w:left="72"/>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tcBorders>
              <w:right w:val="single" w:sz="8" w:color="auto"/>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Form of Rule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as</w:t>
            </w:r>
          </w:p>
        </w:tc>
        <w:tc>
          <w:tcPr>
            <w:tcW w:w="8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r>
      <w:tr>
        <w:trPr>
          <w:trHeight w:val="196"/>
        </w:trPr>
        <w:tc>
          <w:tcPr>
            <w:tcW w:w="16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680" w:type="dxa"/>
            <w:vAlign w:val="bottom"/>
            <w:tcBorders>
              <w:top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302(a) of the Sarbanes</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Oxley Act of 2002.</w:t>
            </w:r>
          </w:p>
        </w:tc>
        <w:tc>
          <w:tcPr>
            <w:tcW w:w="20" w:type="dxa"/>
            <w:vAlign w:val="bottom"/>
          </w:tcPr>
          <w:p>
            <w:pPr>
              <w:spacing w:after="0"/>
              <w:rPr>
                <w:sz w:val="17"/>
                <w:szCs w:val="17"/>
                <w:color w:val="auto"/>
              </w:rPr>
            </w:pPr>
          </w:p>
        </w:tc>
        <w:tc>
          <w:tcPr>
            <w:tcW w:w="300" w:type="dxa"/>
            <w:vAlign w:val="bottom"/>
            <w:tcBorders>
              <w:right w:val="single" w:sz="8" w:color="auto"/>
            </w:tcBorders>
            <w:gridSpan w:val="3"/>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r>
      <w:tr>
        <w:trPr>
          <w:trHeight w:val="48"/>
        </w:trPr>
        <w:tc>
          <w:tcPr>
            <w:tcW w:w="160" w:type="dxa"/>
            <w:vAlign w:val="bottom"/>
            <w:tcBorders>
              <w:left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31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r>
      <w:tr>
        <w:trPr>
          <w:trHeight w:val="196"/>
        </w:trPr>
        <w:tc>
          <w:tcPr>
            <w:tcW w:w="660" w:type="dxa"/>
            <w:vAlign w:val="bottom"/>
            <w:tcBorders>
              <w:left w:val="single" w:sz="8" w:color="auto"/>
            </w:tcBorders>
            <w:gridSpan w:val="6"/>
          </w:tcPr>
          <w:p>
            <w:pPr>
              <w:jc w:val="center"/>
              <w:ind w:left="72"/>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tcBorders>
              <w:right w:val="single" w:sz="8" w:color="auto"/>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w:t>
            </w:r>
          </w:p>
        </w:tc>
        <w:tc>
          <w:tcPr>
            <w:tcW w:w="8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r>
      <w:tr>
        <w:trPr>
          <w:trHeight w:val="196"/>
        </w:trPr>
        <w:tc>
          <w:tcPr>
            <w:tcW w:w="16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700" w:type="dxa"/>
            <w:vAlign w:val="bottom"/>
            <w:tcBorders>
              <w:top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Oxley Act of 2002.**</w:t>
            </w:r>
          </w:p>
        </w:tc>
        <w:tc>
          <w:tcPr>
            <w:tcW w:w="300" w:type="dxa"/>
            <w:vAlign w:val="bottom"/>
            <w:tcBorders>
              <w:right w:val="single" w:sz="8" w:color="auto"/>
            </w:tcBorders>
            <w:gridSpan w:val="3"/>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r>
      <w:tr>
        <w:trPr>
          <w:trHeight w:val="48"/>
        </w:trPr>
        <w:tc>
          <w:tcPr>
            <w:tcW w:w="160" w:type="dxa"/>
            <w:vAlign w:val="bottom"/>
            <w:tcBorders>
              <w:left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314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r>
      <w:tr>
        <w:trPr>
          <w:trHeight w:val="196"/>
        </w:trPr>
        <w:tc>
          <w:tcPr>
            <w:tcW w:w="660" w:type="dxa"/>
            <w:vAlign w:val="bottom"/>
            <w:tcBorders>
              <w:left w:val="single" w:sz="8" w:color="auto"/>
            </w:tcBorders>
            <w:gridSpan w:val="6"/>
          </w:tcPr>
          <w:p>
            <w:pPr>
              <w:jc w:val="center"/>
              <w:ind w:left="72"/>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tcBorders>
              <w:right w:val="single" w:sz="8" w:color="auto"/>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w:t>
            </w:r>
          </w:p>
        </w:tc>
        <w:tc>
          <w:tcPr>
            <w:tcW w:w="8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r>
      <w:tr>
        <w:trPr>
          <w:trHeight w:val="196"/>
        </w:trPr>
        <w:tc>
          <w:tcPr>
            <w:tcW w:w="16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tcBorders>
              <w:top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Oxley Act of 2002.**</w:t>
            </w:r>
          </w:p>
        </w:tc>
        <w:tc>
          <w:tcPr>
            <w:tcW w:w="340" w:type="dxa"/>
            <w:vAlign w:val="bottom"/>
            <w:tcBorders>
              <w:right w:val="single" w:sz="8" w:color="auto"/>
            </w:tcBorders>
            <w:gridSpan w:val="5"/>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r>
      <w:tr>
        <w:trPr>
          <w:trHeight w:val="48"/>
        </w:trPr>
        <w:tc>
          <w:tcPr>
            <w:tcW w:w="160" w:type="dxa"/>
            <w:vAlign w:val="bottom"/>
            <w:tcBorders>
              <w:left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314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r>
      <w:tr>
        <w:trPr>
          <w:trHeight w:val="196"/>
        </w:trPr>
        <w:tc>
          <w:tcPr>
            <w:tcW w:w="580" w:type="dxa"/>
            <w:vAlign w:val="bottom"/>
            <w:tcBorders>
              <w:left w:val="single" w:sz="8" w:color="auto"/>
            </w:tcBorders>
            <w:gridSpan w:val="4"/>
          </w:tcPr>
          <w:p>
            <w:pPr>
              <w:jc w:val="center"/>
              <w:ind w:left="152"/>
              <w:spacing w:after="0" w:line="196" w:lineRule="exact"/>
              <w:rPr>
                <w:sz w:val="20"/>
                <w:szCs w:val="20"/>
                <w:color w:val="auto"/>
              </w:rPr>
            </w:pPr>
            <w:r>
              <w:rPr>
                <w:rFonts w:ascii="Times New Roman" w:cs="Times New Roman" w:eastAsia="Times New Roman" w:hAnsi="Times New Roman"/>
                <w:sz w:val="18"/>
                <w:szCs w:val="18"/>
                <w:color w:val="auto"/>
                <w:w w:val="96"/>
              </w:rPr>
              <w:t>101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tcBorders>
              <w:right w:val="single" w:sz="8" w:color="auto"/>
            </w:tcBorders>
            <w:gridSpan w:val="14"/>
          </w:tcPr>
          <w:p>
            <w:pPr>
              <w:spacing w:after="0" w:line="196" w:lineRule="exact"/>
              <w:rPr>
                <w:sz w:val="20"/>
                <w:szCs w:val="20"/>
                <w:color w:val="auto"/>
              </w:rPr>
            </w:pPr>
            <w:r>
              <w:rPr>
                <w:rFonts w:ascii="Times New Roman" w:cs="Times New Roman" w:eastAsia="Times New Roman" w:hAnsi="Times New Roman"/>
                <w:sz w:val="18"/>
                <w:szCs w:val="18"/>
                <w:color w:val="auto"/>
              </w:rPr>
              <w:t>The following materials from the Registrant’s March 31, 2026 Quarterly Report</w:t>
            </w:r>
          </w:p>
        </w:tc>
        <w:tc>
          <w:tcPr>
            <w:tcW w:w="8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r>
      <w:tr>
        <w:trPr>
          <w:trHeight w:val="218"/>
        </w:trPr>
        <w:tc>
          <w:tcPr>
            <w:tcW w:w="16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tcBorders>
              <w:right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w w:val="99"/>
              </w:rPr>
              <w:t>on Form 10-Q for the quarter ended March 31, 2026 formatted in Inline Extensible</w:t>
            </w:r>
          </w:p>
        </w:tc>
        <w:tc>
          <w:tcPr>
            <w:tcW w:w="82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tcBorders>
              <w:right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Business Reporting Language (iXBRL) include: (i) Condensed Consolidated</w:t>
            </w:r>
          </w:p>
        </w:tc>
        <w:tc>
          <w:tcPr>
            <w:tcW w:w="82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tcBorders>
              <w:right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Balance Sheets as of March 31, 2026 and December 31, 2025, (ii) Condensed</w:t>
            </w:r>
          </w:p>
        </w:tc>
        <w:tc>
          <w:tcPr>
            <w:tcW w:w="82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tcBorders>
              <w:right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Loss for the three</w:t>
            </w:r>
          </w:p>
        </w:tc>
        <w:tc>
          <w:tcPr>
            <w:tcW w:w="82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tcBorders>
              <w:right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months ended March 31, 2026 and 2025, (iii) Condensed Consolidated Statements</w:t>
            </w:r>
          </w:p>
        </w:tc>
        <w:tc>
          <w:tcPr>
            <w:tcW w:w="82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tcBorders>
              <w:right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of Stockholders’ Equity for the three months ended March 31, 2026 and 2025, (iv)</w:t>
            </w:r>
          </w:p>
        </w:tc>
        <w:tc>
          <w:tcPr>
            <w:tcW w:w="82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tcBorders>
              <w:right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three months ended</w:t>
            </w:r>
          </w:p>
        </w:tc>
        <w:tc>
          <w:tcPr>
            <w:tcW w:w="82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tcBorders>
              <w:right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March 31, 2026 and 2025 and (v) Notes to Condensed Consolidated Financial</w:t>
            </w:r>
          </w:p>
        </w:tc>
        <w:tc>
          <w:tcPr>
            <w:tcW w:w="82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34"/>
        </w:trPr>
        <w:tc>
          <w:tcPr>
            <w:tcW w:w="16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00" w:type="dxa"/>
            <w:vAlign w:val="bottom"/>
            <w:tcBorders>
              <w:right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Statements.</w:t>
            </w:r>
          </w:p>
        </w:tc>
        <w:tc>
          <w:tcPr>
            <w:tcW w:w="8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r>
      <w:tr>
        <w:trPr>
          <w:trHeight w:val="27"/>
        </w:trPr>
        <w:tc>
          <w:tcPr>
            <w:tcW w:w="160" w:type="dxa"/>
            <w:vAlign w:val="bottom"/>
            <w:tcBorders>
              <w:left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196"/>
        </w:trPr>
        <w:tc>
          <w:tcPr>
            <w:tcW w:w="580" w:type="dxa"/>
            <w:vAlign w:val="bottom"/>
            <w:tcBorders>
              <w:left w:val="single" w:sz="8" w:color="auto"/>
            </w:tcBorders>
            <w:gridSpan w:val="4"/>
          </w:tcPr>
          <w:p>
            <w:pPr>
              <w:jc w:val="center"/>
              <w:ind w:left="152"/>
              <w:spacing w:after="0" w:line="196" w:lineRule="exact"/>
              <w:rPr>
                <w:sz w:val="20"/>
                <w:szCs w:val="20"/>
                <w:color w:val="auto"/>
              </w:rPr>
            </w:pPr>
            <w:r>
              <w:rPr>
                <w:rFonts w:ascii="Times New Roman" w:cs="Times New Roman" w:eastAsia="Times New Roman" w:hAnsi="Times New Roman"/>
                <w:sz w:val="18"/>
                <w:szCs w:val="18"/>
                <w:color w:val="auto"/>
                <w:w w:val="96"/>
              </w:rPr>
              <w:t>104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tcBorders>
              <w:right w:val="single" w:sz="8" w:color="auto"/>
            </w:tcBorders>
            <w:gridSpan w:val="14"/>
          </w:tcPr>
          <w:p>
            <w:pPr>
              <w:spacing w:after="0" w:line="196" w:lineRule="exact"/>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8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r>
      <w:tr>
        <w:trPr>
          <w:trHeight w:val="48"/>
        </w:trPr>
        <w:tc>
          <w:tcPr>
            <w:tcW w:w="160" w:type="dxa"/>
            <w:vAlign w:val="bottom"/>
            <w:tcBorders>
              <w:left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top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left="480" w:hanging="472"/>
        <w:spacing w:after="0"/>
        <w:tabs>
          <w:tab w:leader="none" w:pos="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9" w:lineRule="exact"/>
        <w:rPr>
          <w:sz w:val="20"/>
          <w:szCs w:val="20"/>
          <w:color w:val="auto"/>
        </w:rPr>
      </w:pPr>
    </w:p>
    <w:p>
      <w:pPr>
        <w:ind w:left="480" w:hanging="472"/>
        <w:spacing w:after="0"/>
        <w:tabs>
          <w:tab w:leader="none" w:pos="4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compensation plan or arrangement.</w:t>
      </w:r>
    </w:p>
    <w:p>
      <w:pPr>
        <w:spacing w:after="0" w:line="117" w:lineRule="exact"/>
        <w:rPr>
          <w:sz w:val="20"/>
          <w:szCs w:val="20"/>
          <w:color w:val="auto"/>
        </w:rPr>
      </w:pPr>
    </w:p>
    <w:p>
      <w:pPr>
        <w:jc w:val="both"/>
        <w:ind w:left="500" w:right="60" w:hanging="492"/>
        <w:spacing w:after="0" w:line="261" w:lineRule="auto"/>
        <w:tabs>
          <w:tab w:leader="none" w:pos="49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that accompany this Report are not deemed filed with the Securities and Exchange Commission and are not to be incorporated by reference into any filing of the Company under the Securities Act of 1933, as amended, or the Securities Exchange Act of 1934, as amended (whether made before or after the date of this Report), irrespective of any general incorporation language contained in such filing.</w:t>
      </w: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3" w:right="319" w:bottom="1440" w:gutter="0" w:footer="0" w:header="0"/>
        </w:sectPr>
      </w:pPr>
    </w:p>
    <w:bookmarkStart w:id="86" w:name="page87"/>
    <w:bookmarkEnd w:id="86"/>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 w:firstLine="116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GERON CORPORATION</w:t>
      </w:r>
    </w:p>
    <w:p>
      <w:pPr>
        <w:spacing w:after="0" w:line="333" w:lineRule="exact"/>
        <w:rPr>
          <w:sz w:val="20"/>
          <w:szCs w:val="20"/>
          <w:color w:val="auto"/>
        </w:rPr>
      </w:pPr>
    </w:p>
    <w:p>
      <w:pPr>
        <w:ind w:left="20"/>
        <w:spacing w:after="0"/>
        <w:tabs>
          <w:tab w:leader="none" w:pos="4140" w:val="left"/>
          <w:tab w:leader="none" w:pos="4600" w:val="left"/>
        </w:tabs>
        <w:rPr>
          <w:sz w:val="20"/>
          <w:szCs w:val="20"/>
          <w:color w:val="auto"/>
        </w:rPr>
      </w:pPr>
      <w:r>
        <w:rPr>
          <w:rFonts w:ascii="Times New Roman" w:cs="Times New Roman" w:eastAsia="Times New Roman" w:hAnsi="Times New Roman"/>
          <w:sz w:val="18"/>
          <w:szCs w:val="18"/>
          <w:color w:val="auto"/>
        </w:rPr>
        <w:t>Date: May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MICHELLE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34290</wp:posOffset>
            </wp:positionV>
            <wp:extent cx="42176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MICHELLE ROBERTSON</w:t>
      </w:r>
    </w:p>
    <w:p>
      <w:pPr>
        <w:spacing w:after="0" w:line="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 and Treasurer (Duly Authorized Officer</w:t>
      </w:r>
    </w:p>
    <w:p>
      <w:pPr>
        <w:spacing w:after="0" w:line="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i w:val="1"/>
          <w:iCs w:val="1"/>
          <w:color w:val="auto"/>
        </w:rPr>
        <w:t>and Principal Financial and Accounting Officer)</w:t>
      </w:r>
    </w:p>
    <w:p>
      <w:pPr>
        <w:spacing w:after="0" w:line="200" w:lineRule="exact"/>
        <w:rPr>
          <w:sz w:val="20"/>
          <w:szCs w:val="20"/>
          <w:color w:val="auto"/>
        </w:rPr>
      </w:pPr>
    </w:p>
    <w:p>
      <w:pPr>
        <w:spacing w:after="0" w:line="2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80"/>
          </w:cols>
          <w:pgMar w:left="320" w:top="1143" w:right="499" w:bottom="1440" w:gutter="0" w:footer="0" w:header="0"/>
        </w:sectPr>
      </w:pPr>
    </w:p>
    <w:bookmarkStart w:id="87" w:name="page88"/>
    <w:bookmarkEnd w:id="87"/>
    <w:p>
      <w:pPr>
        <w:spacing w:after="0" w:line="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35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ORIGINALLY ADOPTED BY THE BOARD OF DIRECTORS: MARCH 10, 2014</w:t>
      </w: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AMENDED BY THE BOARD OF DIRECTORS: FEBRUARY 12, 2015, MAY 6, 2015,</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FEBRUARY 11, 2016, JANUARY 31, 2018, MAY 15, 2018, OCTOBER 1, 2018,</w:t>
      </w:r>
    </w:p>
    <w:p>
      <w:pPr>
        <w:spacing w:after="0" w:line="7" w:lineRule="exact"/>
        <w:rPr>
          <w:sz w:val="20"/>
          <w:szCs w:val="20"/>
          <w:color w:val="auto"/>
        </w:rPr>
      </w:pPr>
    </w:p>
    <w:p>
      <w:pPr>
        <w:jc w:val="center"/>
        <w:ind w:right="40"/>
        <w:spacing w:after="0" w:line="260" w:lineRule="auto"/>
        <w:rPr>
          <w:sz w:val="20"/>
          <w:szCs w:val="20"/>
          <w:color w:val="auto"/>
        </w:rPr>
      </w:pPr>
      <w:r>
        <w:rPr>
          <w:rFonts w:ascii="Times New Roman" w:cs="Times New Roman" w:eastAsia="Times New Roman" w:hAnsi="Times New Roman"/>
          <w:sz w:val="18"/>
          <w:szCs w:val="18"/>
          <w:b w:val="1"/>
          <w:bCs w:val="1"/>
          <w:color w:val="auto"/>
        </w:rPr>
        <w:t>JANUARY 30, 2019, FEBRUARY 12, 2020, FEBRUARY 16, 2022, MARCH 7, 2022, FEBRUARY 14, 2024, MARCH 6, 2025, MAY 4, 2025, FEBRUARY 17, 2026 AND MARCH 12, 2026</w:t>
      </w:r>
    </w:p>
    <w:p>
      <w:pPr>
        <w:spacing w:after="0" w:line="204" w:lineRule="exact"/>
        <w:rPr>
          <w:sz w:val="20"/>
          <w:szCs w:val="20"/>
          <w:color w:val="auto"/>
        </w:rPr>
      </w:pPr>
    </w:p>
    <w:p>
      <w:pPr>
        <w:ind w:left="80" w:right="300" w:firstLine="389"/>
        <w:spacing w:after="0" w:line="256" w:lineRule="auto"/>
        <w:rPr>
          <w:sz w:val="20"/>
          <w:szCs w:val="20"/>
          <w:color w:val="auto"/>
        </w:rPr>
      </w:pPr>
      <w:r>
        <w:rPr>
          <w:rFonts w:ascii="Times New Roman" w:cs="Times New Roman" w:eastAsia="Times New Roman" w:hAnsi="Times New Roman"/>
          <w:sz w:val="18"/>
          <w:szCs w:val="18"/>
          <w:color w:val="auto"/>
        </w:rPr>
        <w:t>Each member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Geron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who is a Non-Employee Director (as defined in the Geron Corporation 2018 Equity Incentive Plan (the “</w:t>
      </w:r>
      <w:r>
        <w:rPr>
          <w:rFonts w:ascii="Times New Roman" w:cs="Times New Roman" w:eastAsia="Times New Roman" w:hAnsi="Times New Roman"/>
          <w:sz w:val="18"/>
          <w:szCs w:val="18"/>
          <w:b w:val="1"/>
          <w:bCs w:val="1"/>
          <w:i w:val="1"/>
          <w:iCs w:val="1"/>
          <w:color w:val="auto"/>
        </w:rPr>
        <w:t>2018 Plan</w:t>
      </w:r>
      <w:r>
        <w:rPr>
          <w:rFonts w:ascii="Times New Roman" w:cs="Times New Roman" w:eastAsia="Times New Roman" w:hAnsi="Times New Roman"/>
          <w:sz w:val="18"/>
          <w:szCs w:val="18"/>
          <w:color w:val="auto"/>
        </w:rPr>
        <w:t>”)) shall be eligible to receive cash and equity compensation as set forth in this Geron Corporation Non-Employee Director Compensation Policy (this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The cash and equity compensation described in this Policy shall be paid or granted, as applicable, automatically and without further action of the Board to each Non-Employee Director who is eligible to receive such cash or equity compensation, unless such Non-Employee Director declines the receipt of such cash or equity compensation by written notice to the Company.</w:t>
      </w:r>
    </w:p>
    <w:p>
      <w:pPr>
        <w:spacing w:after="0" w:line="200" w:lineRule="exact"/>
        <w:rPr>
          <w:sz w:val="20"/>
          <w:szCs w:val="20"/>
          <w:color w:val="auto"/>
        </w:rPr>
      </w:pPr>
    </w:p>
    <w:p>
      <w:pPr>
        <w:ind w:left="80" w:right="140" w:firstLine="389"/>
        <w:spacing w:after="0" w:line="258" w:lineRule="auto"/>
        <w:rPr>
          <w:sz w:val="20"/>
          <w:szCs w:val="20"/>
          <w:color w:val="auto"/>
        </w:rPr>
      </w:pPr>
      <w:r>
        <w:rPr>
          <w:rFonts w:ascii="Times New Roman" w:cs="Times New Roman" w:eastAsia="Times New Roman" w:hAnsi="Times New Roman"/>
          <w:sz w:val="18"/>
          <w:szCs w:val="18"/>
          <w:color w:val="auto"/>
        </w:rPr>
        <w:t>This Policy, as amended, is effective as of January 1, 2026, and shall remain in effect until it is revised or rescinded by further action of the Board. Capitalized terms not explicitly defined in this Policy but defined in the 2018 Plan shall have the same definitions as in the 2018 Plan, except when specific reference is made to the Directors’ Market Value Stock Purchase Plan (the “</w:t>
      </w:r>
      <w:r>
        <w:rPr>
          <w:rFonts w:ascii="Times New Roman" w:cs="Times New Roman" w:eastAsia="Times New Roman" w:hAnsi="Times New Roman"/>
          <w:sz w:val="18"/>
          <w:szCs w:val="18"/>
          <w:b w:val="1"/>
          <w:bCs w:val="1"/>
          <w:i w:val="1"/>
          <w:iCs w:val="1"/>
          <w:color w:val="auto"/>
        </w:rPr>
        <w:t>Market Value Stock Plan</w:t>
      </w:r>
      <w:r>
        <w:rPr>
          <w:rFonts w:ascii="Times New Roman" w:cs="Times New Roman" w:eastAsia="Times New Roman" w:hAnsi="Times New Roman"/>
          <w:sz w:val="18"/>
          <w:szCs w:val="18"/>
          <w:color w:val="auto"/>
        </w:rPr>
        <w:t>”), in which case such terms shall have the definitions set forth in the Market Value Stock Plan.</w:t>
      </w:r>
    </w:p>
    <w:p>
      <w:pPr>
        <w:spacing w:after="0" w:line="206" w:lineRule="exact"/>
        <w:rPr>
          <w:sz w:val="20"/>
          <w:szCs w:val="20"/>
          <w:color w:val="auto"/>
        </w:rPr>
      </w:pPr>
    </w:p>
    <w:p>
      <w:pPr>
        <w:ind w:left="260" w:hanging="188"/>
        <w:spacing w:after="0"/>
        <w:tabs>
          <w:tab w:leader="none" w:pos="2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COMPENSATION.</w:t>
      </w:r>
    </w:p>
    <w:p>
      <w:pPr>
        <w:spacing w:after="0" w:line="238" w:lineRule="exact"/>
        <w:rPr>
          <w:rFonts w:ascii="Times New Roman" w:cs="Times New Roman" w:eastAsia="Times New Roman" w:hAnsi="Times New Roman"/>
          <w:sz w:val="18"/>
          <w:szCs w:val="18"/>
          <w:b w:val="1"/>
          <w:bCs w:val="1"/>
          <w:color w:val="auto"/>
        </w:rPr>
      </w:pPr>
    </w:p>
    <w:p>
      <w:pPr>
        <w:jc w:val="both"/>
        <w:ind w:left="80" w:right="300" w:firstLine="381"/>
        <w:spacing w:after="0" w:line="268" w:lineRule="auto"/>
        <w:tabs>
          <w:tab w:leader="none" w:pos="1268"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Retainers. </w:t>
      </w:r>
      <w:r>
        <w:rPr>
          <w:rFonts w:ascii="Times New Roman" w:cs="Times New Roman" w:eastAsia="Times New Roman" w:hAnsi="Times New Roman"/>
          <w:sz w:val="18"/>
          <w:szCs w:val="18"/>
          <w:color w:val="auto"/>
        </w:rPr>
        <w:t>Each Non-Employee Director shall be eligible to receive the following annual retainers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service as (i) an individual, member and/or chairperson of the Board and (ii) an individual, member or chairperson of a committee of the Board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set forth below, as applicable.</w:t>
      </w:r>
    </w:p>
    <w:p>
      <w:pPr>
        <w:spacing w:after="0" w:line="240" w:lineRule="exact"/>
        <w:rPr>
          <w:sz w:val="20"/>
          <w:szCs w:val="20"/>
          <w:color w:val="auto"/>
        </w:rPr>
      </w:pPr>
    </w:p>
    <w:tbl>
      <w:tblPr>
        <w:tblLayout w:type="fixed"/>
        <w:tblInd w:w="170" w:type="dxa"/>
        <w:tblCellMar>
          <w:top w:w="0" w:type="dxa"/>
          <w:left w:w="0" w:type="dxa"/>
          <w:bottom w:w="0" w:type="dxa"/>
          <w:right w:w="0" w:type="dxa"/>
        </w:tblCellMar>
      </w:tblPr>
      <w:tr>
        <w:trPr>
          <w:trHeight w:val="221"/>
        </w:trPr>
        <w:tc>
          <w:tcPr>
            <w:tcW w:w="4160" w:type="dxa"/>
            <w:vAlign w:val="bottom"/>
            <w:tcBorders>
              <w:top w:val="single" w:sz="8" w:color="010101"/>
              <w:left w:val="single" w:sz="8" w:color="010101"/>
              <w:right w:val="single" w:sz="8" w:color="010101"/>
            </w:tcBorders>
          </w:tcPr>
          <w:p>
            <w:pPr>
              <w:spacing w:after="0"/>
              <w:rPr>
                <w:sz w:val="19"/>
                <w:szCs w:val="19"/>
                <w:color w:val="auto"/>
              </w:rPr>
            </w:pPr>
          </w:p>
        </w:tc>
        <w:tc>
          <w:tcPr>
            <w:tcW w:w="3480" w:type="dxa"/>
            <w:vAlign w:val="bottom"/>
            <w:tcBorders>
              <w:top w:val="single" w:sz="8" w:color="010101"/>
              <w:right w:val="single" w:sz="8" w:color="010101"/>
            </w:tcBorders>
          </w:tcPr>
          <w:p>
            <w:pPr>
              <w:spacing w:after="0"/>
              <w:rPr>
                <w:sz w:val="19"/>
                <w:szCs w:val="19"/>
                <w:color w:val="auto"/>
              </w:rPr>
            </w:pPr>
          </w:p>
        </w:tc>
        <w:tc>
          <w:tcPr>
            <w:tcW w:w="1300" w:type="dxa"/>
            <w:vAlign w:val="bottom"/>
            <w:tcBorders>
              <w:top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Amount (Per</w:t>
            </w:r>
          </w:p>
        </w:tc>
      </w:tr>
      <w:tr>
        <w:trPr>
          <w:trHeight w:val="211"/>
        </w:trPr>
        <w:tc>
          <w:tcPr>
            <w:tcW w:w="4160" w:type="dxa"/>
            <w:vAlign w:val="bottom"/>
            <w:tcBorders>
              <w:left w:val="single" w:sz="8" w:color="010101"/>
              <w:bottom w:val="single" w:sz="8" w:color="010101"/>
              <w:right w:val="single" w:sz="8" w:color="010101"/>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Board or Committee</w:t>
            </w:r>
          </w:p>
        </w:tc>
        <w:tc>
          <w:tcPr>
            <w:tcW w:w="348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 of Retainer*</w:t>
            </w:r>
          </w:p>
        </w:tc>
        <w:tc>
          <w:tcPr>
            <w:tcW w:w="130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0"/>
              </w:rPr>
              <w:t>Year)</w:t>
            </w:r>
          </w:p>
        </w:tc>
      </w:tr>
      <w:tr>
        <w:trPr>
          <w:trHeight w:val="210"/>
        </w:trPr>
        <w:tc>
          <w:tcPr>
            <w:tcW w:w="4160" w:type="dxa"/>
            <w:vAlign w:val="bottom"/>
            <w:tcBorders>
              <w:left w:val="single" w:sz="8" w:color="010101"/>
              <w:right w:val="single" w:sz="8" w:color="010101"/>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Board</w:t>
            </w:r>
          </w:p>
        </w:tc>
        <w:tc>
          <w:tcPr>
            <w:tcW w:w="348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30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8"/>
                <w:szCs w:val="18"/>
                <w:color w:val="auto"/>
                <w:w w:val="99"/>
              </w:rPr>
              <w:t>$40,000</w:t>
            </w:r>
          </w:p>
        </w:tc>
      </w:tr>
      <w:tr>
        <w:trPr>
          <w:trHeight w:val="210"/>
        </w:trPr>
        <w:tc>
          <w:tcPr>
            <w:tcW w:w="4160" w:type="dxa"/>
            <w:vAlign w:val="bottom"/>
            <w:tcBorders>
              <w:left w:val="single" w:sz="8" w:color="010101"/>
              <w:right w:val="single" w:sz="8" w:color="010101"/>
            </w:tcBorders>
          </w:tcPr>
          <w:p>
            <w:pPr>
              <w:spacing w:after="0"/>
              <w:rPr>
                <w:sz w:val="18"/>
                <w:szCs w:val="18"/>
                <w:color w:val="auto"/>
              </w:rPr>
            </w:pPr>
          </w:p>
        </w:tc>
        <w:tc>
          <w:tcPr>
            <w:tcW w:w="348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8"/>
                <w:szCs w:val="18"/>
                <w:color w:val="auto"/>
                <w:w w:val="98"/>
              </w:rPr>
              <w:t>Lead Independent Director</w:t>
            </w:r>
          </w:p>
        </w:tc>
        <w:tc>
          <w:tcPr>
            <w:tcW w:w="130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8"/>
                <w:szCs w:val="18"/>
                <w:color w:val="auto"/>
                <w:w w:val="99"/>
              </w:rPr>
              <w:t>$30,000</w:t>
            </w:r>
          </w:p>
        </w:tc>
      </w:tr>
      <w:tr>
        <w:trPr>
          <w:trHeight w:val="210"/>
        </w:trPr>
        <w:tc>
          <w:tcPr>
            <w:tcW w:w="4160" w:type="dxa"/>
            <w:vAlign w:val="bottom"/>
            <w:tcBorders>
              <w:left w:val="single" w:sz="8" w:color="010101"/>
              <w:bottom w:val="single" w:sz="8" w:color="010101"/>
              <w:right w:val="single" w:sz="8" w:color="010101"/>
            </w:tcBorders>
          </w:tcPr>
          <w:p>
            <w:pPr>
              <w:spacing w:after="0"/>
              <w:rPr>
                <w:sz w:val="18"/>
                <w:szCs w:val="18"/>
                <w:color w:val="auto"/>
              </w:rPr>
            </w:pPr>
          </w:p>
        </w:tc>
        <w:tc>
          <w:tcPr>
            <w:tcW w:w="348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c>
          <w:tcPr>
            <w:tcW w:w="130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r>
      <w:tr>
        <w:trPr>
          <w:trHeight w:val="209"/>
        </w:trPr>
        <w:tc>
          <w:tcPr>
            <w:tcW w:w="4160" w:type="dxa"/>
            <w:vAlign w:val="bottom"/>
            <w:tcBorders>
              <w:left w:val="single" w:sz="8" w:color="010101"/>
              <w:right w:val="single" w:sz="8" w:color="010101"/>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348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30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8"/>
                <w:szCs w:val="18"/>
                <w:color w:val="auto"/>
                <w:w w:val="99"/>
              </w:rPr>
              <w:t>$25,000</w:t>
            </w:r>
          </w:p>
        </w:tc>
      </w:tr>
      <w:tr>
        <w:trPr>
          <w:trHeight w:val="210"/>
        </w:trPr>
        <w:tc>
          <w:tcPr>
            <w:tcW w:w="4160" w:type="dxa"/>
            <w:vAlign w:val="bottom"/>
            <w:tcBorders>
              <w:left w:val="single" w:sz="8" w:color="010101"/>
              <w:bottom w:val="single" w:sz="8" w:color="010101"/>
              <w:right w:val="single" w:sz="8" w:color="010101"/>
            </w:tcBorders>
          </w:tcPr>
          <w:p>
            <w:pPr>
              <w:spacing w:after="0"/>
              <w:rPr>
                <w:sz w:val="18"/>
                <w:szCs w:val="18"/>
                <w:color w:val="auto"/>
              </w:rPr>
            </w:pPr>
          </w:p>
        </w:tc>
        <w:tc>
          <w:tcPr>
            <w:tcW w:w="348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8"/>
                <w:szCs w:val="18"/>
                <w:color w:val="auto"/>
                <w:w w:val="98"/>
              </w:rPr>
              <w:t>Member (Non-Chair)</w:t>
            </w:r>
          </w:p>
        </w:tc>
        <w:tc>
          <w:tcPr>
            <w:tcW w:w="130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8"/>
                <w:szCs w:val="18"/>
                <w:color w:val="auto"/>
                <w:w w:val="99"/>
              </w:rPr>
              <w:t>$12,500</w:t>
            </w:r>
          </w:p>
        </w:tc>
      </w:tr>
      <w:tr>
        <w:trPr>
          <w:trHeight w:val="210"/>
        </w:trPr>
        <w:tc>
          <w:tcPr>
            <w:tcW w:w="4160" w:type="dxa"/>
            <w:vAlign w:val="bottom"/>
            <w:tcBorders>
              <w:left w:val="single" w:sz="8" w:color="010101"/>
              <w:right w:val="single" w:sz="8" w:color="010101"/>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348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30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8"/>
                <w:szCs w:val="18"/>
                <w:color w:val="auto"/>
                <w:w w:val="99"/>
              </w:rPr>
              <w:t>$15,000</w:t>
            </w:r>
          </w:p>
        </w:tc>
      </w:tr>
      <w:tr>
        <w:trPr>
          <w:trHeight w:val="210"/>
        </w:trPr>
        <w:tc>
          <w:tcPr>
            <w:tcW w:w="4160" w:type="dxa"/>
            <w:vAlign w:val="bottom"/>
            <w:tcBorders>
              <w:left w:val="single" w:sz="8" w:color="010101"/>
              <w:bottom w:val="single" w:sz="8" w:color="010101"/>
              <w:right w:val="single" w:sz="8" w:color="010101"/>
            </w:tcBorders>
          </w:tcPr>
          <w:p>
            <w:pPr>
              <w:spacing w:after="0"/>
              <w:rPr>
                <w:sz w:val="18"/>
                <w:szCs w:val="18"/>
                <w:color w:val="auto"/>
              </w:rPr>
            </w:pPr>
          </w:p>
        </w:tc>
        <w:tc>
          <w:tcPr>
            <w:tcW w:w="348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8"/>
                <w:szCs w:val="18"/>
                <w:color w:val="auto"/>
                <w:w w:val="98"/>
              </w:rPr>
              <w:t>Member (Non-Chair)</w:t>
            </w:r>
          </w:p>
        </w:tc>
        <w:tc>
          <w:tcPr>
            <w:tcW w:w="130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8"/>
                <w:szCs w:val="18"/>
                <w:color w:val="auto"/>
              </w:rPr>
              <w:t>$7,500</w:t>
            </w:r>
          </w:p>
        </w:tc>
      </w:tr>
      <w:tr>
        <w:trPr>
          <w:trHeight w:val="209"/>
        </w:trPr>
        <w:tc>
          <w:tcPr>
            <w:tcW w:w="4160" w:type="dxa"/>
            <w:vAlign w:val="bottom"/>
            <w:tcBorders>
              <w:left w:val="single" w:sz="8" w:color="010101"/>
              <w:right w:val="single" w:sz="8" w:color="010101"/>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tc>
        <w:tc>
          <w:tcPr>
            <w:tcW w:w="348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30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r>
      <w:tr>
        <w:trPr>
          <w:trHeight w:val="210"/>
        </w:trPr>
        <w:tc>
          <w:tcPr>
            <w:tcW w:w="4160" w:type="dxa"/>
            <w:vAlign w:val="bottom"/>
            <w:tcBorders>
              <w:left w:val="single" w:sz="8" w:color="010101"/>
              <w:bottom w:val="single" w:sz="8" w:color="010101"/>
              <w:right w:val="single" w:sz="8" w:color="010101"/>
            </w:tcBorders>
          </w:tcPr>
          <w:p>
            <w:pPr>
              <w:spacing w:after="0"/>
              <w:rPr>
                <w:sz w:val="18"/>
                <w:szCs w:val="18"/>
                <w:color w:val="auto"/>
              </w:rPr>
            </w:pPr>
          </w:p>
        </w:tc>
        <w:tc>
          <w:tcPr>
            <w:tcW w:w="348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8"/>
                <w:szCs w:val="18"/>
                <w:color w:val="auto"/>
                <w:w w:val="98"/>
              </w:rPr>
              <w:t>Member (Non-Chair)</w:t>
            </w:r>
          </w:p>
        </w:tc>
        <w:tc>
          <w:tcPr>
            <w:tcW w:w="130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8"/>
                <w:szCs w:val="18"/>
                <w:color w:val="auto"/>
              </w:rPr>
              <w:t>$5,000</w:t>
            </w:r>
          </w:p>
        </w:tc>
      </w:tr>
      <w:tr>
        <w:trPr>
          <w:trHeight w:val="210"/>
        </w:trPr>
        <w:tc>
          <w:tcPr>
            <w:tcW w:w="4160" w:type="dxa"/>
            <w:vAlign w:val="bottom"/>
            <w:tcBorders>
              <w:left w:val="single" w:sz="8" w:color="010101"/>
              <w:right w:val="single" w:sz="8" w:color="010101"/>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Strategic Committee</w:t>
            </w:r>
          </w:p>
        </w:tc>
        <w:tc>
          <w:tcPr>
            <w:tcW w:w="348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30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8"/>
                <w:szCs w:val="18"/>
                <w:color w:val="auto"/>
                <w:w w:val="99"/>
              </w:rPr>
              <w:t>$15,000</w:t>
            </w:r>
          </w:p>
        </w:tc>
      </w:tr>
      <w:tr>
        <w:trPr>
          <w:trHeight w:val="223"/>
        </w:trPr>
        <w:tc>
          <w:tcPr>
            <w:tcW w:w="4160" w:type="dxa"/>
            <w:vAlign w:val="bottom"/>
            <w:tcBorders>
              <w:left w:val="single" w:sz="8" w:color="010101"/>
              <w:bottom w:val="single" w:sz="8" w:color="010101"/>
              <w:right w:val="single" w:sz="8" w:color="010101"/>
            </w:tcBorders>
          </w:tcPr>
          <w:p>
            <w:pPr>
              <w:spacing w:after="0"/>
              <w:rPr>
                <w:sz w:val="19"/>
                <w:szCs w:val="19"/>
                <w:color w:val="auto"/>
              </w:rPr>
            </w:pPr>
          </w:p>
        </w:tc>
        <w:tc>
          <w:tcPr>
            <w:tcW w:w="348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8"/>
                <w:szCs w:val="18"/>
                <w:color w:val="auto"/>
                <w:w w:val="98"/>
              </w:rPr>
              <w:t>Member (Non-Chair)</w:t>
            </w:r>
          </w:p>
        </w:tc>
        <w:tc>
          <w:tcPr>
            <w:tcW w:w="130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8"/>
                <w:szCs w:val="18"/>
                <w:color w:val="auto"/>
              </w:rPr>
              <w:t>$7,500</w:t>
            </w:r>
          </w:p>
        </w:tc>
      </w:tr>
    </w:tbl>
    <w:p>
      <w:pPr>
        <w:spacing w:after="0" w:line="252" w:lineRule="exact"/>
        <w:rPr>
          <w:sz w:val="20"/>
          <w:szCs w:val="20"/>
          <w:color w:val="auto"/>
        </w:rPr>
      </w:pPr>
    </w:p>
    <w:p>
      <w:pPr>
        <w:ind w:left="760" w:right="980" w:hanging="606"/>
        <w:spacing w:after="0" w:line="261"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Lead Independent Director and the chairperson of the Board are eligible to receive a retainer for service as the Lead Independent Director or chairperson, as applicable, and an additional retainer for service as a member of the Board. The chairperson of each Committee is eligible to receive a retainer for service as the chairperson, but not an additional retainer for service as a member of the Committee.</w:t>
      </w:r>
    </w:p>
    <w:p>
      <w:pPr>
        <w:spacing w:after="0" w:line="207" w:lineRule="exact"/>
        <w:rPr>
          <w:sz w:val="20"/>
          <w:szCs w:val="20"/>
          <w:color w:val="auto"/>
        </w:rPr>
      </w:pPr>
    </w:p>
    <w:p>
      <w:pPr>
        <w:ind w:left="80" w:right="280" w:firstLine="389"/>
        <w:spacing w:after="0" w:line="258" w:lineRule="auto"/>
        <w:rPr>
          <w:sz w:val="20"/>
          <w:szCs w:val="20"/>
          <w:color w:val="auto"/>
        </w:rPr>
      </w:pPr>
      <w:r>
        <w:rPr>
          <w:rFonts w:ascii="Times New Roman" w:cs="Times New Roman" w:eastAsia="Times New Roman" w:hAnsi="Times New Roman"/>
          <w:sz w:val="18"/>
          <w:szCs w:val="18"/>
          <w:color w:val="auto"/>
        </w:rPr>
        <w:t>The annual retainers shall be paid in arrears in four equal quarterly installments, earned upon the completion of service in each calendar quarter. Notwithstanding the foregoing, each person who is elected or appointed to be a Non-Employee Director or who is appointed to serve on one of the Committees set forth above or as the Lead Independent Director or chairperson of the Board or one of the Committees set forth above, in each case other than on the first day of a calendar quarter, shall be eligible to receive a pro rata amount of the annual retainers described above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left="80" w:right="320"/>
        <w:spacing w:after="0" w:line="266" w:lineRule="auto"/>
        <w:rPr>
          <w:sz w:val="20"/>
          <w:szCs w:val="20"/>
          <w:color w:val="auto"/>
        </w:rPr>
      </w:pPr>
      <w:r>
        <w:rPr>
          <w:rFonts w:ascii="Times New Roman" w:cs="Times New Roman" w:eastAsia="Times New Roman" w:hAnsi="Times New Roman"/>
          <w:sz w:val="18"/>
          <w:szCs w:val="18"/>
          <w:color w:val="auto"/>
        </w:rPr>
        <w:t>calendar quarter in which such person becomes a Non-Employee Director, a member of one of the Committees, or the Lead Independent Director or chairperson of the Board or one of the Committees, as applicable, which pro rata amount reflects a reduction for each day during the calendar quarter prior to the date of such election or appointment.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annual retainers shall be paid on a pro-rata basis in arrears after the end of each quarter in the form of cash, or</w:t>
      </w:r>
    </w:p>
    <w:p>
      <w:pPr>
        <w:sectPr>
          <w:pgSz w:w="11900" w:h="16850" w:orient="portrait"/>
          <w:cols w:equalWidth="0" w:num="1">
            <w:col w:w="9220"/>
          </w:cols>
          <w:pgMar w:left="1340" w:top="558" w:right="1339" w:bottom="0" w:gutter="0" w:footer="0" w:header="0"/>
        </w:sectPr>
      </w:pPr>
    </w:p>
    <w:bookmarkStart w:id="88" w:name="page89"/>
    <w:bookmarkEnd w:id="88"/>
    <w:p>
      <w:pPr>
        <w:spacing w:after="0" w:line="62" w:lineRule="exact"/>
        <w:rPr>
          <w:sz w:val="20"/>
          <w:szCs w:val="20"/>
          <w:color w:val="auto"/>
        </w:rPr>
      </w:pPr>
    </w:p>
    <w:p>
      <w:pPr>
        <w:ind w:left="20" w:right="80"/>
        <w:spacing w:after="0" w:line="258" w:lineRule="auto"/>
        <w:rPr>
          <w:sz w:val="20"/>
          <w:szCs w:val="20"/>
          <w:color w:val="auto"/>
        </w:rPr>
      </w:pPr>
      <w:r>
        <w:rPr>
          <w:rFonts w:ascii="Times New Roman" w:cs="Times New Roman" w:eastAsia="Times New Roman" w:hAnsi="Times New Roman"/>
          <w:sz w:val="18"/>
          <w:szCs w:val="18"/>
          <w:color w:val="auto"/>
        </w:rPr>
        <w:t xml:space="preserve">alternatively, subject to each Non-Employee Director’s written election pursuant to the requirements set forth in the following paragraph, in the form of fully vested shares of Common Stock on the same date as the cash retainer would otherwise have been paid (the </w:t>
      </w:r>
      <w:r>
        <w:rPr>
          <w:rFonts w:ascii="Times New Roman" w:cs="Times New Roman" w:eastAsia="Times New Roman" w:hAnsi="Times New Roman"/>
          <w:sz w:val="18"/>
          <w:szCs w:val="18"/>
          <w:b w:val="1"/>
          <w:bCs w:val="1"/>
          <w:i w:val="1"/>
          <w:iCs w:val="1"/>
          <w:color w:val="auto"/>
        </w:rPr>
        <w:t>Payment Date</w:t>
      </w:r>
      <w:r>
        <w:rPr>
          <w:rFonts w:ascii="Times New Roman" w:cs="Times New Roman" w:eastAsia="Times New Roman" w:hAnsi="Times New Roman"/>
          <w:sz w:val="18"/>
          <w:szCs w:val="18"/>
          <w:color w:val="auto"/>
        </w:rPr>
        <w:t>”). Such shares of Common Stock shall be issued under the Market Value Stock Plan based on the Market Value (as defined in the Market Value Stock Plan) as of the Payment Date for retainers paid for service in and after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-669290</wp:posOffset>
            </wp:positionV>
            <wp:extent cx="7132320" cy="105156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63" w:lineRule="exact"/>
        <w:rPr>
          <w:sz w:val="20"/>
          <w:szCs w:val="20"/>
          <w:color w:val="auto"/>
        </w:rPr>
      </w:pPr>
    </w:p>
    <w:p>
      <w:pPr>
        <w:ind w:left="20" w:firstLine="389"/>
        <w:spacing w:after="0" w:line="252" w:lineRule="auto"/>
        <w:rPr>
          <w:sz w:val="20"/>
          <w:szCs w:val="20"/>
          <w:color w:val="auto"/>
        </w:rPr>
      </w:pPr>
      <w:r>
        <w:rPr>
          <w:rFonts w:ascii="Times New Roman" w:cs="Times New Roman" w:eastAsia="Times New Roman" w:hAnsi="Times New Roman"/>
          <w:sz w:val="18"/>
          <w:szCs w:val="18"/>
          <w:color w:val="auto"/>
        </w:rPr>
        <w:t>Subject to the following sentence, all written elections must be submitted (A) with respect to continuing Non-Employee Directors, prior to January 1 of each calendar year in which the Non-Employee Director is electing to receive fully vested shares of Common Stock in lieu of all or a portion of the cash retainer that would otherwise be paid, or (B) with respect to any person who first becomes a Non-Employee Director in any calendar year, in the first month of the next quarter following the quarter in which he or she first became a Non-Employee Director (such elections, the “</w:t>
      </w:r>
      <w:r>
        <w:rPr>
          <w:rFonts w:ascii="Times New Roman" w:cs="Times New Roman" w:eastAsia="Times New Roman" w:hAnsi="Times New Roman"/>
          <w:sz w:val="18"/>
          <w:szCs w:val="18"/>
          <w:b w:val="1"/>
          <w:bCs w:val="1"/>
          <w:i w:val="1"/>
          <w:iCs w:val="1"/>
          <w:color w:val="auto"/>
        </w:rPr>
        <w:t>Annual Elections</w:t>
      </w:r>
      <w:r>
        <w:rPr>
          <w:rFonts w:ascii="Times New Roman" w:cs="Times New Roman" w:eastAsia="Times New Roman" w:hAnsi="Times New Roman"/>
          <w:sz w:val="18"/>
          <w:szCs w:val="18"/>
          <w:color w:val="auto"/>
        </w:rPr>
        <w:t>”), and all Annual Elections must also be submitted during an “open window period” in accordance with the Company’s then-effective Insider Trading Compliance Program or any other policy on trading in Company securities and when the Non-Employee Director submitting the Annual Election is not otherwise aware of any material, nonpublic information with respect to the Company or any of its securities (collectively, each, an “</w:t>
      </w:r>
      <w:r>
        <w:rPr>
          <w:rFonts w:ascii="Times New Roman" w:cs="Times New Roman" w:eastAsia="Times New Roman" w:hAnsi="Times New Roman"/>
          <w:sz w:val="18"/>
          <w:szCs w:val="18"/>
          <w:b w:val="1"/>
          <w:bCs w:val="1"/>
          <w:i w:val="1"/>
          <w:iCs w:val="1"/>
          <w:color w:val="auto"/>
        </w:rPr>
        <w:t>Open Window</w:t>
      </w:r>
      <w:r>
        <w:rPr>
          <w:rFonts w:ascii="Times New Roman" w:cs="Times New Roman" w:eastAsia="Times New Roman" w:hAnsi="Times New Roman"/>
          <w:sz w:val="18"/>
          <w:szCs w:val="18"/>
          <w:color w:val="auto"/>
        </w:rPr>
        <w:t>”). If a Non-Employee Director is unable to submit an Annual Election within the applicable timeframe set forth in the preceding sentence due to the fact that there were no Open Windows within such applicable timeframe during which an Annual Election could be submitted, then the Annual Election for that calendar year shall be due no later than the tenth business day following the commencement of the next Open Window (provided that an Annual Election is actually submitted during such next Open Window). If, as a result of the preceding sentence, an Annual Election for any calendar year is submitted after the date that is thirty days prior to the end of the next quarter, then such Annual Election shall be applicable only to the quarters ending after the end of such next quarter. Subject to the preceding sentence, an Annual Election to be paid in Common Stock shall be applied to each quarter’s payment during the calendar year of such Annual Election.</w:t>
      </w:r>
    </w:p>
    <w:p>
      <w:pPr>
        <w:spacing w:after="0" w:line="216" w:lineRule="exact"/>
        <w:rPr>
          <w:sz w:val="20"/>
          <w:szCs w:val="20"/>
          <w:color w:val="auto"/>
        </w:rPr>
      </w:pPr>
    </w:p>
    <w:p>
      <w:pPr>
        <w:ind w:left="20" w:right="180" w:firstLine="381"/>
        <w:spacing w:after="0" w:line="268" w:lineRule="auto"/>
        <w:tabs>
          <w:tab w:leader="none" w:pos="1208"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color w:val="auto"/>
        </w:rPr>
        <w:t>Each Non-Employee Director shall be eligible for reimbursement from the Company for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out-of-pocket expenses incurred by the Non-Employee Director in connection with his or her attendance at Board and Committee meetings.</w:t>
      </w:r>
    </w:p>
    <w:p>
      <w:pPr>
        <w:spacing w:after="0" w:line="202" w:lineRule="exact"/>
        <w:rPr>
          <w:sz w:val="20"/>
          <w:szCs w:val="20"/>
          <w:color w:val="auto"/>
        </w:rPr>
      </w:pPr>
    </w:p>
    <w:p>
      <w:pPr>
        <w:ind w:left="20" w:right="140" w:firstLine="389"/>
        <w:spacing w:after="0" w:line="254" w:lineRule="auto"/>
        <w:rPr>
          <w:sz w:val="20"/>
          <w:szCs w:val="20"/>
          <w:color w:val="auto"/>
        </w:rPr>
      </w:pPr>
      <w:r>
        <w:rPr>
          <w:rFonts w:ascii="Times New Roman" w:cs="Times New Roman" w:eastAsia="Times New Roman" w:hAnsi="Times New Roman"/>
          <w:sz w:val="18"/>
          <w:szCs w:val="18"/>
          <w:color w:val="auto"/>
        </w:rPr>
        <w:t>To the extent that any taxable reimbursements are provided to a Non-Employee Director, they shall be provided in accordance with Section 409A of the Internal Revenue Code of 1986, as amended, and the Treasury Regulations and other guidance thereunder and any state law of similar effect, including, but not limited to, the following provisions: (i) the amount of any such expenses eligible for reimbursement during the Non-Employee Director’s taxable year may not affect the expenses eligible for reimbursement in any other taxable year; (ii) the reimbursement of an eligible expense must be made no later than the last day of the Non-Employee Director’s taxable year that immediately follows the taxable year in which the expense was incurred; and (iii) the right to any reimbursement may not be subject to liquidation or exchange for another benefit.</w:t>
      </w:r>
    </w:p>
    <w:p>
      <w:pPr>
        <w:spacing w:after="0" w:line="215" w:lineRule="exact"/>
        <w:rPr>
          <w:sz w:val="20"/>
          <w:szCs w:val="20"/>
          <w:color w:val="auto"/>
        </w:rPr>
      </w:pPr>
    </w:p>
    <w:p>
      <w:pPr>
        <w:ind w:left="20" w:right="420" w:hanging="8"/>
        <w:spacing w:after="0" w:line="268" w:lineRule="auto"/>
        <w:tabs>
          <w:tab w:leader="none" w:pos="5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EQUITY COMPENSATION. </w:t>
      </w:r>
      <w:r>
        <w:rPr>
          <w:rFonts w:ascii="Times New Roman" w:cs="Times New Roman" w:eastAsia="Times New Roman" w:hAnsi="Times New Roman"/>
          <w:sz w:val="18"/>
          <w:szCs w:val="18"/>
          <w:color w:val="auto"/>
        </w:rPr>
        <w:t>The options described in this Policy will be granted under the 2018 Plan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subject to the terms and conditions of (i) this Policy, (ii) the 2018 Plan and (ii) the forms of Option Agreements approved by the Board for the grant of options to Non-Employee Directors under the 2018 Plan.</w:t>
      </w:r>
    </w:p>
    <w:p>
      <w:pPr>
        <w:spacing w:after="0" w:line="184" w:lineRule="exact"/>
        <w:rPr>
          <w:rFonts w:ascii="Times New Roman" w:cs="Times New Roman" w:eastAsia="Times New Roman" w:hAnsi="Times New Roman"/>
          <w:sz w:val="18"/>
          <w:szCs w:val="18"/>
          <w:b w:val="1"/>
          <w:bCs w:val="1"/>
          <w:color w:val="auto"/>
        </w:rPr>
      </w:pPr>
    </w:p>
    <w:p>
      <w:pPr>
        <w:ind w:left="60" w:right="220" w:firstLine="341"/>
        <w:spacing w:after="0" w:line="259" w:lineRule="auto"/>
        <w:tabs>
          <w:tab w:leader="none" w:pos="1194"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Initial Grants. </w:t>
      </w:r>
      <w:r>
        <w:rPr>
          <w:rFonts w:ascii="Times New Roman" w:cs="Times New Roman" w:eastAsia="Times New Roman" w:hAnsi="Times New Roman"/>
          <w:sz w:val="18"/>
          <w:szCs w:val="18"/>
          <w:color w:val="auto"/>
        </w:rPr>
        <w:t>Each person who first becomes a Non-Employee Director, whether through election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of the Company or appointment by the Board to fill a vacancy, automatically shall be granted a Nonstatutory Stock Option to purchase 270,000 shares of Common Stock (a “First Director Option”) on the date of his or her initial election or appointment to be a Non-Employee Director. For the avoidance of doubt, an executive chairman of the Board shall not be eligible to receive a First Director Option pursuant to this Section 2(a).</w:t>
      </w:r>
    </w:p>
    <w:p>
      <w:pPr>
        <w:spacing w:after="0" w:line="219" w:lineRule="exact"/>
        <w:rPr>
          <w:rFonts w:ascii="Times New Roman" w:cs="Times New Roman" w:eastAsia="Times New Roman" w:hAnsi="Times New Roman"/>
          <w:sz w:val="18"/>
          <w:szCs w:val="18"/>
          <w:b w:val="1"/>
          <w:bCs w:val="1"/>
          <w:color w:val="auto"/>
        </w:rPr>
      </w:pPr>
    </w:p>
    <w:p>
      <w:pPr>
        <w:ind w:right="240" w:firstLine="397"/>
        <w:spacing w:after="0" w:line="268" w:lineRule="auto"/>
        <w:tabs>
          <w:tab w:leader="none" w:pos="1192"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Grants. </w:t>
      </w:r>
      <w:r>
        <w:rPr>
          <w:rFonts w:ascii="Times New Roman" w:cs="Times New Roman" w:eastAsia="Times New Roman" w:hAnsi="Times New Roman"/>
          <w:sz w:val="18"/>
          <w:szCs w:val="18"/>
          <w:color w:val="auto"/>
        </w:rPr>
        <w:t>Subject to Section 2(c) below, on the date of each annual meeting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 each person who is then a Non-Employee Director and shall be continuing as a Non-Employee Director following the date of such annual meeting (other than any Non-Employee Director receiving a First Director Option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date of such annual meeting) automatically shall be granted (i) a Nonstatutory Stock Option to purchase 220,000 shares of Common Stock (a “Subsequent Director Option”). For the avoidance of doubt, an executive chairman of the Board shall not be eligible to receive a Subsequent Director Option pursuant to this Section 2(b).</w:t>
      </w:r>
    </w:p>
    <w:p>
      <w:pPr>
        <w:spacing w:after="0" w:line="172" w:lineRule="exact"/>
        <w:rPr>
          <w:sz w:val="20"/>
          <w:szCs w:val="20"/>
          <w:color w:val="auto"/>
        </w:rPr>
      </w:pPr>
    </w:p>
    <w:p>
      <w:pPr>
        <w:ind w:left="-20" w:right="320" w:firstLine="329"/>
        <w:spacing w:after="0" w:line="256" w:lineRule="auto"/>
        <w:tabs>
          <w:tab w:leader="none" w:pos="547"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Grants for New Non-Employee Directors. </w:t>
      </w:r>
      <w:r>
        <w:rPr>
          <w:rFonts w:ascii="Times New Roman" w:cs="Times New Roman" w:eastAsia="Times New Roman" w:hAnsi="Times New Roman"/>
          <w:sz w:val="18"/>
          <w:szCs w:val="18"/>
          <w:color w:val="auto"/>
        </w:rPr>
        <w:t>If a person is elected or appointed to be a Non-Employee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Director for the first time other than at an annual general meeting of the Company’s stockholders, such Non-Employee Director automatically shall be granted a Subsequent Director Option with respect to the next annual general meeting in accordance with Section 2(b)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date of such initial election or appointment is not less than four calendar months prior to the date of the next annual general meeting. If the date of such initial election or appointment is less than four calendar months prior to the date of the next annual general meeting, such Non-Employee Director shall not be granted a Subsequent Director Option under Section 2(b) above with respect to such next annual general meeting.</w:t>
      </w:r>
    </w:p>
    <w:p>
      <w:pPr>
        <w:spacing w:after="0" w:line="182" w:lineRule="exact"/>
        <w:rPr>
          <w:rFonts w:ascii="Times New Roman" w:cs="Times New Roman" w:eastAsia="Times New Roman" w:hAnsi="Times New Roman"/>
          <w:sz w:val="18"/>
          <w:szCs w:val="18"/>
          <w:b w:val="1"/>
          <w:bCs w:val="1"/>
          <w:color w:val="auto"/>
        </w:rPr>
      </w:pPr>
    </w:p>
    <w:p>
      <w:pPr>
        <w:ind w:left="560" w:hanging="332"/>
        <w:spacing w:after="0"/>
        <w:tabs>
          <w:tab w:leader="none" w:pos="5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of Options.</w:t>
      </w:r>
    </w:p>
    <w:p>
      <w:pPr>
        <w:spacing w:after="0" w:line="269" w:lineRule="exact"/>
        <w:rPr>
          <w:rFonts w:ascii="Times New Roman" w:cs="Times New Roman" w:eastAsia="Times New Roman" w:hAnsi="Times New Roman"/>
          <w:sz w:val="18"/>
          <w:szCs w:val="18"/>
          <w:b w:val="1"/>
          <w:bCs w:val="1"/>
          <w:color w:val="auto"/>
        </w:rPr>
      </w:pPr>
    </w:p>
    <w:p>
      <w:pPr>
        <w:ind w:left="1200" w:hanging="567"/>
        <w:spacing w:after="0"/>
        <w:tabs>
          <w:tab w:leader="none" w:pos="1200" w:val="left"/>
        </w:tabs>
        <w:numPr>
          <w:ilvl w:val="2"/>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of each First Director Option and Subsequent Director Option</w:t>
      </w:r>
    </w:p>
    <w:p>
      <w:pPr>
        <w:sectPr>
          <w:pgSz w:w="11900" w:h="16900" w:orient="portrait"/>
          <w:cols w:equalWidth="0" w:num="1">
            <w:col w:w="9100"/>
          </w:cols>
          <w:pgMar w:left="1400" w:top="81" w:right="1399" w:bottom="0" w:gutter="0" w:footer="0" w:header="0"/>
        </w:sectPr>
      </w:pPr>
    </w:p>
    <w:bookmarkStart w:id="89" w:name="page90"/>
    <w:bookmarkEnd w:id="89"/>
    <w:p>
      <w:pPr>
        <w:ind w:right="1080"/>
        <w:spacing w:after="0" w:line="282" w:lineRule="auto"/>
        <w:rPr>
          <w:sz w:val="20"/>
          <w:szCs w:val="20"/>
          <w:color w:val="auto"/>
        </w:rPr>
      </w:pPr>
      <w:r>
        <w:rPr>
          <w:rFonts w:ascii="Times New Roman" w:cs="Times New Roman" w:eastAsia="Times New Roman" w:hAnsi="Times New Roman"/>
          <w:sz w:val="18"/>
          <w:szCs w:val="18"/>
          <w:color w:val="auto"/>
        </w:rPr>
        <w:t>shall be equal to 100% of the Fair Market Value of the Common Stock subject to such option (as determined in accordance with the 2018 Plan) on the date such option is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-287655</wp:posOffset>
            </wp:positionV>
            <wp:extent cx="7132320" cy="63284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6328410"/>
                    </a:xfrm>
                    <a:prstGeom prst="rect">
                      <a:avLst/>
                    </a:prstGeom>
                    <a:noFill/>
                  </pic:spPr>
                </pic:pic>
              </a:graphicData>
            </a:graphic>
          </wp:anchor>
        </w:drawing>
      </w:r>
    </w:p>
    <w:p>
      <w:pPr>
        <w:spacing w:after="0" w:line="155" w:lineRule="exact"/>
        <w:rPr>
          <w:sz w:val="20"/>
          <w:szCs w:val="20"/>
          <w:color w:val="auto"/>
        </w:rPr>
      </w:pPr>
    </w:p>
    <w:p>
      <w:pPr>
        <w:ind w:left="1320" w:hanging="748"/>
        <w:spacing w:after="0"/>
        <w:tabs>
          <w:tab w:leader="none" w:pos="1320"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xml:space="preserve"> . Each First Director Option and Subsequent Director Option shall vest and become exercisable as</w:t>
      </w:r>
    </w:p>
    <w:p>
      <w:pPr>
        <w:spacing w:after="0" w:line="27" w:lineRule="exact"/>
        <w:rPr>
          <w:rFonts w:ascii="Times New Roman" w:cs="Times New Roman" w:eastAsia="Times New Roman" w:hAnsi="Times New Roman"/>
          <w:sz w:val="18"/>
          <w:szCs w:val="18"/>
          <w:b w:val="1"/>
          <w:bCs w:val="1"/>
          <w:color w:val="auto"/>
        </w:rPr>
      </w:pPr>
    </w:p>
    <w:p>
      <w:pPr>
        <w:ind w:left="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follows:</w:t>
      </w:r>
    </w:p>
    <w:p>
      <w:pPr>
        <w:spacing w:after="0" w:line="233" w:lineRule="exact"/>
        <w:rPr>
          <w:rFonts w:ascii="Times New Roman" w:cs="Times New Roman" w:eastAsia="Times New Roman" w:hAnsi="Times New Roman"/>
          <w:sz w:val="18"/>
          <w:szCs w:val="18"/>
          <w:b w:val="1"/>
          <w:bCs w:val="1"/>
          <w:color w:val="auto"/>
        </w:rPr>
      </w:pPr>
    </w:p>
    <w:p>
      <w:pPr>
        <w:jc w:val="both"/>
        <w:ind w:left="40" w:right="120" w:firstLine="1169"/>
        <w:spacing w:after="0" w:line="266" w:lineRule="auto"/>
        <w:tabs>
          <w:tab w:leader="none" w:pos="1876" w:val="left"/>
        </w:tabs>
        <w:numPr>
          <w:ilvl w:val="2"/>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First Director Option shall vest and become exercisable in installments cumulatively as to 33 1/3% of the shares of Common Stock subject to such option on each of the first, second and third anniversaries of the date of grant of such option, subject to the Non-Employee Director’s Continuous Service through such dates.</w:t>
      </w:r>
    </w:p>
    <w:p>
      <w:pPr>
        <w:spacing w:after="0" w:line="189" w:lineRule="exact"/>
        <w:rPr>
          <w:rFonts w:ascii="Times New Roman" w:cs="Times New Roman" w:eastAsia="Times New Roman" w:hAnsi="Times New Roman"/>
          <w:sz w:val="18"/>
          <w:szCs w:val="18"/>
          <w:b w:val="1"/>
          <w:bCs w:val="1"/>
          <w:color w:val="auto"/>
        </w:rPr>
      </w:pPr>
    </w:p>
    <w:p>
      <w:pPr>
        <w:ind w:left="40" w:firstLine="1169"/>
        <w:spacing w:after="0" w:line="254" w:lineRule="auto"/>
        <w:tabs>
          <w:tab w:leader="none" w:pos="1876" w:val="left"/>
        </w:tabs>
        <w:numPr>
          <w:ilvl w:val="2"/>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Subsequent Director Option shall vest and become exercisable as to 100% of the shares of Common Stock subject to such option on the earlier of the (i) date of the next annual meeting of the Company’s stockholders (the “Next Annual Meeting”) or (ii) first anniversary of the grant date of such option, subject to the Non-Employee Director’s Continuous Service through such dates. For the sake of clarity, if a Non-Employee Director either (x) does not stand for reelection at the Next Annual Meeting and is a member of the class of directors whose term expires at the Next Annual Meeting or (y) otherwise resigns from the Board effective at or on the date of the Next Annual Meeting and, in either case, the Non-Employee Director’s Continuous Service terminates at or on the date of the Next Annual Meeting, then such Non-Employee Director’s Continuous Service shall be deemed to have continued through the date of the Next Annual Meeting for purposes of this Policy.</w:t>
      </w:r>
    </w:p>
    <w:p>
      <w:pPr>
        <w:spacing w:after="0" w:line="188" w:lineRule="exact"/>
        <w:rPr>
          <w:rFonts w:ascii="Times New Roman" w:cs="Times New Roman" w:eastAsia="Times New Roman" w:hAnsi="Times New Roman"/>
          <w:sz w:val="18"/>
          <w:szCs w:val="18"/>
          <w:b w:val="1"/>
          <w:bCs w:val="1"/>
          <w:color w:val="auto"/>
        </w:rPr>
      </w:pPr>
    </w:p>
    <w:p>
      <w:pPr>
        <w:ind w:left="40" w:right="40" w:firstLine="1169"/>
        <w:spacing w:after="0" w:line="261" w:lineRule="auto"/>
        <w:tabs>
          <w:tab w:leader="none" w:pos="1876" w:val="left"/>
        </w:tabs>
        <w:numPr>
          <w:ilvl w:val="2"/>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Sections 2(d)(</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(A) and 2(d)(i)(B) above, the vesting of a First Director Option and Subsequent Director Option shall be subject to (i) full acceleration in the event of a Change in Control and (ii) partial acceleration in the event of the Non-Employee Director’s termination of Continuous Service by reason of the Non-Employee Director’s Disability or death pursuant to, and in accordance with, the 2018 Plan and each Option Agreement.</w:t>
      </w:r>
    </w:p>
    <w:p>
      <w:pPr>
        <w:spacing w:after="0" w:line="175" w:lineRule="exact"/>
        <w:rPr>
          <w:rFonts w:ascii="Times New Roman" w:cs="Times New Roman" w:eastAsia="Times New Roman" w:hAnsi="Times New Roman"/>
          <w:sz w:val="18"/>
          <w:szCs w:val="18"/>
          <w:b w:val="1"/>
          <w:bCs w:val="1"/>
          <w:color w:val="auto"/>
        </w:rPr>
      </w:pPr>
    </w:p>
    <w:p>
      <w:pPr>
        <w:ind w:left="40" w:right="240" w:hanging="8"/>
        <w:spacing w:after="0" w:line="284" w:lineRule="auto"/>
        <w:tabs>
          <w:tab w:leader="none" w:pos="625"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 xml:space="preserve">NON-EMPLOYEE DIRECTOR COMPENSATION LIMIT. </w:t>
      </w:r>
      <w:r>
        <w:rPr>
          <w:rFonts w:ascii="Times New Roman" w:cs="Times New Roman" w:eastAsia="Times New Roman" w:hAnsi="Times New Roman"/>
          <w:sz w:val="18"/>
          <w:szCs w:val="18"/>
          <w:color w:val="auto"/>
        </w:rPr>
        <w:t>Notwithstanding the foregoing,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all compensation granted or paid, as applicable, to any individual for service as a Non-Employee Director shall in no event exceed the limits set forth in Section IV(c) of the 2018 Plan.</w:t>
      </w:r>
    </w:p>
    <w:p>
      <w:pPr>
        <w:sectPr>
          <w:pgSz w:w="11900" w:h="16838" w:orient="portrait"/>
          <w:cols w:equalWidth="0" w:num="1">
            <w:col w:w="9080"/>
          </w:cols>
          <w:pgMar w:left="1380" w:top="108" w:right="1439" w:bottom="1440" w:gutter="0" w:footer="0" w:header="0"/>
        </w:sectPr>
      </w:pPr>
    </w:p>
    <w:bookmarkStart w:id="90" w:name="page91"/>
    <w:bookmarkEnd w:id="90"/>
    <w:p>
      <w:pPr>
        <w:spacing w:after="0" w:line="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Consulting Agreement</w:t>
      </w:r>
    </w:p>
    <w:p>
      <w:pPr>
        <w:spacing w:after="0" w:line="256" w:lineRule="exact"/>
        <w:rPr>
          <w:sz w:val="20"/>
          <w:szCs w:val="20"/>
          <w:color w:val="auto"/>
        </w:rPr>
      </w:pPr>
    </w:p>
    <w:p>
      <w:pPr>
        <w:ind w:right="320" w:firstLine="648"/>
        <w:spacing w:after="0" w:line="254" w:lineRule="auto"/>
        <w:rPr>
          <w:sz w:val="20"/>
          <w:szCs w:val="20"/>
          <w:color w:val="auto"/>
        </w:rPr>
      </w:pPr>
      <w:r>
        <w:rPr>
          <w:rFonts w:ascii="Times New Roman" w:cs="Times New Roman" w:eastAsia="Times New Roman" w:hAnsi="Times New Roman"/>
          <w:sz w:val="20"/>
          <w:szCs w:val="20"/>
          <w:color w:val="auto"/>
        </w:rPr>
        <w:t xml:space="preserve">This Consulting Agreement (the “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xml:space="preserve">”), effective as of October 16, 2025 (the “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xml:space="preserve">”), sets forth the terms and conditions established between Geron Corporation (“ </w:t>
      </w:r>
      <w:r>
        <w:rPr>
          <w:rFonts w:ascii="Times New Roman" w:cs="Times New Roman" w:eastAsia="Times New Roman" w:hAnsi="Times New Roman"/>
          <w:sz w:val="20"/>
          <w:szCs w:val="20"/>
          <w:b w:val="1"/>
          <w:bCs w:val="1"/>
          <w:color w:val="auto"/>
        </w:rPr>
        <w:t>Geron</w:t>
      </w:r>
      <w:r>
        <w:rPr>
          <w:rFonts w:ascii="Times New Roman" w:cs="Times New Roman" w:eastAsia="Times New Roman" w:hAnsi="Times New Roman"/>
          <w:sz w:val="20"/>
          <w:szCs w:val="20"/>
          <w:color w:val="auto"/>
        </w:rPr>
        <w:t>”), with a place of business at 3 Sylvan Way, Suite 202, Parsippany, New Jersey 07054; and Andrew J. Grethlein, residing at 628 Johnstone Lane B865, Barnard, Vermont 05031 (“</w:t>
      </w:r>
      <w:r>
        <w:rPr>
          <w:rFonts w:ascii="Times New Roman" w:cs="Times New Roman" w:eastAsia="Times New Roman" w:hAnsi="Times New Roman"/>
          <w:sz w:val="20"/>
          <w:szCs w:val="20"/>
          <w:b w:val="1"/>
          <w:bCs w:val="1"/>
          <w:color w:val="auto"/>
        </w:rPr>
        <w:t>Consultant</w:t>
      </w:r>
      <w:r>
        <w:rPr>
          <w:rFonts w:ascii="Times New Roman" w:cs="Times New Roman" w:eastAsia="Times New Roman" w:hAnsi="Times New Roman"/>
          <w:sz w:val="20"/>
          <w:szCs w:val="20"/>
          <w:color w:val="auto"/>
        </w:rPr>
        <w:t>”) with respect to consulting services to be provided by Consultant to Geron. This Agreement supersedes all other understandings, oral or written, between Geron and Consultant with regard to Consultant’s services.</w:t>
      </w:r>
    </w:p>
    <w:p>
      <w:pPr>
        <w:spacing w:after="0" w:line="214" w:lineRule="exact"/>
        <w:rPr>
          <w:sz w:val="20"/>
          <w:szCs w:val="20"/>
          <w:color w:val="auto"/>
        </w:rPr>
      </w:pPr>
    </w:p>
    <w:p>
      <w:pPr>
        <w:ind w:left="260" w:hanging="252"/>
        <w:spacing w:after="0"/>
        <w:tabs>
          <w:tab w:leader="none" w:pos="260" w:val="left"/>
        </w:tabs>
        <w:numPr>
          <w:ilvl w:val="0"/>
          <w:numId w:val="63"/>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Services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b w:val="1"/>
          <w:bCs w:val="1"/>
          <w:u w:val="single" w:color="auto"/>
          <w:color w:val="auto"/>
        </w:rPr>
      </w:pPr>
    </w:p>
    <w:p>
      <w:pPr>
        <w:ind w:right="320" w:firstLine="656"/>
        <w:spacing w:after="0" w:line="278" w:lineRule="auto"/>
        <w:tabs>
          <w:tab w:leader="none" w:pos="1296" w:val="left"/>
        </w:tabs>
        <w:numPr>
          <w:ilvl w:val="1"/>
          <w:numId w:val="6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Scope</w:t>
      </w:r>
      <w:r>
        <w:rPr>
          <w:rFonts w:ascii="Times New Roman" w:cs="Times New Roman" w:eastAsia="Times New Roman" w:hAnsi="Times New Roman"/>
          <w:sz w:val="19"/>
          <w:szCs w:val="19"/>
          <w:color w:val="auto"/>
        </w:rPr>
        <w:t>. Consultant will provide advice and consultation with respect to company operations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strategy, including manufacturing, CMC, supply chain, quality, technical operations and other services as mutually agreed from time to time (the “</w:t>
      </w:r>
      <w:r>
        <w:rPr>
          <w:rFonts w:ascii="Times New Roman" w:cs="Times New Roman" w:eastAsia="Times New Roman" w:hAnsi="Times New Roman"/>
          <w:sz w:val="19"/>
          <w:szCs w:val="19"/>
          <w:b w:val="1"/>
          <w:bCs w:val="1"/>
          <w:color w:val="auto"/>
        </w:rPr>
        <w:t>Services</w:t>
      </w:r>
      <w:r>
        <w:rPr>
          <w:rFonts w:ascii="Times New Roman" w:cs="Times New Roman" w:eastAsia="Times New Roman" w:hAnsi="Times New Roman"/>
          <w:sz w:val="19"/>
          <w:szCs w:val="19"/>
          <w:color w:val="auto"/>
        </w:rPr>
        <w:t>”), as requested by Geron. Consultant shall work under the direction of the Chief Executive Officer of Geron and shall have no management, supervisory or decision-making authority.</w:t>
      </w:r>
    </w:p>
    <w:p>
      <w:pPr>
        <w:spacing w:after="0" w:line="175" w:lineRule="exact"/>
        <w:rPr>
          <w:rFonts w:ascii="Times New Roman" w:cs="Times New Roman" w:eastAsia="Times New Roman" w:hAnsi="Times New Roman"/>
          <w:sz w:val="19"/>
          <w:szCs w:val="19"/>
          <w:b w:val="1"/>
          <w:bCs w:val="1"/>
          <w:color w:val="auto"/>
        </w:rPr>
      </w:pPr>
    </w:p>
    <w:p>
      <w:pPr>
        <w:jc w:val="both"/>
        <w:ind w:right="340" w:firstLine="656"/>
        <w:spacing w:after="0" w:line="273" w:lineRule="auto"/>
        <w:tabs>
          <w:tab w:leader="none" w:pos="1296" w:val="left"/>
        </w:tabs>
        <w:numPr>
          <w:ilvl w:val="1"/>
          <w:numId w:val="6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Standard of Care. </w:t>
      </w:r>
      <w:r>
        <w:rPr>
          <w:rFonts w:ascii="Times New Roman" w:cs="Times New Roman" w:eastAsia="Times New Roman" w:hAnsi="Times New Roman"/>
          <w:sz w:val="19"/>
          <w:szCs w:val="19"/>
          <w:color w:val="auto"/>
        </w:rPr>
        <w:t>Consultant agrees to utilize Consultant’s reasonable best efforts and expertise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perform the Services. Consultant may not subcontract or otherwise delegate Consultant’s obligations under this</w:t>
      </w:r>
    </w:p>
    <w:p>
      <w:pPr>
        <w:spacing w:after="0" w:line="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9"/>
          <w:szCs w:val="19"/>
          <w:color w:val="auto"/>
        </w:rPr>
        <w:t>Agreement without Geron’s prior written consent. Consultant will comply with all laws, regulations, and ordinances applicable to Consultant’s performance of the Services and Consultant’s other obligations under this Agreement and has obtained (or before performing the Services will obtain) all governmental permits and licenses</w:t>
      </w:r>
    </w:p>
    <w:p>
      <w:pPr>
        <w:spacing w:after="0" w:line="3" w:lineRule="exact"/>
        <w:rPr>
          <w:sz w:val="20"/>
          <w:szCs w:val="20"/>
          <w:color w:val="auto"/>
        </w:rPr>
      </w:pPr>
    </w:p>
    <w:p>
      <w:pPr>
        <w:spacing w:after="0"/>
        <w:tabs>
          <w:tab w:leader="none" w:pos="8820" w:val="left"/>
        </w:tabs>
        <w:rPr>
          <w:sz w:val="20"/>
          <w:szCs w:val="20"/>
          <w:color w:val="auto"/>
        </w:rPr>
      </w:pPr>
      <w:r>
        <w:rPr>
          <w:rFonts w:ascii="Times New Roman" w:cs="Times New Roman" w:eastAsia="Times New Roman" w:hAnsi="Times New Roman"/>
          <w:sz w:val="20"/>
          <w:szCs w:val="20"/>
          <w:color w:val="auto"/>
        </w:rPr>
        <w:t>required for Consultant to perform the Services and Consultant’s other obligations under this Agreement.</w:t>
      </w:r>
      <w:r>
        <w:rPr>
          <w:sz w:val="20"/>
          <w:szCs w:val="20"/>
          <w:color w:val="auto"/>
        </w:rPr>
        <w:tab/>
      </w:r>
      <w:r>
        <w:rPr>
          <w:rFonts w:ascii="Times New Roman" w:cs="Times New Roman" w:eastAsia="Times New Roman" w:hAnsi="Times New Roman"/>
          <w:sz w:val="18"/>
          <w:szCs w:val="18"/>
          <w:color w:val="auto"/>
        </w:rPr>
        <w:t>All</w:t>
      </w:r>
    </w:p>
    <w:p>
      <w:pPr>
        <w:spacing w:after="0" w:line="6" w:lineRule="exact"/>
        <w:rPr>
          <w:sz w:val="20"/>
          <w:szCs w:val="20"/>
          <w:color w:val="auto"/>
        </w:rPr>
      </w:pPr>
    </w:p>
    <w:p>
      <w:pPr>
        <w:ind w:right="720"/>
        <w:spacing w:after="0" w:line="253" w:lineRule="auto"/>
        <w:rPr>
          <w:sz w:val="20"/>
          <w:szCs w:val="20"/>
          <w:color w:val="auto"/>
        </w:rPr>
      </w:pPr>
      <w:r>
        <w:rPr>
          <w:rFonts w:ascii="Times New Roman" w:cs="Times New Roman" w:eastAsia="Times New Roman" w:hAnsi="Times New Roman"/>
          <w:sz w:val="20"/>
          <w:szCs w:val="20"/>
          <w:color w:val="auto"/>
        </w:rPr>
        <w:t>Services Consultant provides to Geron after the Effective Date will be deemed to be provided pursuant to this Agreement.</w:t>
      </w:r>
    </w:p>
    <w:p>
      <w:pPr>
        <w:spacing w:after="0" w:line="198" w:lineRule="exact"/>
        <w:rPr>
          <w:sz w:val="20"/>
          <w:szCs w:val="20"/>
          <w:color w:val="auto"/>
        </w:rPr>
      </w:pPr>
    </w:p>
    <w:p>
      <w:pPr>
        <w:ind w:right="320" w:firstLine="656"/>
        <w:spacing w:after="0" w:line="270" w:lineRule="auto"/>
        <w:tabs>
          <w:tab w:leader="none" w:pos="1296" w:val="left"/>
        </w:tabs>
        <w:numPr>
          <w:ilvl w:val="0"/>
          <w:numId w:val="6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Time and Place </w:t>
      </w:r>
      <w:r>
        <w:rPr>
          <w:rFonts w:ascii="Times New Roman" w:cs="Times New Roman" w:eastAsia="Times New Roman" w:hAnsi="Times New Roman"/>
          <w:sz w:val="19"/>
          <w:szCs w:val="19"/>
          <w:color w:val="auto"/>
        </w:rPr>
        <w:t>. Consultant will provide Services as needed upon reasonable request by Geron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its representatives. The Services may include consultations, upon reasonable notice, in meetings, by telephone, e-mail, or letter, and whatever literature research, analysis, or computation Geron or its representatives may deem appropriate. Unless otherwise terminated as provided below or extended by mutual agreement in writing, the term of this Agreement shall commence on the Effective Date and expire one (1) year from the Effective Date (the “</w:t>
      </w:r>
      <w:r>
        <w:rPr>
          <w:rFonts w:ascii="Times New Roman" w:cs="Times New Roman" w:eastAsia="Times New Roman" w:hAnsi="Times New Roman"/>
          <w:sz w:val="19"/>
          <w:szCs w:val="19"/>
          <w:b w:val="1"/>
          <w:bCs w:val="1"/>
          <w:color w:val="auto"/>
        </w:rPr>
        <w:t>Term</w:t>
      </w:r>
      <w:r>
        <w:rPr>
          <w:rFonts w:ascii="Times New Roman" w:cs="Times New Roman" w:eastAsia="Times New Roman" w:hAnsi="Times New Roman"/>
          <w:sz w:val="19"/>
          <w:szCs w:val="19"/>
          <w:color w:val="auto"/>
        </w:rPr>
        <w:t>”). The parties may extend the Term of this Agreement through a written amendment.</w:t>
      </w:r>
    </w:p>
    <w:p>
      <w:pPr>
        <w:spacing w:after="0" w:line="185" w:lineRule="exact"/>
        <w:rPr>
          <w:rFonts w:ascii="Times New Roman" w:cs="Times New Roman" w:eastAsia="Times New Roman" w:hAnsi="Times New Roman"/>
          <w:sz w:val="19"/>
          <w:szCs w:val="19"/>
          <w:b w:val="1"/>
          <w:bCs w:val="1"/>
          <w:color w:val="auto"/>
        </w:rPr>
      </w:pPr>
    </w:p>
    <w:p>
      <w:pPr>
        <w:ind w:right="320" w:firstLine="656"/>
        <w:spacing w:after="0" w:line="265" w:lineRule="auto"/>
        <w:tabs>
          <w:tab w:leader="none" w:pos="1296" w:val="left"/>
        </w:tabs>
        <w:numPr>
          <w:ilvl w:val="0"/>
          <w:numId w:val="6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Independent Contractor </w:t>
      </w:r>
      <w:r>
        <w:rPr>
          <w:rFonts w:ascii="Times New Roman" w:cs="Times New Roman" w:eastAsia="Times New Roman" w:hAnsi="Times New Roman"/>
          <w:sz w:val="19"/>
          <w:szCs w:val="19"/>
          <w:color w:val="auto"/>
        </w:rPr>
        <w:t>. Consultant’s relationship with Geron will be that of an independent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contractor, and nothing in this Agreement shall be construed to create a partnership, joint venture, or employer-employee relationship. Consultant is not the agent or representative of Geron (except as specifically set forth in this Agreement); is not authorized to make any representation, contract or commitment on behalf of Geron; will not be entitled to any of the benefits that Geron makes available to its employees, such as group insurance, profit-sharing or retirement benefits (and waives the right to receive any such benefits); and will be solely responsible for all tax returns and payments required to be filed with or made to any tax authority with respect to performance of Services and receipt of fees under this Agreement. Consultant agrees to accept exclusive liability for complying with all applicable state and federal laws, including without limitation laws governing self-employed individuals. Geron will not withhold or make payments for taxes, social security, unemployment insurance or disability insurance contributions, or obtain workers’ compensation insurance on Consultant’s behalf.</w:t>
      </w:r>
    </w:p>
    <w:p>
      <w:pPr>
        <w:spacing w:after="0" w:line="195"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9"/>
          <w:szCs w:val="19"/>
          <w:b w:val="1"/>
          <w:bCs w:val="1"/>
          <w:color w:val="auto"/>
        </w:rPr>
        <w:t>Inspection</w:t>
      </w:r>
      <w:r>
        <w:rPr>
          <w:rFonts w:ascii="Times New Roman" w:cs="Times New Roman" w:eastAsia="Times New Roman" w:hAnsi="Times New Roman"/>
          <w:sz w:val="19"/>
          <w:szCs w:val="19"/>
          <w:color w:val="auto"/>
        </w:rPr>
        <w:t>. Geron or Geron’s authorized representative and any governmental agency which regulates Geron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may, at all reasonable times during the term of this Agreement and for three (3) years thereafter, upon reasonable notice, inspect and audit the books, records and data of Consultant relating to the Services for the purpose of evaluating Consultant's compliance with this Agreement and any law, regulation or policy applicable to Geron. Consultant shall retain all applicable books, records, and data for three (3) years subsequent to the expiration or termination of this Agreement or such longer period as required by applicable local or international regulatory requirements, except those</w:t>
      </w:r>
    </w:p>
    <w:p>
      <w:pPr>
        <w:sectPr>
          <w:pgSz w:w="11900" w:h="16899" w:orient="portrait"/>
          <w:cols w:equalWidth="0" w:num="1">
            <w:col w:w="9400"/>
          </w:cols>
          <w:pgMar w:left="1400" w:top="572" w:right="10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documents or data returned to the Geron or Geron’s authorized representative at Geron’s request and for which the Geron or Geron’s authorized representative will assume responsibility as stated above. If Consultant is notified of an inspection by a governmental agency, Consultant shall take all reasonable steps necessary to provide prompt notice of inspection to Geron and cure any deficiencies identified by said inspection at Consultant’s expense.</w:t>
      </w:r>
    </w:p>
    <w:p>
      <w:pPr>
        <w:sectPr>
          <w:pgSz w:w="11900" w:h="16899" w:orient="portrait"/>
          <w:cols w:equalWidth="0" w:num="1">
            <w:col w:w="9400"/>
          </w:cols>
          <w:pgMar w:left="1400" w:top="572" w:right="1099" w:bottom="0" w:gutter="0" w:footer="0" w:header="0"/>
          <w:type w:val="continuous"/>
        </w:sectPr>
      </w:pPr>
    </w:p>
    <w:bookmarkStart w:id="91" w:name="page92"/>
    <w:bookmarkEnd w:id="91"/>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260" w:hanging="252"/>
        <w:spacing w:after="0"/>
        <w:tabs>
          <w:tab w:leader="none" w:pos="260" w:val="left"/>
        </w:tabs>
        <w:numPr>
          <w:ilvl w:val="0"/>
          <w:numId w:val="65"/>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Compensation.</w:t>
      </w:r>
    </w:p>
    <w:p>
      <w:pPr>
        <w:spacing w:after="0" w:line="256" w:lineRule="exact"/>
        <w:rPr>
          <w:rFonts w:ascii="Times New Roman" w:cs="Times New Roman" w:eastAsia="Times New Roman" w:hAnsi="Times New Roman"/>
          <w:sz w:val="20"/>
          <w:szCs w:val="20"/>
          <w:b w:val="1"/>
          <w:bCs w:val="1"/>
          <w:u w:val="single" w:color="auto"/>
          <w:color w:val="auto"/>
        </w:rPr>
      </w:pPr>
    </w:p>
    <w:p>
      <w:pPr>
        <w:jc w:val="both"/>
        <w:ind w:firstLine="656"/>
        <w:spacing w:after="0" w:line="278" w:lineRule="auto"/>
        <w:tabs>
          <w:tab w:leader="none" w:pos="1296" w:val="left"/>
        </w:tabs>
        <w:numPr>
          <w:ilvl w:val="1"/>
          <w:numId w:val="6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Fees</w:t>
      </w:r>
      <w:r>
        <w:rPr>
          <w:rFonts w:ascii="Times New Roman" w:cs="Times New Roman" w:eastAsia="Times New Roman" w:hAnsi="Times New Roman"/>
          <w:sz w:val="19"/>
          <w:szCs w:val="19"/>
          <w:color w:val="auto"/>
        </w:rPr>
        <w:t>. In consideration for the Services, Geron will pay Consultant a monthly retainer of $5,000.00</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USD per month for up to twenty (20) hours of Services per month in each of the first three months of the Term and up to ten (10) hours of Services per month thereafter. The aggregate total of all fees for Services performed by Consultant will not exceed $60,000.00 USD for the Term, without prior written approval from Geron.</w:t>
      </w:r>
    </w:p>
    <w:p>
      <w:pPr>
        <w:spacing w:after="0" w:line="175" w:lineRule="exact"/>
        <w:rPr>
          <w:rFonts w:ascii="Times New Roman" w:cs="Times New Roman" w:eastAsia="Times New Roman" w:hAnsi="Times New Roman"/>
          <w:sz w:val="19"/>
          <w:szCs w:val="19"/>
          <w:b w:val="1"/>
          <w:bCs w:val="1"/>
          <w:color w:val="auto"/>
        </w:rPr>
      </w:pPr>
    </w:p>
    <w:p>
      <w:pPr>
        <w:jc w:val="both"/>
        <w:ind w:firstLine="656"/>
        <w:spacing w:after="0" w:line="258" w:lineRule="auto"/>
        <w:tabs>
          <w:tab w:leader="none" w:pos="1296" w:val="left"/>
        </w:tabs>
        <w:numPr>
          <w:ilvl w:val="1"/>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Expenses</w:t>
      </w:r>
      <w:r>
        <w:rPr>
          <w:rFonts w:ascii="Times New Roman" w:cs="Times New Roman" w:eastAsia="Times New Roman" w:hAnsi="Times New Roman"/>
          <w:sz w:val="20"/>
          <w:szCs w:val="20"/>
          <w:color w:val="auto"/>
        </w:rPr>
        <w:t>. Geron will reimburse Consultant for out-of-pocket expenses incurred by Consultant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performing the Services, provided that such expenses are necessary for the performance of the Services hereunder, are reasonable (for example, not luxury or first class) and in accordance with policies provided by Geron and have been approved specifically in writing in advance by Geron up to a specific dollar amount. Invoices for expenses are required prior to reimbursement.</w:t>
      </w:r>
    </w:p>
    <w:p>
      <w:pPr>
        <w:spacing w:after="0" w:line="194" w:lineRule="exact"/>
        <w:rPr>
          <w:rFonts w:ascii="Times New Roman" w:cs="Times New Roman" w:eastAsia="Times New Roman" w:hAnsi="Times New Roman"/>
          <w:sz w:val="20"/>
          <w:szCs w:val="20"/>
          <w:b w:val="1"/>
          <w:bCs w:val="1"/>
          <w:color w:val="auto"/>
        </w:rPr>
      </w:pPr>
    </w:p>
    <w:p>
      <w:pPr>
        <w:ind w:firstLine="656"/>
        <w:spacing w:after="0" w:line="251" w:lineRule="auto"/>
        <w:tabs>
          <w:tab w:leader="none" w:pos="1296" w:val="left"/>
        </w:tabs>
        <w:numPr>
          <w:ilvl w:val="1"/>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Equity. </w:t>
      </w:r>
      <w:r>
        <w:rPr>
          <w:rFonts w:ascii="Times New Roman" w:cs="Times New Roman" w:eastAsia="Times New Roman" w:hAnsi="Times New Roman"/>
          <w:sz w:val="20"/>
          <w:szCs w:val="20"/>
          <w:color w:val="auto"/>
        </w:rPr>
        <w:t>In connection with Consultant’s termination as an employee of Geron, Consultant agrees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that all stock options granted to him during the period of his employment at Geron will stop vesting as of his last day of employment and that any unvested stock options and any unvested restricted share units will be cancelled as of that date; provided, however, that the stock option granted to Consultant on February 16, 2022, for 750,000 shares of common stock at an exercise price of $1.06 per share (the “ </w:t>
      </w:r>
      <w:r>
        <w:rPr>
          <w:rFonts w:ascii="Times New Roman" w:cs="Times New Roman" w:eastAsia="Times New Roman" w:hAnsi="Times New Roman"/>
          <w:sz w:val="20"/>
          <w:szCs w:val="20"/>
          <w:b w:val="1"/>
          <w:bCs w:val="1"/>
          <w:color w:val="auto"/>
        </w:rPr>
        <w:t>2022 Option</w:t>
      </w:r>
      <w:r>
        <w:rPr>
          <w:rFonts w:ascii="Times New Roman" w:cs="Times New Roman" w:eastAsia="Times New Roman" w:hAnsi="Times New Roman"/>
          <w:sz w:val="20"/>
          <w:szCs w:val="20"/>
          <w:color w:val="auto"/>
        </w:rPr>
        <w:t>”) shall continue to vest during the Term of this Agreement, subject to and in accordance with the terms of the 2018 Equity Incentive Plan, as amended, and the option agreement underlying such 2022 Option. With respect to Consultant’s outstanding stock options that are vested as of his last day of employment and with respect to the 2022 Option, to the extent that additional shares become vested thereunder pursuant to the immediately preceding sentence, Consultant agrees that the period for which Consultant may exercise each such vested stock options shall either be (i) the period provided in the Separation Agreement and Release entered into by and between Consultant and the Company, dated on or about the date hereof, provided that such agreement is in effect; or (ii) the earlier of (x) the expiration date of the option, and (y) (aa) three months after Consultant’s last day as an employee of Geron with respect all vested options other than the 2022 Option, and (bb) three months after the termination of this Agreement with respect to the 2022 Option</w:t>
      </w:r>
      <w:r>
        <w:rPr>
          <w:rFonts w:ascii="Times New Roman" w:cs="Times New Roman" w:eastAsia="Times New Roman" w:hAnsi="Times New Roman"/>
          <w:sz w:val="25"/>
          <w:szCs w:val="25"/>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00" w:hanging="644"/>
        <w:spacing w:after="0"/>
        <w:tabs>
          <w:tab w:leader="none" w:pos="130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Documentation. </w:t>
      </w:r>
      <w:r>
        <w:rPr>
          <w:rFonts w:ascii="Times New Roman" w:cs="Times New Roman" w:eastAsia="Times New Roman" w:hAnsi="Times New Roman"/>
          <w:sz w:val="20"/>
          <w:szCs w:val="20"/>
          <w:color w:val="auto"/>
        </w:rPr>
        <w:t>Consultant will submit to Geron invoices for Consultant’s fees and expenses in</w:t>
      </w:r>
    </w:p>
    <w:p>
      <w:pPr>
        <w:spacing w:after="0" w:line="3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 xml:space="preserve">the form of </w:t>
      </w:r>
      <w:r>
        <w:rPr>
          <w:rFonts w:ascii="Times New Roman" w:cs="Times New Roman" w:eastAsia="Times New Roman" w:hAnsi="Times New Roman"/>
          <w:sz w:val="19"/>
          <w:szCs w:val="19"/>
          <w:b w:val="1"/>
          <w:bCs w:val="1"/>
          <w:color w:val="auto"/>
        </w:rPr>
        <w:t>Exhibit A</w:t>
      </w:r>
      <w:r>
        <w:rPr>
          <w:rFonts w:ascii="Times New Roman" w:cs="Times New Roman" w:eastAsia="Times New Roman" w:hAnsi="Times New Roman"/>
          <w:sz w:val="19"/>
          <w:szCs w:val="19"/>
          <w:color w:val="auto"/>
        </w:rPr>
        <w:t xml:space="preserve"> within fifteen (15) days after the end of the month in which the invoiced expense is incurred. Geron issues purchase orders, accepts invoices and makes payments through Geron’s Coupa vendor portal. To facilitate the submission of invoices and receipt of payments, all vendors are encouraged to establish an account on Geron’s Coupa vendor portal. Once established as a vendor in Geron’s systems, a link will be sent via email to enable vendors to establish an account on Coupa’s vendor portal. Questions about access to Geron’s Coupa vendor portal can be sent to CoupaHelp@geron.com. As an alternative to establishing an account on Geron’s Coupa vendor portal, Consultant may submit invoices as an attachment to: invoices@geron.coupahost.com. The foregoing is a no-reply email address and purchase order information should not be included in the body of the email or through links. Payment-related questions may be sent to: accountspayable@geron.com. Consultant will also submit to Geron a completed IRS Form W-9, Request for Taxpayer Identification Number. </w:t>
      </w:r>
      <w:r>
        <w:rPr>
          <w:rFonts w:ascii="Times New Roman" w:cs="Times New Roman" w:eastAsia="Times New Roman" w:hAnsi="Times New Roman"/>
          <w:sz w:val="19"/>
          <w:szCs w:val="19"/>
          <w:b w:val="1"/>
          <w:bCs w:val="1"/>
          <w:color w:val="auto"/>
        </w:rPr>
        <w:t>Geron cannot make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payment of consulting fees until it has received the completed W-9. </w:t>
      </w:r>
      <w:r>
        <w:rPr>
          <w:rFonts w:ascii="Times New Roman" w:cs="Times New Roman" w:eastAsia="Times New Roman" w:hAnsi="Times New Roman"/>
          <w:sz w:val="19"/>
          <w:szCs w:val="19"/>
          <w:color w:val="auto"/>
        </w:rPr>
        <w:t>Consultant will also submit any further</w:t>
      </w:r>
    </w:p>
    <w:p>
      <w:pPr>
        <w:sectPr>
          <w:pgSz w:w="11900" w:h="16844" w:orient="portrait"/>
          <w:cols w:equalWidth="0" w:num="1">
            <w:col w:w="9080"/>
          </w:cols>
          <w:pgMar w:left="1400" w:top="302" w:right="1419" w:bottom="0" w:gutter="0" w:footer="0" w:header="0"/>
        </w:sectPr>
      </w:pPr>
    </w:p>
    <w:bookmarkStart w:id="92" w:name="page93"/>
    <w:bookmarkEnd w:id="92"/>
    <w:p>
      <w:pPr>
        <w:spacing w:after="0" w:line="2" w:lineRule="exact"/>
        <w:rPr>
          <w:sz w:val="20"/>
          <w:szCs w:val="20"/>
          <w:color w:val="auto"/>
        </w:rPr>
      </w:pPr>
    </w:p>
    <w:p>
      <w:pPr>
        <w:ind w:right="380"/>
        <w:spacing w:after="0" w:line="228" w:lineRule="auto"/>
        <w:rPr>
          <w:sz w:val="20"/>
          <w:szCs w:val="20"/>
          <w:color w:val="auto"/>
        </w:rPr>
      </w:pPr>
      <w:r>
        <w:rPr>
          <w:rFonts w:ascii="Times New Roman" w:cs="Times New Roman" w:eastAsia="Times New Roman" w:hAnsi="Times New Roman"/>
          <w:sz w:val="20"/>
          <w:szCs w:val="20"/>
          <w:color w:val="auto"/>
        </w:rPr>
        <w:t>documentation reasonably requested by Geron. Geron will pay the fees and expenses within thirty (30) days after receipt of the invoice and any such further documentation which may be requested by Geron.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-236220</wp:posOffset>
            </wp:positionV>
            <wp:extent cx="7132320" cy="105156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u w:val="single" w:color="auto"/>
          <w:color w:val="auto"/>
        </w:rPr>
        <w:t>________________________</w:t>
      </w:r>
    </w:p>
    <w:p>
      <w:pPr>
        <w:spacing w:after="0" w:line="6" w:lineRule="exact"/>
        <w:rPr>
          <w:sz w:val="20"/>
          <w:szCs w:val="20"/>
          <w:color w:val="auto"/>
        </w:rPr>
      </w:pPr>
    </w:p>
    <w:p>
      <w:pPr>
        <w:ind w:right="60" w:firstLine="8"/>
        <w:spacing w:after="0" w:line="229" w:lineRule="auto"/>
        <w:tabs>
          <w:tab w:leader="none" w:pos="102" w:val="left"/>
        </w:tabs>
        <w:numPr>
          <w:ilvl w:val="0"/>
          <w:numId w:val="6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avoidance of doubt, so long as Consultant signs and does not revoke the Separation Agreement and Release, he will have the period set forth in Section 4.1(ii)(d) of his prior employment agreement to exercise all of his vested stock options.</w:t>
      </w:r>
    </w:p>
    <w:p>
      <w:pPr>
        <w:spacing w:after="0" w:line="271" w:lineRule="exact"/>
        <w:rPr>
          <w:sz w:val="20"/>
          <w:szCs w:val="20"/>
          <w:color w:val="auto"/>
        </w:rPr>
      </w:pPr>
    </w:p>
    <w:p>
      <w:pPr>
        <w:ind w:right="320" w:firstLine="656"/>
        <w:spacing w:after="0" w:line="254" w:lineRule="auto"/>
        <w:tabs>
          <w:tab w:leader="none" w:pos="1296" w:val="left"/>
        </w:tabs>
        <w:numPr>
          <w:ilvl w:val="1"/>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Fair Market Value. </w:t>
      </w:r>
      <w:r>
        <w:rPr>
          <w:rFonts w:ascii="Times New Roman" w:cs="Times New Roman" w:eastAsia="Times New Roman" w:hAnsi="Times New Roman"/>
          <w:sz w:val="20"/>
          <w:szCs w:val="20"/>
          <w:color w:val="auto"/>
        </w:rPr>
        <w:t>Geron and Consultant acknowledge and agree that the compensation 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forth herein fully complies with the provisions of 42 U.S.C. 1320a-7b (the “</w:t>
      </w:r>
      <w:r>
        <w:rPr>
          <w:rFonts w:ascii="Times New Roman" w:cs="Times New Roman" w:eastAsia="Times New Roman" w:hAnsi="Times New Roman"/>
          <w:sz w:val="20"/>
          <w:szCs w:val="20"/>
          <w:b w:val="1"/>
          <w:bCs w:val="1"/>
          <w:color w:val="auto"/>
        </w:rPr>
        <w:t>Anti-Kickback Statute</w:t>
      </w:r>
      <w:r>
        <w:rPr>
          <w:rFonts w:ascii="Times New Roman" w:cs="Times New Roman" w:eastAsia="Times New Roman" w:hAnsi="Times New Roman"/>
          <w:sz w:val="20"/>
          <w:szCs w:val="20"/>
          <w:color w:val="auto"/>
        </w:rPr>
        <w:t>”) and represents the fair market value of the services provided to Geron by Consultant, negotiated in an arms-length transaction, and has not been determined in a manner that takes into account the volume or value of any referrals or business otherwise generated between Geron and Consultant. Nothing contained in this Agreement constitutes or shall be construed in any manner as an obligation or inducement for Consultant to recommend the prescribing, purchase, use, or preferential formulary status or dispensing of any of Geron’s products.</w:t>
      </w:r>
    </w:p>
    <w:p>
      <w:pPr>
        <w:spacing w:after="0" w:line="199" w:lineRule="exact"/>
        <w:rPr>
          <w:rFonts w:ascii="Times New Roman" w:cs="Times New Roman" w:eastAsia="Times New Roman" w:hAnsi="Times New Roman"/>
          <w:sz w:val="20"/>
          <w:szCs w:val="20"/>
          <w:b w:val="1"/>
          <w:bCs w:val="1"/>
          <w:color w:val="auto"/>
        </w:rPr>
      </w:pPr>
    </w:p>
    <w:p>
      <w:pPr>
        <w:ind w:right="320" w:firstLine="656"/>
        <w:spacing w:after="0" w:line="252" w:lineRule="auto"/>
        <w:tabs>
          <w:tab w:leader="none" w:pos="1296" w:val="left"/>
        </w:tabs>
        <w:numPr>
          <w:ilvl w:val="1"/>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Transparency Disclosure. </w:t>
      </w:r>
      <w:r>
        <w:rPr>
          <w:rFonts w:ascii="Times New Roman" w:cs="Times New Roman" w:eastAsia="Times New Roman" w:hAnsi="Times New Roman"/>
          <w:sz w:val="20"/>
          <w:szCs w:val="20"/>
          <w:color w:val="auto"/>
        </w:rPr>
        <w:t>Consultant acknowledges that, under the provisions of Section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1128G of the Social Security Act, 42 U.S.C. 1320a-7h, as well as other applicable laws and regulations, Geron may be required to disclose certain payments and other transfers of value provided by Geron to health care professionals and institutions, including payments and reimbursements made or provided by or on behalf of Geron in connection with the Services. Consultant acknowledges that, notwithstanding any provision to the contrary in this Agreement, information about the payments and reimbursements provided hereunder may be disclosed without notice by Geron and may be made publicly available by the recipient federal or state agency, consistent with applicable law. Consultant will provide Geron or Geron’s designee with any information necessary for Geron to comply with the foregoing.</w:t>
      </w:r>
    </w:p>
    <w:p>
      <w:pPr>
        <w:spacing w:after="0" w:line="189" w:lineRule="exact"/>
        <w:rPr>
          <w:rFonts w:ascii="Times New Roman" w:cs="Times New Roman" w:eastAsia="Times New Roman" w:hAnsi="Times New Roman"/>
          <w:sz w:val="20"/>
          <w:szCs w:val="20"/>
          <w:b w:val="1"/>
          <w:bCs w:val="1"/>
          <w:color w:val="auto"/>
        </w:rPr>
      </w:pPr>
    </w:p>
    <w:p>
      <w:pPr>
        <w:ind w:left="260" w:hanging="252"/>
        <w:spacing w:after="0"/>
        <w:tabs>
          <w:tab w:leader="none" w:pos="260" w:val="left"/>
        </w:tabs>
        <w:numPr>
          <w:ilvl w:val="0"/>
          <w:numId w:val="69"/>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Developments Arising from Services.</w:t>
      </w:r>
    </w:p>
    <w:p>
      <w:pPr>
        <w:spacing w:after="0" w:line="269" w:lineRule="exact"/>
        <w:rPr>
          <w:rFonts w:ascii="Times New Roman" w:cs="Times New Roman" w:eastAsia="Times New Roman" w:hAnsi="Times New Roman"/>
          <w:sz w:val="20"/>
          <w:szCs w:val="20"/>
          <w:b w:val="1"/>
          <w:bCs w:val="1"/>
          <w:u w:val="single" w:color="auto"/>
          <w:color w:val="auto"/>
        </w:rPr>
      </w:pPr>
    </w:p>
    <w:p>
      <w:pPr>
        <w:ind w:right="320" w:firstLine="656"/>
        <w:spacing w:after="0" w:line="254" w:lineRule="auto"/>
        <w:tabs>
          <w:tab w:leader="none" w:pos="1296" w:val="left"/>
        </w:tabs>
        <w:numPr>
          <w:ilvl w:val="1"/>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Developments</w:t>
      </w:r>
      <w:r>
        <w:rPr>
          <w:rFonts w:ascii="Times New Roman" w:cs="Times New Roman" w:eastAsia="Times New Roman" w:hAnsi="Times New Roman"/>
          <w:sz w:val="20"/>
          <w:szCs w:val="20"/>
          <w:color w:val="auto"/>
        </w:rPr>
        <w:t>” include, without limitation, ideas, concepts, discoveries, inventions, developments, know-how, patent rights, trade secrets, techniques, writings, data, and other rights (whether or not protectible under applicable patent, trademark, copyright, trade secret, or other intellectual property laws) that are conceived, developed, made, or reduced to practice by Consultant in the course of performing Services under this Agreement.</w:t>
      </w:r>
    </w:p>
    <w:p>
      <w:pPr>
        <w:spacing w:after="0" w:line="200" w:lineRule="exact"/>
        <w:rPr>
          <w:rFonts w:ascii="Times New Roman" w:cs="Times New Roman" w:eastAsia="Times New Roman" w:hAnsi="Times New Roman"/>
          <w:sz w:val="20"/>
          <w:szCs w:val="20"/>
          <w:b w:val="1"/>
          <w:bCs w:val="1"/>
          <w:color w:val="auto"/>
        </w:rPr>
      </w:pPr>
    </w:p>
    <w:p>
      <w:pPr>
        <w:ind w:right="320" w:firstLine="656"/>
        <w:spacing w:after="0" w:line="273" w:lineRule="auto"/>
        <w:tabs>
          <w:tab w:leader="none" w:pos="1296" w:val="left"/>
        </w:tabs>
        <w:numPr>
          <w:ilvl w:val="1"/>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Disclosure of Developments. </w:t>
      </w:r>
      <w:r>
        <w:rPr>
          <w:rFonts w:ascii="Times New Roman" w:cs="Times New Roman" w:eastAsia="Times New Roman" w:hAnsi="Times New Roman"/>
          <w:sz w:val="20"/>
          <w:szCs w:val="20"/>
          <w:color w:val="auto"/>
        </w:rPr>
        <w:t>Consultant will deliver all projects or tasks (“</w:t>
      </w:r>
      <w:r>
        <w:rPr>
          <w:rFonts w:ascii="Times New Roman" w:cs="Times New Roman" w:eastAsia="Times New Roman" w:hAnsi="Times New Roman"/>
          <w:sz w:val="20"/>
          <w:szCs w:val="20"/>
          <w:b w:val="1"/>
          <w:bCs w:val="1"/>
          <w:color w:val="auto"/>
        </w:rPr>
        <w:t xml:space="preserve"> Deliverables</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promptly and fully disclose all Developments, to Geron.</w:t>
      </w:r>
    </w:p>
    <w:p>
      <w:pPr>
        <w:spacing w:after="0" w:line="178" w:lineRule="exact"/>
        <w:rPr>
          <w:rFonts w:ascii="Times New Roman" w:cs="Times New Roman" w:eastAsia="Times New Roman" w:hAnsi="Times New Roman"/>
          <w:sz w:val="20"/>
          <w:szCs w:val="20"/>
          <w:b w:val="1"/>
          <w:bCs w:val="1"/>
          <w:color w:val="auto"/>
        </w:rPr>
      </w:pPr>
    </w:p>
    <w:p>
      <w:pPr>
        <w:ind w:right="320" w:firstLine="656"/>
        <w:spacing w:after="0" w:line="273" w:lineRule="auto"/>
        <w:tabs>
          <w:tab w:leader="none" w:pos="1296" w:val="left"/>
        </w:tabs>
        <w:numPr>
          <w:ilvl w:val="1"/>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Background and Third-Party Technology. </w:t>
      </w:r>
      <w:r>
        <w:rPr>
          <w:rFonts w:ascii="Times New Roman" w:cs="Times New Roman" w:eastAsia="Times New Roman" w:hAnsi="Times New Roman"/>
          <w:sz w:val="20"/>
          <w:szCs w:val="20"/>
          <w:color w:val="auto"/>
        </w:rPr>
        <w:t>Inventions, know-how patent rights trade secrets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other intellectual property rights (collectively, “</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developed, acquired,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320"/>
        <w:spacing w:after="0" w:line="269" w:lineRule="auto"/>
        <w:rPr>
          <w:sz w:val="20"/>
          <w:szCs w:val="20"/>
          <w:color w:val="auto"/>
        </w:rPr>
      </w:pPr>
      <w:r>
        <w:rPr>
          <w:rFonts w:ascii="Times New Roman" w:cs="Times New Roman" w:eastAsia="Times New Roman" w:hAnsi="Times New Roman"/>
          <w:sz w:val="19"/>
          <w:szCs w:val="19"/>
          <w:color w:val="auto"/>
        </w:rPr>
        <w:t xml:space="preserve">obtained by Consultant prior to this Agreement (collectively, “ </w:t>
      </w:r>
      <w:r>
        <w:rPr>
          <w:rFonts w:ascii="Times New Roman" w:cs="Times New Roman" w:eastAsia="Times New Roman" w:hAnsi="Times New Roman"/>
          <w:sz w:val="19"/>
          <w:szCs w:val="19"/>
          <w:b w:val="1"/>
          <w:bCs w:val="1"/>
          <w:color w:val="auto"/>
        </w:rPr>
        <w:t>Background Technology</w:t>
      </w:r>
      <w:r>
        <w:rPr>
          <w:rFonts w:ascii="Times New Roman" w:cs="Times New Roman" w:eastAsia="Times New Roman" w:hAnsi="Times New Roman"/>
          <w:sz w:val="19"/>
          <w:szCs w:val="19"/>
          <w:color w:val="auto"/>
        </w:rPr>
        <w:t xml:space="preserve"> ”) or licensed or obtained by Consultant from third parties (collectively, “ </w:t>
      </w:r>
      <w:r>
        <w:rPr>
          <w:rFonts w:ascii="Times New Roman" w:cs="Times New Roman" w:eastAsia="Times New Roman" w:hAnsi="Times New Roman"/>
          <w:sz w:val="19"/>
          <w:szCs w:val="19"/>
          <w:b w:val="1"/>
          <w:bCs w:val="1"/>
          <w:color w:val="auto"/>
        </w:rPr>
        <w:t>Third-Party Technology</w:t>
      </w:r>
      <w:r>
        <w:rPr>
          <w:rFonts w:ascii="Times New Roman" w:cs="Times New Roman" w:eastAsia="Times New Roman" w:hAnsi="Times New Roman"/>
          <w:sz w:val="19"/>
          <w:szCs w:val="19"/>
          <w:color w:val="auto"/>
        </w:rPr>
        <w:t xml:space="preserve"> ”) may not be used by Consultant in the performance of Services unless (i) specifically identified by Consultant and approved in writing by Geron, or (ii)</w:t>
      </w:r>
    </w:p>
    <w:p>
      <w:pPr>
        <w:spacing w:after="0"/>
        <w:rPr>
          <w:sz w:val="20"/>
          <w:szCs w:val="20"/>
          <w:color w:val="auto"/>
        </w:rPr>
      </w:pPr>
      <w:r>
        <w:rPr>
          <w:rFonts w:ascii="Times New Roman" w:cs="Times New Roman" w:eastAsia="Times New Roman" w:hAnsi="Times New Roman"/>
          <w:sz w:val="20"/>
          <w:szCs w:val="20"/>
          <w:color w:val="auto"/>
        </w:rPr>
        <w:t>Consultant has an unqualified right to use such Intellectual Property for the performance of Services.</w:t>
      </w:r>
    </w:p>
    <w:p>
      <w:pPr>
        <w:spacing w:after="0" w:line="210" w:lineRule="exact"/>
        <w:rPr>
          <w:sz w:val="20"/>
          <w:szCs w:val="20"/>
          <w:color w:val="auto"/>
        </w:rPr>
      </w:pPr>
    </w:p>
    <w:p>
      <w:pPr>
        <w:ind w:left="260" w:hanging="252"/>
        <w:spacing w:after="0"/>
        <w:tabs>
          <w:tab w:leader="none" w:pos="260" w:val="left"/>
        </w:tabs>
        <w:numPr>
          <w:ilvl w:val="0"/>
          <w:numId w:val="70"/>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Ownership and Assignment of Developments.</w:t>
      </w:r>
    </w:p>
    <w:p>
      <w:pPr>
        <w:spacing w:after="0" w:line="256" w:lineRule="exact"/>
        <w:rPr>
          <w:rFonts w:ascii="Times New Roman" w:cs="Times New Roman" w:eastAsia="Times New Roman" w:hAnsi="Times New Roman"/>
          <w:sz w:val="20"/>
          <w:szCs w:val="20"/>
          <w:b w:val="1"/>
          <w:bCs w:val="1"/>
          <w:u w:val="single" w:color="auto"/>
          <w:color w:val="auto"/>
        </w:rPr>
      </w:pPr>
    </w:p>
    <w:p>
      <w:pPr>
        <w:ind w:right="320" w:firstLine="656"/>
        <w:spacing w:after="0" w:line="251" w:lineRule="auto"/>
        <w:tabs>
          <w:tab w:leader="none" w:pos="1296" w:val="left"/>
        </w:tabs>
        <w:numPr>
          <w:ilvl w:val="1"/>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Generally. </w:t>
      </w:r>
      <w:r>
        <w:rPr>
          <w:rFonts w:ascii="Times New Roman" w:cs="Times New Roman" w:eastAsia="Times New Roman" w:hAnsi="Times New Roman"/>
          <w:sz w:val="20"/>
          <w:szCs w:val="20"/>
          <w:color w:val="auto"/>
        </w:rPr>
        <w:t>Consultant hereby acknowledges and agrees that Geron shall be the sole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exclusive owner of all Developments made in the course of performing Services. Consultant hereby irrevocably assigns to Geron all right, title, and interest worldwide in and to all Developments and all Intellectual Property Rights related thereto. Consultant understands and agrees that Consultant has no right to use Developments</w:t>
      </w:r>
    </w:p>
    <w:p>
      <w:pPr>
        <w:spacing w:after="0" w:line="2" w:lineRule="exact"/>
        <w:rPr>
          <w:sz w:val="20"/>
          <w:szCs w:val="20"/>
          <w:color w:val="auto"/>
        </w:rPr>
      </w:pPr>
    </w:p>
    <w:p>
      <w:pPr>
        <w:ind w:right="580"/>
        <w:spacing w:after="0" w:line="272" w:lineRule="auto"/>
        <w:rPr>
          <w:sz w:val="20"/>
          <w:szCs w:val="20"/>
          <w:color w:val="auto"/>
        </w:rPr>
      </w:pPr>
      <w:r>
        <w:rPr>
          <w:rFonts w:ascii="Times New Roman" w:cs="Times New Roman" w:eastAsia="Times New Roman" w:hAnsi="Times New Roman"/>
          <w:sz w:val="19"/>
          <w:szCs w:val="19"/>
          <w:color w:val="auto"/>
        </w:rPr>
        <w:t>except as necessary to perform the Services. Consultant hereby covenants that upon request of Geron, its successors, or its legal representatives, whether during or after the term of this Agreement, Consultant will sign and have delivered all documents needed to complete conveyance or protect Geron’s rights in Developments.</w:t>
      </w:r>
    </w:p>
    <w:p>
      <w:pPr>
        <w:spacing w:after="0" w:line="19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Assignment and Waiver of Other Rights. </w:t>
      </w:r>
      <w:r>
        <w:rPr>
          <w:rFonts w:ascii="Times New Roman" w:cs="Times New Roman" w:eastAsia="Times New Roman" w:hAnsi="Times New Roman"/>
          <w:sz w:val="20"/>
          <w:szCs w:val="20"/>
          <w:color w:val="auto"/>
        </w:rPr>
        <w:t>If any Intellectual Property Rights, including moral rights,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Developments cannot (as a matter of law) be assigned by Consultant to Geron as provided in Section 4(a), then: (i) Consultant unconditionally and irrevocably waives the enforcement of such rights and all claims and causes of action of any kind against Geron with respect to such rights; and (ii) to the extent Consultant cannot (as a matter of law) make such waiver, Consultant unconditionally grants to Geron an exclusive, perpetual, irrevocable, worldwide, fully-paid license, with the right to sublicense through multiple levels of sublicensees, under any and all such rights (a) to reproduce, create derivative works of, distribute, publicly perform, publicly display, digitally transmit, and otherwise</w:t>
      </w:r>
    </w:p>
    <w:p>
      <w:pPr>
        <w:sectPr>
          <w:pgSz w:w="11900" w:h="16840" w:orient="portrait"/>
          <w:cols w:equalWidth="0" w:num="1">
            <w:col w:w="9400"/>
          </w:cols>
          <w:pgMar w:left="1400" w:top="75" w:right="1099" w:bottom="0" w:gutter="0" w:footer="0" w:header="0"/>
        </w:sectPr>
      </w:pPr>
    </w:p>
    <w:bookmarkStart w:id="93" w:name="page94"/>
    <w:bookmarkEnd w:id="93"/>
    <w:p>
      <w:pPr>
        <w:spacing w:after="0" w:line="233" w:lineRule="auto"/>
        <w:rPr>
          <w:sz w:val="20"/>
          <w:szCs w:val="20"/>
          <w:color w:val="auto"/>
        </w:rPr>
      </w:pPr>
      <w:r>
        <w:rPr>
          <w:rFonts w:ascii="Times New Roman" w:cs="Times New Roman" w:eastAsia="Times New Roman" w:hAnsi="Times New Roman"/>
          <w:sz w:val="20"/>
          <w:szCs w:val="20"/>
          <w:color w:val="auto"/>
        </w:rPr>
        <w:t>use the Developments in any medium or format, whether now known or hereafter discovered, (b) to use, make, have made, sell, offer to sell, import, and otherwise exploit any product or service based on, embodying, incorporating,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-242570</wp:posOffset>
            </wp:positionV>
            <wp:extent cx="7132320" cy="105156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derived from the Developments, and (c) to exercise any and all other present or future rights in the Developments.</w:t>
      </w:r>
    </w:p>
    <w:p>
      <w:pPr>
        <w:spacing w:after="0" w:line="223" w:lineRule="exact"/>
        <w:rPr>
          <w:sz w:val="20"/>
          <w:szCs w:val="20"/>
          <w:color w:val="auto"/>
        </w:rPr>
      </w:pPr>
    </w:p>
    <w:p>
      <w:pPr>
        <w:ind w:right="320" w:firstLine="656"/>
        <w:spacing w:after="0" w:line="263" w:lineRule="auto"/>
        <w:tabs>
          <w:tab w:leader="none" w:pos="1296" w:val="left"/>
        </w:tabs>
        <w:numPr>
          <w:ilvl w:val="1"/>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Title to Developments</w:t>
      </w:r>
      <w:r>
        <w:rPr>
          <w:rFonts w:ascii="Times New Roman" w:cs="Times New Roman" w:eastAsia="Times New Roman" w:hAnsi="Times New Roman"/>
          <w:sz w:val="20"/>
          <w:szCs w:val="20"/>
          <w:color w:val="auto"/>
        </w:rPr>
        <w:t>. Consultant represents, warrants, and covenants that neither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Developments nor any element thereof will be subject to any restriction, mortgage, lien, claim, pledge, security interest, or encumbrance when delivered by Consultant to Geron.</w:t>
      </w:r>
    </w:p>
    <w:p>
      <w:pPr>
        <w:spacing w:after="0" w:line="188" w:lineRule="exact"/>
        <w:rPr>
          <w:rFonts w:ascii="Times New Roman" w:cs="Times New Roman" w:eastAsia="Times New Roman" w:hAnsi="Times New Roman"/>
          <w:sz w:val="20"/>
          <w:szCs w:val="20"/>
          <w:b w:val="1"/>
          <w:bCs w:val="1"/>
          <w:color w:val="auto"/>
        </w:rPr>
      </w:pPr>
    </w:p>
    <w:p>
      <w:pPr>
        <w:ind w:right="320" w:firstLine="656"/>
        <w:spacing w:after="0" w:line="273" w:lineRule="auto"/>
        <w:tabs>
          <w:tab w:leader="none" w:pos="1296" w:val="left"/>
        </w:tabs>
        <w:numPr>
          <w:ilvl w:val="1"/>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Use of Third-Party Facilities or Resources. </w:t>
      </w:r>
      <w:r>
        <w:rPr>
          <w:rFonts w:ascii="Times New Roman" w:cs="Times New Roman" w:eastAsia="Times New Roman" w:hAnsi="Times New Roman"/>
          <w:sz w:val="20"/>
          <w:szCs w:val="20"/>
          <w:color w:val="auto"/>
        </w:rPr>
        <w:t>Consultant shall not make use of any facilities,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funds, personnel, or other resources of any third party in the performance of Services hereunder.</w:t>
      </w:r>
    </w:p>
    <w:p>
      <w:pPr>
        <w:spacing w:after="0" w:line="192" w:lineRule="exact"/>
        <w:rPr>
          <w:rFonts w:ascii="Times New Roman" w:cs="Times New Roman" w:eastAsia="Times New Roman" w:hAnsi="Times New Roman"/>
          <w:sz w:val="20"/>
          <w:szCs w:val="20"/>
          <w:b w:val="1"/>
          <w:bCs w:val="1"/>
          <w:color w:val="auto"/>
        </w:rPr>
      </w:pPr>
    </w:p>
    <w:p>
      <w:pPr>
        <w:ind w:right="320" w:firstLine="656"/>
        <w:spacing w:after="0" w:line="270" w:lineRule="auto"/>
        <w:tabs>
          <w:tab w:leader="none" w:pos="1296" w:val="left"/>
        </w:tabs>
        <w:numPr>
          <w:ilvl w:val="1"/>
          <w:numId w:val="7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Cooperation and Assistance. </w:t>
      </w:r>
      <w:r>
        <w:rPr>
          <w:rFonts w:ascii="Times New Roman" w:cs="Times New Roman" w:eastAsia="Times New Roman" w:hAnsi="Times New Roman"/>
          <w:sz w:val="19"/>
          <w:szCs w:val="19"/>
          <w:color w:val="auto"/>
        </w:rPr>
        <w:t>Consultant will, at Geron’s request: (i) cooperate with and assist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Geron, both during and after the term of this Agreement, in perfecting, maintaining, protecting, and enforcing Geron’s rights in the Developments; and (ii) execute and deliver to Geron any documents deemed necessary or appropriate by Geron in its discretion to perfect, maintain, protect, or enforce Geron’s rights in the Developments or otherwise carry out the purpose of this Agreement. Geron will reimburse Consultant for any reasonable out-of-pocket expenses actually incurred by Consultant in fulfilling Consultant’s obligations under this section.</w:t>
      </w:r>
    </w:p>
    <w:p>
      <w:pPr>
        <w:spacing w:after="0" w:line="185" w:lineRule="exact"/>
        <w:rPr>
          <w:rFonts w:ascii="Times New Roman" w:cs="Times New Roman" w:eastAsia="Times New Roman" w:hAnsi="Times New Roman"/>
          <w:sz w:val="19"/>
          <w:szCs w:val="19"/>
          <w:b w:val="1"/>
          <w:bCs w:val="1"/>
          <w:color w:val="auto"/>
        </w:rPr>
      </w:pPr>
    </w:p>
    <w:p>
      <w:pPr>
        <w:ind w:left="260" w:hanging="252"/>
        <w:spacing w:after="0"/>
        <w:tabs>
          <w:tab w:leader="none" w:pos="260" w:val="left"/>
        </w:tabs>
        <w:numPr>
          <w:ilvl w:val="0"/>
          <w:numId w:val="72"/>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Confidentiality</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b w:val="1"/>
          <w:bCs w:val="1"/>
          <w:u w:val="single" w:color="auto"/>
          <w:color w:val="auto"/>
        </w:rPr>
      </w:pPr>
    </w:p>
    <w:p>
      <w:pPr>
        <w:ind w:right="320" w:firstLine="656"/>
        <w:spacing w:after="0" w:line="270" w:lineRule="auto"/>
        <w:tabs>
          <w:tab w:leader="none" w:pos="1296" w:val="left"/>
        </w:tabs>
        <w:numPr>
          <w:ilvl w:val="1"/>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Proprietary Information. </w:t>
      </w:r>
      <w:r>
        <w:rPr>
          <w:rFonts w:ascii="Times New Roman" w:cs="Times New Roman" w:eastAsia="Times New Roman" w:hAnsi="Times New Roman"/>
          <w:sz w:val="20"/>
          <w:szCs w:val="20"/>
          <w:color w:val="auto"/>
        </w:rPr>
        <w:t>Consultant will treat as confidential all non-public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disclosed to Consultant by Geron or its representatives or generated in the course of providing Services under this Agreement (“</w:t>
      </w:r>
      <w:r>
        <w:rPr>
          <w:rFonts w:ascii="Times New Roman" w:cs="Times New Roman" w:eastAsia="Times New Roman" w:hAnsi="Times New Roman"/>
          <w:sz w:val="20"/>
          <w:szCs w:val="20"/>
          <w:b w:val="1"/>
          <w:bCs w:val="1"/>
          <w:color w:val="auto"/>
        </w:rPr>
        <w:t>Proprietary Information</w:t>
      </w:r>
      <w:r>
        <w:rPr>
          <w:rFonts w:ascii="Times New Roman" w:cs="Times New Roman" w:eastAsia="Times New Roman" w:hAnsi="Times New Roman"/>
          <w:sz w:val="20"/>
          <w:szCs w:val="20"/>
          <w:color w:val="auto"/>
        </w:rPr>
        <w:t>”).</w:t>
      </w:r>
    </w:p>
    <w:p>
      <w:pPr>
        <w:spacing w:after="0" w:line="182" w:lineRule="exact"/>
        <w:rPr>
          <w:rFonts w:ascii="Times New Roman" w:cs="Times New Roman" w:eastAsia="Times New Roman" w:hAnsi="Times New Roman"/>
          <w:sz w:val="20"/>
          <w:szCs w:val="20"/>
          <w:b w:val="1"/>
          <w:bCs w:val="1"/>
          <w:color w:val="auto"/>
        </w:rPr>
      </w:pPr>
    </w:p>
    <w:p>
      <w:pPr>
        <w:ind w:right="320" w:firstLine="656"/>
        <w:spacing w:after="0" w:line="260" w:lineRule="auto"/>
        <w:tabs>
          <w:tab w:leader="none" w:pos="1296" w:val="left"/>
        </w:tabs>
        <w:numPr>
          <w:ilvl w:val="1"/>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Nondisclosure. </w:t>
      </w:r>
      <w:r>
        <w:rPr>
          <w:rFonts w:ascii="Times New Roman" w:cs="Times New Roman" w:eastAsia="Times New Roman" w:hAnsi="Times New Roman"/>
          <w:sz w:val="20"/>
          <w:szCs w:val="20"/>
          <w:color w:val="auto"/>
        </w:rPr>
        <w:t>Consultant will not use or disclose to any party other than Geron or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representatives any Proprietary Information without the prior written consent of Geron, except as may be necessary in the course of performing Services. However, Consultant will not have any obligation of confidence and non-use with respect to Proprietary Information which Consultant can document to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740" w:right="360" w:hanging="436"/>
        <w:spacing w:after="0" w:line="269" w:lineRule="auto"/>
        <w:tabs>
          <w:tab w:leader="none" w:pos="17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rightfully in the public domain as of the Effective Date or which comes into the public domain through no wrongful act or omission of Consultant; or</w:t>
      </w:r>
    </w:p>
    <w:p>
      <w:pPr>
        <w:spacing w:after="0" w:line="186" w:lineRule="exact"/>
        <w:rPr>
          <w:rFonts w:ascii="Times New Roman" w:cs="Times New Roman" w:eastAsia="Times New Roman" w:hAnsi="Times New Roman"/>
          <w:sz w:val="20"/>
          <w:szCs w:val="20"/>
          <w:color w:val="auto"/>
        </w:rPr>
      </w:pPr>
    </w:p>
    <w:p>
      <w:pPr>
        <w:ind w:left="1700" w:right="560" w:hanging="397"/>
        <w:spacing w:after="0" w:line="269" w:lineRule="auto"/>
        <w:tabs>
          <w:tab w:leader="none" w:pos="17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developed independently by Consultant without any use of any Proprietary Information or Geron facilities, and without the participation of any Geron personnel; or</w:t>
      </w:r>
    </w:p>
    <w:p>
      <w:pPr>
        <w:spacing w:after="0" w:line="199" w:lineRule="exact"/>
        <w:rPr>
          <w:rFonts w:ascii="Times New Roman" w:cs="Times New Roman" w:eastAsia="Times New Roman" w:hAnsi="Times New Roman"/>
          <w:sz w:val="20"/>
          <w:szCs w:val="20"/>
          <w:color w:val="auto"/>
        </w:rPr>
      </w:pPr>
    </w:p>
    <w:p>
      <w:pPr>
        <w:ind w:left="1800" w:right="380" w:hanging="496"/>
        <w:spacing w:after="0" w:line="269" w:lineRule="auto"/>
        <w:tabs>
          <w:tab w:leader="none" w:pos="18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rightfully disclosed to Consultant without restriction by a third party under no obligation of confidentiality to Geron.</w:t>
      </w:r>
    </w:p>
    <w:p>
      <w:pPr>
        <w:spacing w:after="0" w:line="196"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9"/>
          <w:szCs w:val="19"/>
          <w:b w:val="1"/>
          <w:bCs w:val="1"/>
          <w:color w:val="auto"/>
        </w:rPr>
        <w:t xml:space="preserve">Legally Required Disclosure. </w:t>
      </w:r>
      <w:r>
        <w:rPr>
          <w:rFonts w:ascii="Times New Roman" w:cs="Times New Roman" w:eastAsia="Times New Roman" w:hAnsi="Times New Roman"/>
          <w:sz w:val="19"/>
          <w:szCs w:val="19"/>
          <w:color w:val="auto"/>
        </w:rPr>
        <w:t>Confidentiality obligations under this Agreement shall not apply to Proprietary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Information that is required by law to be disclosed; provided, however, that Consultant provides prompt written notice of such required disclosure to Geron, makes a reasonable effort to obtain a protective or other order maintaining the confidentiality of the Proprietary Information, and takes reasonable steps to enable Geron to seek a protective order or otherwise prevent disclosure of such information. Notwithstanding the confidentiality obligations set forth herein, pursuant to 18 USC Section 1833(b), Consultant shall not be held criminally or civilly liable under any federal or state trade secret law for the disclosure of a trade secret that is made: (1) in confidence to a federal, state, or local government official, either directly or indirectly, or to an attorney, and solely for the purpose of reporting or</w:t>
      </w:r>
    </w:p>
    <w:p>
      <w:pPr>
        <w:spacing w:after="0" w:line="1"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20"/>
          <w:szCs w:val="20"/>
          <w:color w:val="auto"/>
        </w:rPr>
        <w:t>investigating a suspected violation of law; or (2) in a complaint or other document filed in a lawsuit or other proceeding, if such filing is made under seal.</w:t>
      </w:r>
    </w:p>
    <w:p>
      <w:pPr>
        <w:spacing w:after="0" w:line="151" w:lineRule="exact"/>
        <w:rPr>
          <w:sz w:val="20"/>
          <w:szCs w:val="20"/>
          <w:color w:val="auto"/>
        </w:rPr>
      </w:pPr>
    </w:p>
    <w:p>
      <w:pPr>
        <w:jc w:val="both"/>
        <w:ind w:right="360" w:firstLine="656"/>
        <w:spacing w:after="0" w:line="269" w:lineRule="auto"/>
        <w:tabs>
          <w:tab w:leader="none" w:pos="1296" w:val="left"/>
        </w:tabs>
        <w:numPr>
          <w:ilvl w:val="0"/>
          <w:numId w:val="7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Third-Party Information. </w:t>
      </w:r>
      <w:r>
        <w:rPr>
          <w:rFonts w:ascii="Times New Roman" w:cs="Times New Roman" w:eastAsia="Times New Roman" w:hAnsi="Times New Roman"/>
          <w:sz w:val="19"/>
          <w:szCs w:val="19"/>
          <w:color w:val="auto"/>
        </w:rPr>
        <w:t>Consultant understands that Geron has received and in the future will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receive from third parties confidential or proprietary information (“ </w:t>
      </w:r>
      <w:r>
        <w:rPr>
          <w:rFonts w:ascii="Times New Roman" w:cs="Times New Roman" w:eastAsia="Times New Roman" w:hAnsi="Times New Roman"/>
          <w:sz w:val="19"/>
          <w:szCs w:val="19"/>
          <w:b w:val="1"/>
          <w:bCs w:val="1"/>
          <w:color w:val="auto"/>
        </w:rPr>
        <w:t>Third-Party Information</w:t>
      </w:r>
      <w:r>
        <w:rPr>
          <w:rFonts w:ascii="Times New Roman" w:cs="Times New Roman" w:eastAsia="Times New Roman" w:hAnsi="Times New Roman"/>
          <w:sz w:val="19"/>
          <w:szCs w:val="19"/>
          <w:color w:val="auto"/>
        </w:rPr>
        <w:t>”) subject to a duty on Geron’s part to maintain the confidentiality of such information and to use it only for certain limited purposes.</w:t>
      </w:r>
    </w:p>
    <w:p>
      <w:pPr>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In the case of any Third-Party Information, Consultant agrees to abide by any additional requirements as necessary</w:t>
      </w:r>
    </w:p>
    <w:p>
      <w:pPr>
        <w:spacing w:after="0" w:line="13" w:lineRule="exact"/>
        <w:rPr>
          <w:sz w:val="20"/>
          <w:szCs w:val="20"/>
          <w:color w:val="auto"/>
        </w:rPr>
      </w:pPr>
    </w:p>
    <w:p>
      <w:pPr>
        <w:ind w:right="320"/>
        <w:spacing w:after="0" w:line="249" w:lineRule="auto"/>
        <w:rPr>
          <w:sz w:val="20"/>
          <w:szCs w:val="20"/>
          <w:color w:val="auto"/>
        </w:rPr>
      </w:pPr>
      <w:r>
        <w:rPr>
          <w:rFonts w:ascii="Times New Roman" w:cs="Times New Roman" w:eastAsia="Times New Roman" w:hAnsi="Times New Roman"/>
          <w:sz w:val="20"/>
          <w:szCs w:val="20"/>
          <w:color w:val="auto"/>
        </w:rPr>
        <w:t>for Geron to comply with such third-party agreement. During and after Consultant’s relationship with Geron, Consultant will keep in confidence and trust all Third-Party Information; Consultant will not use Third-Party Information, except as may be necessary and authorized in the course of performing Services; and Consultant will not disclose, lecture upon, or publish to any third party any Third-Party Information without the written consent of a duly authorized officer of Geron.</w:t>
      </w:r>
    </w:p>
    <w:p>
      <w:pPr>
        <w:sectPr>
          <w:pgSz w:w="11900" w:h="16838" w:orient="portrait"/>
          <w:cols w:equalWidth="0" w:num="1">
            <w:col w:w="9400"/>
          </w:cols>
          <w:pgMar w:left="1400" w:top="75" w:right="1099" w:bottom="0" w:gutter="0" w:footer="0" w:header="0"/>
        </w:sectPr>
      </w:pPr>
    </w:p>
    <w:bookmarkStart w:id="94" w:name="page95"/>
    <w:bookmarkEnd w:id="94"/>
    <w:p>
      <w:pPr>
        <w:jc w:val="both"/>
        <w:ind w:firstLine="656"/>
        <w:spacing w:after="0" w:line="214" w:lineRule="auto"/>
        <w:tabs>
          <w:tab w:leader="none" w:pos="1296" w:val="left"/>
        </w:tabs>
        <w:numPr>
          <w:ilvl w:val="0"/>
          <w:numId w:val="7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No Improper Use of Information of Prior Employers and Others. </w:t>
      </w:r>
      <w:r>
        <w:rPr>
          <w:rFonts w:ascii="Times New Roman" w:cs="Times New Roman" w:eastAsia="Times New Roman" w:hAnsi="Times New Roman"/>
          <w:sz w:val="19"/>
          <w:szCs w:val="19"/>
          <w:color w:val="auto"/>
        </w:rPr>
        <w:t>Consultant represents that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Consultant’s execution of this Agreement, engagement as a consultant by Geron, and performance of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-203835</wp:posOffset>
            </wp:positionV>
            <wp:extent cx="7132320" cy="105156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jc w:val="both"/>
        <w:ind w:right="100"/>
        <w:spacing w:after="0" w:line="261" w:lineRule="auto"/>
        <w:rPr>
          <w:sz w:val="20"/>
          <w:szCs w:val="20"/>
          <w:color w:val="auto"/>
        </w:rPr>
      </w:pPr>
      <w:r>
        <w:rPr>
          <w:rFonts w:ascii="Times New Roman" w:cs="Times New Roman" w:eastAsia="Times New Roman" w:hAnsi="Times New Roman"/>
          <w:sz w:val="19"/>
          <w:szCs w:val="19"/>
          <w:color w:val="auto"/>
        </w:rPr>
        <w:t>proposed tasks for Geron in the development of its business does not and will not breach any agreement with any former employer or other entity, including any noncompete agreement or any agreement to keep in confidence or refrain from using information acquired by Consultant prior to Consultant’s consulting relationship with Geron.</w:t>
      </w:r>
    </w:p>
    <w:p>
      <w:pPr>
        <w:spacing w:after="0" w:line="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Consultant further represents that Consultant has not entered into, and will not enter into, any agreement which conflicts with or would, if performed by him, cause Consultant to breach this Agreement. During Consultant’s relationship with Geron, Consultant will not improperly make use of, or disclose, any information or trade secrets of any former employer or other third party, nor will Consultant bring onto the premises of Geron or use any unpublished documents or any property belonging to any former employer or other third party, in violation of any lawful agreements with that former employer or third party. Consultant will use in the performance of Consultant’s tasks only information that is generally known and used by persons with training and experience comparable to Consultant’s own, is common knowledge in the industry or otherwise legally in the public domain or is otherwise provided or developed by Geron.</w:t>
      </w:r>
    </w:p>
    <w:p>
      <w:pPr>
        <w:spacing w:after="0" w:line="203" w:lineRule="exact"/>
        <w:rPr>
          <w:sz w:val="20"/>
          <w:szCs w:val="20"/>
          <w:color w:val="auto"/>
        </w:rPr>
      </w:pPr>
    </w:p>
    <w:p>
      <w:pPr>
        <w:ind w:firstLine="656"/>
        <w:spacing w:after="0" w:line="291" w:lineRule="auto"/>
        <w:tabs>
          <w:tab w:leader="none" w:pos="1296" w:val="left"/>
        </w:tabs>
        <w:numPr>
          <w:ilvl w:val="0"/>
          <w:numId w:val="7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Ownership of Proprietary Information. </w:t>
      </w:r>
      <w:r>
        <w:rPr>
          <w:rFonts w:ascii="Times New Roman" w:cs="Times New Roman" w:eastAsia="Times New Roman" w:hAnsi="Times New Roman"/>
          <w:sz w:val="19"/>
          <w:szCs w:val="19"/>
          <w:color w:val="auto"/>
        </w:rPr>
        <w:t>All Proprietary Information shall be the sole property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Geron and its assigns, and Geron and its assigns shall be the sole owner of all trade secrets, patents, copyrights, and other rights in connection therewith. Consultant hereby assigns to Geron any rights Consultant may have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520"/>
        <w:spacing w:after="0" w:line="283" w:lineRule="auto"/>
        <w:rPr>
          <w:sz w:val="20"/>
          <w:szCs w:val="20"/>
          <w:color w:val="auto"/>
        </w:rPr>
      </w:pPr>
      <w:r>
        <w:rPr>
          <w:rFonts w:ascii="Times New Roman" w:cs="Times New Roman" w:eastAsia="Times New Roman" w:hAnsi="Times New Roman"/>
          <w:sz w:val="20"/>
          <w:szCs w:val="20"/>
          <w:color w:val="auto"/>
        </w:rPr>
        <w:t>acquire in such Proprietary Information and recognizes that all Proprietary Information shall be the sole and exclusive property of Geron and its assigns.</w:t>
      </w:r>
    </w:p>
    <w:p>
      <w:pPr>
        <w:spacing w:after="0" w:line="156" w:lineRule="exact"/>
        <w:rPr>
          <w:sz w:val="20"/>
          <w:szCs w:val="20"/>
          <w:color w:val="auto"/>
        </w:rPr>
      </w:pPr>
    </w:p>
    <w:p>
      <w:pPr>
        <w:ind w:firstLine="656"/>
        <w:spacing w:after="0" w:line="264" w:lineRule="auto"/>
        <w:tabs>
          <w:tab w:leader="none" w:pos="1296" w:val="left"/>
        </w:tabs>
        <w:numPr>
          <w:ilvl w:val="0"/>
          <w:numId w:val="7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Return of Geron Property. </w:t>
      </w:r>
      <w:r>
        <w:rPr>
          <w:rFonts w:ascii="Times New Roman" w:cs="Times New Roman" w:eastAsia="Times New Roman" w:hAnsi="Times New Roman"/>
          <w:sz w:val="19"/>
          <w:szCs w:val="19"/>
          <w:color w:val="auto"/>
        </w:rPr>
        <w:t>All documents, records, apparatus, equipment and other physical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property, whether or not pertaining to Proprietary Information furnished to Consultant by Geron or produced by Consultant or others in connection with the Services shall be and remain the sole property of Geron (hereinafter, “</w:t>
      </w:r>
      <w:r>
        <w:rPr>
          <w:rFonts w:ascii="Times New Roman" w:cs="Times New Roman" w:eastAsia="Times New Roman" w:hAnsi="Times New Roman"/>
          <w:sz w:val="19"/>
          <w:szCs w:val="19"/>
          <w:b w:val="1"/>
          <w:bCs w:val="1"/>
          <w:color w:val="auto"/>
        </w:rPr>
        <w:t>Company Property</w:t>
      </w:r>
      <w:r>
        <w:rPr>
          <w:rFonts w:ascii="Times New Roman" w:cs="Times New Roman" w:eastAsia="Times New Roman" w:hAnsi="Times New Roman"/>
          <w:sz w:val="19"/>
          <w:szCs w:val="19"/>
          <w:color w:val="auto"/>
        </w:rPr>
        <w:t xml:space="preserve">”). Consultant shall return to Geron all such materials and property </w:t>
      </w:r>
      <w:r>
        <w:rPr>
          <w:rFonts w:ascii="Times New Roman" w:cs="Times New Roman" w:eastAsia="Times New Roman" w:hAnsi="Times New Roman"/>
          <w:sz w:val="19"/>
          <w:szCs w:val="19"/>
          <w:color w:val="00C000"/>
        </w:rPr>
        <w:t>,</w:t>
      </w:r>
      <w:r>
        <w:rPr>
          <w:rFonts w:ascii="Times New Roman" w:cs="Times New Roman" w:eastAsia="Times New Roman" w:hAnsi="Times New Roman"/>
          <w:sz w:val="19"/>
          <w:szCs w:val="19"/>
          <w:color w:val="auto"/>
        </w:rPr>
        <w:t xml:space="preserve"> as and when requested by Geron. Even if Geron does not so request, upon termination of Consultant’s consulting relationship with Geron for any reason, Consultant shall return all such Company Property, together with all copies thereof, and any other material containing or disclosing any Developments, Third-Party Information or Proprietary Information and certify in writing that Consultant has fully complied with the foregoing obligation. Consultant agrees that Consultant will not copy, delete, or alter any information contained upon any Company Property before Consultant returns it to Geron. In addition, if Consultant has used any personal computer, server, or e-mail system to receive, store, review, prepare or transmit any company information, including but not limited to, Proprietary Information, Consultant agrees to provide Geron with a computer-useable copy of all such Proprietary Information and then permanently delete and expunge such Proprietary Information from those systems; and Consultant agrees to provide Geron access to his system as reasonably requested to verify that the necessary copying and/or deletion is completed. Consultant further agrees that any property situated on Geron’s premises and owned by Geron is subject to inspection by Geron’s personnel at any time with or without further notice. Consultant will not take with any such material or property or any reproduction thereof upon such termination.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Data Privacy and Security.</w:t>
      </w:r>
    </w:p>
    <w:p>
      <w:pPr>
        <w:spacing w:after="0" w:line="94" w:lineRule="exact"/>
        <w:rPr>
          <w:sz w:val="20"/>
          <w:szCs w:val="20"/>
          <w:color w:val="auto"/>
        </w:rPr>
      </w:pPr>
    </w:p>
    <w:p>
      <w:pPr>
        <w:ind w:firstLine="656"/>
        <w:spacing w:after="0" w:line="262" w:lineRule="auto"/>
        <w:tabs>
          <w:tab w:leader="none" w:pos="1296" w:val="left"/>
        </w:tabs>
        <w:numPr>
          <w:ilvl w:val="0"/>
          <w:numId w:val="7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Personal Data. </w:t>
      </w:r>
      <w:r>
        <w:rPr>
          <w:rFonts w:ascii="Times New Roman" w:cs="Times New Roman" w:eastAsia="Times New Roman" w:hAnsi="Times New Roman"/>
          <w:sz w:val="19"/>
          <w:szCs w:val="19"/>
          <w:color w:val="auto"/>
        </w:rPr>
        <w:t>In connection with this Agreement, Consultant will be required to provide Geron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with certain personal information, including but not limited to Consultant’s name, contact information, financial account information and professional qualifications (“ </w:t>
      </w:r>
      <w:r>
        <w:rPr>
          <w:rFonts w:ascii="Times New Roman" w:cs="Times New Roman" w:eastAsia="Times New Roman" w:hAnsi="Times New Roman"/>
          <w:sz w:val="19"/>
          <w:szCs w:val="19"/>
          <w:b w:val="1"/>
          <w:bCs w:val="1"/>
          <w:color w:val="auto"/>
        </w:rPr>
        <w:t>Consultant Information</w:t>
      </w:r>
      <w:r>
        <w:rPr>
          <w:rFonts w:ascii="Times New Roman" w:cs="Times New Roman" w:eastAsia="Times New Roman" w:hAnsi="Times New Roman"/>
          <w:sz w:val="19"/>
          <w:szCs w:val="19"/>
          <w:color w:val="auto"/>
        </w:rPr>
        <w:t xml:space="preserve"> ”). Consultant agrees that Geron may collect, use and share Consultant Information for purposes of managing the relationship with Consultant; managing Geron's business operations; complying with Geron policies and legal obligations; protecting Geron's rights and, in general, enabling the operations of Geron. Consultant understands and agrees that Consultant Information may be Processed in countries where data protection rules may be different from those of the country where Consultant Information originates. Consultant Information will be kept for the period necessary to fulfill the above-listed purposes, unless a longer retention period is required or permitted by law. If, for the performance of Services under this Agreement, Consultant Processes the Personal Information (as defined below) of Geron's employees or of non-employees, Consultant agrees to hold all such Personal Information in confidence and not disclose it to any person or entity other than as contemplated by this Agreement or as required by law. Consultant agrees to promptly notify Geron at privacy@geron.com of any loss of, inadvertent disclosure of, unauthorized access to or acquisition of or misuse of such Personal Information or any media containing such Personal Information. For purposes of this Agreement: (i) “ </w:t>
      </w:r>
      <w:r>
        <w:rPr>
          <w:rFonts w:ascii="Times New Roman" w:cs="Times New Roman" w:eastAsia="Times New Roman" w:hAnsi="Times New Roman"/>
          <w:sz w:val="19"/>
          <w:szCs w:val="19"/>
          <w:b w:val="1"/>
          <w:bCs w:val="1"/>
          <w:color w:val="auto"/>
        </w:rPr>
        <w:t>Personal Information</w:t>
      </w:r>
      <w:r>
        <w:rPr>
          <w:rFonts w:ascii="Times New Roman" w:cs="Times New Roman" w:eastAsia="Times New Roman" w:hAnsi="Times New Roman"/>
          <w:sz w:val="19"/>
          <w:szCs w:val="19"/>
          <w:color w:val="auto"/>
        </w:rPr>
        <w:t>” means any information that alone or in</w:t>
      </w:r>
    </w:p>
    <w:p>
      <w:pPr>
        <w:spacing w:after="0" w:line="1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combination with other information, can be used to identify, describe, locate or contact an individual, and (ii) “</w:t>
      </w:r>
      <w:r>
        <w:rPr>
          <w:rFonts w:ascii="Times New Roman" w:cs="Times New Roman" w:eastAsia="Times New Roman" w:hAnsi="Times New Roman"/>
          <w:sz w:val="20"/>
          <w:szCs w:val="20"/>
          <w:b w:val="1"/>
          <w:bCs w:val="1"/>
          <w:color w:val="auto"/>
        </w:rPr>
        <w:t>Process</w:t>
      </w:r>
      <w:r>
        <w:rPr>
          <w:rFonts w:ascii="Times New Roman" w:cs="Times New Roman" w:eastAsia="Times New Roman" w:hAnsi="Times New Roman"/>
          <w:sz w:val="20"/>
          <w:szCs w:val="20"/>
          <w:color w:val="auto"/>
        </w:rPr>
        <w:t xml:space="preserve"> ” means any access, receipt, viewing, use, transfer, retrieval, transaction with, analysis of or other handling of Personal Information by any means, or the ability to do any of the foregoing.</w:t>
      </w:r>
    </w:p>
    <w:p>
      <w:pPr>
        <w:sectPr>
          <w:pgSz w:w="11900" w:h="16838" w:orient="portrait"/>
          <w:cols w:equalWidth="0" w:num="1">
            <w:col w:w="9080"/>
          </w:cols>
          <w:pgMar w:left="1400" w:top="71" w:right="1419" w:bottom="0" w:gutter="0" w:footer="0" w:header="0"/>
        </w:sectPr>
      </w:pPr>
    </w:p>
    <w:bookmarkStart w:id="95" w:name="page96"/>
    <w:bookmarkEnd w:id="95"/>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right="380" w:firstLine="656"/>
        <w:spacing w:after="0" w:line="273" w:lineRule="auto"/>
        <w:tabs>
          <w:tab w:leader="none" w:pos="1296"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Security Measures. </w:t>
      </w:r>
      <w:r>
        <w:rPr>
          <w:rFonts w:ascii="Times New Roman" w:cs="Times New Roman" w:eastAsia="Times New Roman" w:hAnsi="Times New Roman"/>
          <w:sz w:val="20"/>
          <w:szCs w:val="20"/>
          <w:color w:val="auto"/>
        </w:rPr>
        <w:t>To protect the confidentiality and security of Geron Proprietary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to Consultant under this Agreement, Consultant agrees to:</w:t>
      </w:r>
    </w:p>
    <w:p>
      <w:pPr>
        <w:spacing w:after="0" w:line="182" w:lineRule="exact"/>
        <w:rPr>
          <w:rFonts w:ascii="Times New Roman" w:cs="Times New Roman" w:eastAsia="Times New Roman" w:hAnsi="Times New Roman"/>
          <w:sz w:val="20"/>
          <w:szCs w:val="20"/>
          <w:b w:val="1"/>
          <w:bCs w:val="1"/>
          <w:color w:val="auto"/>
        </w:rPr>
      </w:pPr>
    </w:p>
    <w:p>
      <w:pPr>
        <w:ind w:left="1300" w:right="380" w:hanging="262"/>
        <w:spacing w:after="0" w:line="261" w:lineRule="auto"/>
        <w:tabs>
          <w:tab w:leader="none" w:pos="130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Access, store and process Geron Proprietary Information on a device that is private to Consultant (i.e., not a shared or public device);</w:t>
      </w:r>
    </w:p>
    <w:p>
      <w:pPr>
        <w:spacing w:after="0" w:line="1" w:lineRule="exact"/>
        <w:rPr>
          <w:rFonts w:ascii="Times New Roman" w:cs="Times New Roman" w:eastAsia="Times New Roman" w:hAnsi="Times New Roman"/>
          <w:sz w:val="20"/>
          <w:szCs w:val="20"/>
          <w:color w:val="auto"/>
        </w:rPr>
      </w:pPr>
    </w:p>
    <w:p>
      <w:pPr>
        <w:ind w:left="1300" w:right="400" w:hanging="318"/>
        <w:spacing w:after="0" w:line="246" w:lineRule="auto"/>
        <w:tabs>
          <w:tab w:leader="none" w:pos="130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 strong password protection practices and do not share passwords that would enable a user to access Geron Proprietary Information or Geron-related email;</w:t>
      </w:r>
    </w:p>
    <w:p>
      <w:pPr>
        <w:spacing w:after="0" w:line="1" w:lineRule="exact"/>
        <w:rPr>
          <w:rFonts w:ascii="Times New Roman" w:cs="Times New Roman" w:eastAsia="Times New Roman" w:hAnsi="Times New Roman"/>
          <w:sz w:val="20"/>
          <w:szCs w:val="20"/>
          <w:color w:val="auto"/>
        </w:rPr>
      </w:pPr>
    </w:p>
    <w:p>
      <w:pPr>
        <w:ind w:left="1300" w:hanging="372"/>
        <w:spacing w:after="0"/>
        <w:tabs>
          <w:tab w:leader="none" w:pos="130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 an industry-standard firewall and antivirus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300" w:right="360" w:hanging="362"/>
        <w:spacing w:after="0" w:line="258" w:lineRule="auto"/>
        <w:tabs>
          <w:tab w:leader="none" w:pos="1300"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not store Geron Proprietary Information on filesharing platforms, such Box, Dropbox, Google Docs, etc., unless specifically authorized by Geron;</w:t>
      </w:r>
    </w:p>
    <w:p>
      <w:pPr>
        <w:jc w:val="both"/>
        <w:ind w:left="1300" w:right="340" w:hanging="308"/>
        <w:spacing w:after="0" w:line="286" w:lineRule="auto"/>
        <w:tabs>
          <w:tab w:leader="none" w:pos="1300" w:val="left"/>
        </w:tabs>
        <w:numPr>
          <w:ilvl w:val="2"/>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Notify Geron immediately if a device (e.g., computer, USB drive or phone) or application system (e.g., email) storing Geron Proprietary Information is suspected to be lost, hacked, or compromised.</w:t>
      </w:r>
    </w:p>
    <w:p>
      <w:pPr>
        <w:spacing w:after="0" w:line="141" w:lineRule="exact"/>
        <w:rPr>
          <w:rFonts w:ascii="Times New Roman" w:cs="Times New Roman" w:eastAsia="Times New Roman" w:hAnsi="Times New Roman"/>
          <w:sz w:val="19"/>
          <w:szCs w:val="19"/>
          <w:color w:val="auto"/>
        </w:rPr>
      </w:pPr>
    </w:p>
    <w:p>
      <w:pPr>
        <w:ind w:left="240" w:hanging="232"/>
        <w:spacing w:after="0"/>
        <w:tabs>
          <w:tab w:leader="none" w:pos="240" w:val="left"/>
        </w:tabs>
        <w:numPr>
          <w:ilvl w:val="0"/>
          <w:numId w:val="81"/>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Consultant’s Other Activities and Obligations.</w:t>
      </w:r>
    </w:p>
    <w:p>
      <w:pPr>
        <w:spacing w:after="0" w:line="269" w:lineRule="exact"/>
        <w:rPr>
          <w:rFonts w:ascii="Times New Roman" w:cs="Times New Roman" w:eastAsia="Times New Roman" w:hAnsi="Times New Roman"/>
          <w:sz w:val="20"/>
          <w:szCs w:val="20"/>
          <w:b w:val="1"/>
          <w:bCs w:val="1"/>
          <w:u w:val="single" w:color="auto"/>
          <w:color w:val="auto"/>
        </w:rPr>
      </w:pPr>
    </w:p>
    <w:p>
      <w:pPr>
        <w:ind w:left="920" w:hanging="264"/>
        <w:spacing w:after="0"/>
        <w:tabs>
          <w:tab w:leader="none" w:pos="920" w:val="left"/>
        </w:tabs>
        <w:numPr>
          <w:ilvl w:val="1"/>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Conflicts</w:t>
      </w:r>
      <w:r>
        <w:rPr>
          <w:rFonts w:ascii="Times New Roman" w:cs="Times New Roman" w:eastAsia="Times New Roman" w:hAnsi="Times New Roman"/>
          <w:sz w:val="20"/>
          <w:szCs w:val="20"/>
          <w:color w:val="auto"/>
        </w:rPr>
        <w:t>. Consultant represents and warrants that:</w:t>
      </w:r>
    </w:p>
    <w:p>
      <w:pPr>
        <w:spacing w:after="0" w:line="246" w:lineRule="exact"/>
        <w:rPr>
          <w:rFonts w:ascii="Times New Roman" w:cs="Times New Roman" w:eastAsia="Times New Roman" w:hAnsi="Times New Roman"/>
          <w:sz w:val="20"/>
          <w:szCs w:val="20"/>
          <w:b w:val="1"/>
          <w:bCs w:val="1"/>
          <w:color w:val="auto"/>
        </w:rPr>
      </w:pPr>
    </w:p>
    <w:p>
      <w:pPr>
        <w:ind w:left="1740" w:right="320" w:hanging="436"/>
        <w:spacing w:after="0" w:line="283" w:lineRule="auto"/>
        <w:tabs>
          <w:tab w:leader="none" w:pos="1740" w:val="left"/>
        </w:tabs>
        <w:numPr>
          <w:ilvl w:val="3"/>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Consultant’s rendering of Services and performance of this Agreement does not conflict with and will not violate any obligations Consultant has to any other person or entity; and</w:t>
      </w:r>
    </w:p>
    <w:p>
      <w:pPr>
        <w:spacing w:after="0" w:line="159" w:lineRule="exact"/>
        <w:rPr>
          <w:rFonts w:ascii="Times New Roman" w:cs="Times New Roman" w:eastAsia="Times New Roman" w:hAnsi="Times New Roman"/>
          <w:sz w:val="20"/>
          <w:szCs w:val="20"/>
          <w:color w:val="auto"/>
        </w:rPr>
      </w:pPr>
    </w:p>
    <w:p>
      <w:pPr>
        <w:ind w:left="1740" w:right="540" w:hanging="436"/>
        <w:spacing w:after="0" w:line="281" w:lineRule="auto"/>
        <w:tabs>
          <w:tab w:leader="none" w:pos="1740" w:val="left"/>
        </w:tabs>
        <w:numPr>
          <w:ilvl w:val="3"/>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Consultant is employed by any third party, Consultant has disclosed the nature and existence of this Agreement to Consultant’s employer to the fullest extent required by employer’s policies and is in compliance with such policies as they affect this Agreement.</w:t>
      </w:r>
    </w:p>
    <w:p>
      <w:pPr>
        <w:spacing w:after="0" w:line="173" w:lineRule="exact"/>
        <w:rPr>
          <w:rFonts w:ascii="Times New Roman" w:cs="Times New Roman" w:eastAsia="Times New Roman" w:hAnsi="Times New Roman"/>
          <w:sz w:val="19"/>
          <w:szCs w:val="19"/>
          <w:color w:val="auto"/>
        </w:rPr>
      </w:pPr>
    </w:p>
    <w:p>
      <w:pPr>
        <w:ind w:left="980" w:right="320" w:hanging="324"/>
        <w:spacing w:after="0" w:line="270" w:lineRule="auto"/>
        <w:tabs>
          <w:tab w:leader="none" w:pos="980" w:val="left"/>
        </w:tabs>
        <w:numPr>
          <w:ilvl w:val="1"/>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Competitive Activities</w:t>
      </w:r>
      <w:r>
        <w:rPr>
          <w:rFonts w:ascii="Times New Roman" w:cs="Times New Roman" w:eastAsia="Times New Roman" w:hAnsi="Times New Roman"/>
          <w:sz w:val="20"/>
          <w:szCs w:val="20"/>
          <w:color w:val="auto"/>
        </w:rPr>
        <w:t>. During the Term of this Agreement and for one (1) year thereafter,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Consultant will not, without Geron’s prior written consent solicit or hire any employees of Geron to work for an employer that competes with Geron.</w:t>
      </w:r>
    </w:p>
    <w:p>
      <w:pPr>
        <w:spacing w:after="0" w:line="155" w:lineRule="exact"/>
        <w:rPr>
          <w:rFonts w:ascii="Times New Roman" w:cs="Times New Roman" w:eastAsia="Times New Roman" w:hAnsi="Times New Roman"/>
          <w:sz w:val="20"/>
          <w:szCs w:val="20"/>
          <w:b w:val="1"/>
          <w:bCs w:val="1"/>
          <w:color w:val="auto"/>
        </w:rPr>
      </w:pPr>
    </w:p>
    <w:p>
      <w:pPr>
        <w:ind w:left="200" w:hanging="192"/>
        <w:spacing w:after="0"/>
        <w:tabs>
          <w:tab w:leader="none" w:pos="200" w:val="left"/>
        </w:tabs>
        <w:numPr>
          <w:ilvl w:val="0"/>
          <w:numId w:val="81"/>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Legal Compliance.</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b w:val="1"/>
          <w:bCs w:val="1"/>
          <w:color w:val="auto"/>
        </w:rPr>
        <w:t>Debarment and Exclusion</w:t>
      </w:r>
      <w:r>
        <w:rPr>
          <w:rFonts w:ascii="Times New Roman" w:cs="Times New Roman" w:eastAsia="Times New Roman" w:hAnsi="Times New Roman"/>
          <w:sz w:val="20"/>
          <w:szCs w:val="20"/>
          <w:color w:val="auto"/>
        </w:rPr>
        <w:t>. Consultant represents and warrants that Consultant has not been debarred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the Federal Food, Drug, and Cosmetic Act (21 U.S.C. 335a) or excluded from any government health care or procurement program including, but not limited to, Medicare or Medicaid, and is not, to the best of Consultant’s knowledge, the subject of any pending proceeding that may result in Consultant’s debarment or exclusion. Should Consultant be notified of any such proceeding, Consultant will notify Geron immediately.</w:t>
      </w:r>
    </w:p>
    <w:p>
      <w:pPr>
        <w:spacing w:after="0" w:line="195" w:lineRule="exact"/>
        <w:rPr>
          <w:sz w:val="20"/>
          <w:szCs w:val="20"/>
          <w:color w:val="auto"/>
        </w:rPr>
      </w:pPr>
    </w:p>
    <w:p>
      <w:pPr>
        <w:ind w:right="320" w:firstLine="656"/>
        <w:spacing w:after="0" w:line="249" w:lineRule="auto"/>
        <w:tabs>
          <w:tab w:leader="none" w:pos="1296"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OFAC Compliance </w:t>
      </w:r>
      <w:r>
        <w:rPr>
          <w:rFonts w:ascii="Times New Roman" w:cs="Times New Roman" w:eastAsia="Times New Roman" w:hAnsi="Times New Roman"/>
          <w:sz w:val="20"/>
          <w:szCs w:val="20"/>
          <w:color w:val="auto"/>
        </w:rPr>
        <w:t>. Consultant represents and warrants that (a) Consultant is (i) not currently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identified on the Specially Designated Nationals and Blocked Persons List maintained by the Office of Foreign Assets Control, Department of the Treasury (“ </w:t>
      </w:r>
      <w:r>
        <w:rPr>
          <w:rFonts w:ascii="Times New Roman" w:cs="Times New Roman" w:eastAsia="Times New Roman" w:hAnsi="Times New Roman"/>
          <w:sz w:val="20"/>
          <w:szCs w:val="20"/>
          <w:b w:val="1"/>
          <w:bCs w:val="1"/>
          <w:color w:val="auto"/>
        </w:rPr>
        <w:t>OFAC</w:t>
      </w:r>
      <w:r>
        <w:rPr>
          <w:rFonts w:ascii="Times New Roman" w:cs="Times New Roman" w:eastAsia="Times New Roman" w:hAnsi="Times New Roman"/>
          <w:sz w:val="20"/>
          <w:szCs w:val="20"/>
          <w:color w:val="auto"/>
        </w:rPr>
        <w:t>”) and/or on any other similar list maintained by OFAC pursuant to any authorizing statute, executive order or regulation (collectively, the “List”), and (ii) not a person with whom a citizen of the United States is prohibited to engage in transactions by any trade embargo, economic sanction, or other prohibition of United States law, regulation, or Executive Order of the President of the United States, (b) none of the funds or other assets of Consultant constitute property of, or are beneficially owned, directly or indirectly, by any Embargoed Person (as hereinafter defined), (c) no Embargoed Person has any interest of any nature whatsoever in Consultant (whether directly or indirectly), (d) none of the funds of Consultant have been derived from any unlawful activity with the result that the investment in Consultant is prohibited by law, and (e) Consultant has implemented procedures, and will consistently apply those procedures, to ensure the foregoing representations and warranties remain true and correct at all times. “Embargoed Person” means any person, entity, or government subject to trade restrictions under U.S. law, including but not limited to, the International Emergency Economic Powers Act, 50 U.S.C. §1701 et seq., The Trading with the Enemy Act, 50 U.S.C. App. 1 et seq., and any Executive Orders or regulations promulgated thereunder.</w:t>
      </w:r>
    </w:p>
    <w:p>
      <w:pPr>
        <w:spacing w:after="0" w:line="214"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Anti-Bribery. </w:t>
      </w:r>
      <w:r>
        <w:rPr>
          <w:rFonts w:ascii="Times New Roman" w:cs="Times New Roman" w:eastAsia="Times New Roman" w:hAnsi="Times New Roman"/>
          <w:sz w:val="20"/>
          <w:szCs w:val="20"/>
          <w:color w:val="auto"/>
        </w:rPr>
        <w:t>Consultant shall comply all applicable anti-bribery laws, including but not limited</w:t>
      </w:r>
    </w:p>
    <w:p>
      <w:pPr>
        <w:spacing w:after="0" w:line="25"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U.S. Foreign Corrupt Practices Act. Consultant further warrants that it shall not make any payment, either</w:t>
      </w:r>
    </w:p>
    <w:p>
      <w:pPr>
        <w:spacing w:after="0" w:line="243"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20"/>
          <w:szCs w:val="20"/>
          <w:color w:val="auto"/>
        </w:rPr>
        <w:t xml:space="preserve">directly or indirectly, of any money or other consideration (a “ </w:t>
      </w:r>
      <w:r>
        <w:rPr>
          <w:rFonts w:ascii="Times New Roman" w:cs="Times New Roman" w:eastAsia="Times New Roman" w:hAnsi="Times New Roman"/>
          <w:sz w:val="20"/>
          <w:szCs w:val="20"/>
          <w:b w:val="1"/>
          <w:bCs w:val="1"/>
          <w:color w:val="auto"/>
        </w:rPr>
        <w:t>Payment</w:t>
      </w:r>
      <w:r>
        <w:rPr>
          <w:rFonts w:ascii="Times New Roman" w:cs="Times New Roman" w:eastAsia="Times New Roman" w:hAnsi="Times New Roman"/>
          <w:sz w:val="20"/>
          <w:szCs w:val="20"/>
          <w:color w:val="auto"/>
        </w:rPr>
        <w:t>”), to government or political party officials, officials of international organizations, candidates for public office, or representatives of other</w:t>
      </w:r>
    </w:p>
    <w:p>
      <w:pPr>
        <w:ind w:right="420"/>
        <w:spacing w:after="0" w:line="286" w:lineRule="auto"/>
        <w:rPr>
          <w:sz w:val="20"/>
          <w:szCs w:val="20"/>
          <w:color w:val="auto"/>
        </w:rPr>
      </w:pPr>
      <w:r>
        <w:rPr>
          <w:rFonts w:ascii="Times New Roman" w:cs="Times New Roman" w:eastAsia="Times New Roman" w:hAnsi="Times New Roman"/>
          <w:sz w:val="19"/>
          <w:szCs w:val="19"/>
          <w:color w:val="auto"/>
        </w:rPr>
        <w:t>businesses or persons acting on behalf of any of the foregoing (hereinafter collectively referred as “Officials”) where such Payment would constitute violation of any law, including without limitation the U.S. Foreign Corrupt</w:t>
      </w:r>
    </w:p>
    <w:p>
      <w:pPr>
        <w:sectPr>
          <w:pgSz w:w="11900" w:h="17019" w:orient="portrait"/>
          <w:cols w:equalWidth="0" w:num="1">
            <w:col w:w="9400"/>
          </w:cols>
          <w:pgMar w:left="1400" w:top="261" w:right="1099" w:bottom="0" w:gutter="0" w:footer="0" w:header="0"/>
        </w:sectPr>
      </w:pPr>
    </w:p>
    <w:bookmarkStart w:id="96" w:name="page97"/>
    <w:bookmarkEnd w:id="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20"/>
          <w:szCs w:val="20"/>
          <w:color w:val="auto"/>
        </w:rPr>
        <w:t>Practices Act. In no event shall Consultant make any Payment either directly or indirectly to Officials if such Payment is for the purpose of influencing decisions or actions with respect to the subject matter of this Agreement or any other aspect of Geron’s business. Consultant shall report any violation of this warranty promptly to Geron and agrees to respond to any inquiries about any potential violations and make appropriate records available to Geron. At any time upon the request of Geron, Consultant agrees to promptly certify in writing its ongoing compliance with the warranties contained in this clause.</w:t>
      </w:r>
    </w:p>
    <w:p>
      <w:pPr>
        <w:spacing w:after="0" w:line="188" w:lineRule="exact"/>
        <w:rPr>
          <w:sz w:val="20"/>
          <w:szCs w:val="20"/>
          <w:color w:val="auto"/>
        </w:rPr>
      </w:pPr>
    </w:p>
    <w:p>
      <w:pPr>
        <w:ind w:left="260" w:hanging="252"/>
        <w:spacing w:after="0"/>
        <w:tabs>
          <w:tab w:leader="none" w:pos="260" w:val="left"/>
        </w:tabs>
        <w:numPr>
          <w:ilvl w:val="0"/>
          <w:numId w:val="83"/>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Miscellaneous.</w:t>
      </w:r>
    </w:p>
    <w:p>
      <w:pPr>
        <w:spacing w:after="0" w:line="269" w:lineRule="exact"/>
        <w:rPr>
          <w:rFonts w:ascii="Times New Roman" w:cs="Times New Roman" w:eastAsia="Times New Roman" w:hAnsi="Times New Roman"/>
          <w:sz w:val="20"/>
          <w:szCs w:val="20"/>
          <w:b w:val="1"/>
          <w:bCs w:val="1"/>
          <w:u w:val="single" w:color="auto"/>
          <w:color w:val="auto"/>
        </w:rPr>
      </w:pPr>
    </w:p>
    <w:p>
      <w:pPr>
        <w:ind w:right="300" w:firstLine="656"/>
        <w:spacing w:after="0" w:line="254" w:lineRule="auto"/>
        <w:tabs>
          <w:tab w:leader="none" w:pos="1296" w:val="left"/>
        </w:tabs>
        <w:numPr>
          <w:ilvl w:val="1"/>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w:t>
      </w:r>
      <w:r>
        <w:rPr>
          <w:rFonts w:ascii="Times New Roman" w:cs="Times New Roman" w:eastAsia="Times New Roman" w:hAnsi="Times New Roman"/>
          <w:sz w:val="20"/>
          <w:szCs w:val="20"/>
          <w:color w:val="auto"/>
        </w:rPr>
        <w:t>. Either Geron or Consultant may terminate this Agreement at any time, with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without cause, upon thirty (30) days prior written notice. In the event of termination Consultant will be compensated for Services actually rendered but not yet paid for by Geron, upon submission and approval of an invoice. Sections 3, 4, 5, 6(a), 7, 8 and 9(a), 9(c) and 9(d) of this Agreement will survive any termination of the Agreement.</w:t>
      </w:r>
    </w:p>
    <w:p>
      <w:pPr>
        <w:spacing w:after="0" w:line="200" w:lineRule="exact"/>
        <w:rPr>
          <w:rFonts w:ascii="Times New Roman" w:cs="Times New Roman" w:eastAsia="Times New Roman" w:hAnsi="Times New Roman"/>
          <w:sz w:val="20"/>
          <w:szCs w:val="20"/>
          <w:b w:val="1"/>
          <w:bCs w:val="1"/>
          <w:color w:val="auto"/>
        </w:rPr>
      </w:pPr>
    </w:p>
    <w:p>
      <w:pPr>
        <w:jc w:val="both"/>
        <w:ind w:right="300" w:firstLine="656"/>
        <w:spacing w:after="0" w:line="258" w:lineRule="auto"/>
        <w:tabs>
          <w:tab w:leader="none" w:pos="1296" w:val="left"/>
        </w:tabs>
        <w:numPr>
          <w:ilvl w:val="1"/>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Injunctive Relief</w:t>
      </w:r>
      <w:r>
        <w:rPr>
          <w:rFonts w:ascii="Times New Roman" w:cs="Times New Roman" w:eastAsia="Times New Roman" w:hAnsi="Times New Roman"/>
          <w:sz w:val="20"/>
          <w:szCs w:val="20"/>
          <w:color w:val="auto"/>
        </w:rPr>
        <w:t>. Consultant agrees and acknowledges that a breach of any of the covenants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contained herein will result in irreparable and continuing damage to Geron for which there will be no adequate remedy at law and that, in the event of such breach, Geron, in addition to any other remedies it may have, will be entitled to a restraining order, injunction, or other similar remedy in order to specifically enforce the provisions of this Agreement.</w:t>
      </w:r>
    </w:p>
    <w:p>
      <w:pPr>
        <w:spacing w:after="0" w:line="195"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No Assignment; Governing Law; Binding Effect; Amendments </w:t>
      </w:r>
      <w:r>
        <w:rPr>
          <w:rFonts w:ascii="Times New Roman" w:cs="Times New Roman" w:eastAsia="Times New Roman" w:hAnsi="Times New Roman"/>
          <w:sz w:val="20"/>
          <w:szCs w:val="20"/>
          <w:color w:val="auto"/>
        </w:rPr>
        <w:t>. Consultant will not assign Consultant’s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rights or delegate Consultant’s responsibilities under this Agreement without the prior written consent of Geron. This Agreement will be governed by California law. This Agreement may be amended only in writing by the parties hereto.</w:t>
      </w:r>
    </w:p>
    <w:p>
      <w:pPr>
        <w:spacing w:after="0" w:line="29" w:lineRule="exact"/>
        <w:rPr>
          <w:sz w:val="20"/>
          <w:szCs w:val="20"/>
          <w:color w:val="auto"/>
        </w:rPr>
      </w:pPr>
    </w:p>
    <w:p>
      <w:pPr>
        <w:jc w:val="both"/>
        <w:ind w:right="320" w:firstLine="656"/>
        <w:spacing w:after="0" w:line="260" w:lineRule="auto"/>
        <w:tabs>
          <w:tab w:leader="none" w:pos="1296"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Insider Trading Compliance. </w:t>
      </w:r>
      <w:r>
        <w:rPr>
          <w:rFonts w:ascii="Times New Roman" w:cs="Times New Roman" w:eastAsia="Times New Roman" w:hAnsi="Times New Roman"/>
          <w:sz w:val="20"/>
          <w:szCs w:val="20"/>
          <w:color w:val="auto"/>
        </w:rPr>
        <w:t>Federal law prohibits you from trading Geron’s stock if you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material nonpublic information about Geron. Geron’s current Insider Trading Policy can be found on the Corporate Governance page of Geron’s website (www.geron.com). You agree to comply with Geron’s Insider Trading Policy during the term of this Agreement.</w:t>
      </w:r>
    </w:p>
    <w:p>
      <w:pPr>
        <w:spacing w:after="0" w:line="19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Whistleblower Policy. </w:t>
      </w:r>
      <w:r>
        <w:rPr>
          <w:rFonts w:ascii="Times New Roman" w:cs="Times New Roman" w:eastAsia="Times New Roman" w:hAnsi="Times New Roman"/>
          <w:sz w:val="20"/>
          <w:szCs w:val="20"/>
          <w:color w:val="auto"/>
        </w:rPr>
        <w:t>Geron treats complaints about accounting, internal accounting controls,</w:t>
      </w:r>
    </w:p>
    <w:p>
      <w:pPr>
        <w:spacing w:after="0" w:line="26" w:lineRule="exact"/>
        <w:rPr>
          <w:sz w:val="20"/>
          <w:szCs w:val="20"/>
          <w:color w:val="auto"/>
        </w:rPr>
      </w:pPr>
    </w:p>
    <w:p>
      <w:pPr>
        <w:ind w:right="320"/>
        <w:spacing w:after="0" w:line="184" w:lineRule="auto"/>
        <w:rPr>
          <w:sz w:val="20"/>
          <w:szCs w:val="20"/>
          <w:color w:val="auto"/>
        </w:rPr>
      </w:pPr>
      <w:r>
        <w:rPr>
          <w:rFonts w:ascii="Times New Roman" w:cs="Times New Roman" w:eastAsia="Times New Roman" w:hAnsi="Times New Roman"/>
          <w:sz w:val="13"/>
          <w:szCs w:val="13"/>
          <w:color w:val="auto"/>
        </w:rPr>
        <w:t>auditing matters, questionable financial practices, or violations of the Code of Conduct seriously. Geron’s Whistleblower Policy is available upon request. Anonymous complaints to an independent third-party (NASDAQ</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OMX) can be submitted by e-mail at Geron@openboard.info or by telephone at (855) 662-0145. Further information can be found at http://www.openboard.info/GERN/.</w:t>
      </w:r>
    </w:p>
    <w:p>
      <w:pPr>
        <w:sectPr>
          <w:pgSz w:w="11900" w:h="16838" w:orient="portrait"/>
          <w:cols w:equalWidth="0" w:num="1">
            <w:col w:w="9400"/>
          </w:cols>
          <w:pgMar w:left="1400" w:top="1440" w:right="1099" w:bottom="1440" w:gutter="0" w:footer="0" w:header="0"/>
        </w:sectPr>
      </w:pPr>
    </w:p>
    <w:bookmarkStart w:id="97" w:name="page98"/>
    <w:bookmarkEnd w:id="97"/>
    <w:p>
      <w:pPr>
        <w:jc w:val="both"/>
        <w:ind w:firstLine="656"/>
        <w:spacing w:after="0" w:line="254" w:lineRule="auto"/>
        <w:tabs>
          <w:tab w:leader="none" w:pos="1296"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6258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8625840"/>
                    </a:xfrm>
                    <a:prstGeom prst="rect">
                      <a:avLst/>
                    </a:prstGeom>
                    <a:noFill/>
                  </pic:spPr>
                </pic:pic>
              </a:graphicData>
            </a:graphic>
          </wp:anchor>
        </w:drawing>
        <w:t xml:space="preserve">Electronic Signature. </w:t>
      </w:r>
      <w:r>
        <w:rPr>
          <w:rFonts w:ascii="Times New Roman" w:cs="Times New Roman" w:eastAsia="Times New Roman" w:hAnsi="Times New Roman"/>
          <w:sz w:val="20"/>
          <w:szCs w:val="20"/>
          <w:color w:val="auto"/>
        </w:rPr>
        <w:t>The parties agree that execution of this Agreement by industry standard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electronic signature software and /or by exchanging PDF signatures shall have the same legal force and effect as the exchange of original signatures, and that in any proceeding arising under or relating to this Agreement, each party hereby waives any right to raise any defense or waiver based upon execution of this Agreement by means of such electronic signatures or maintenance of the executed agreement electronically.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AGREED AND ACCEPTED:</w:t>
            </w:r>
          </w:p>
        </w:tc>
        <w:tc>
          <w:tcPr>
            <w:tcW w:w="4540" w:type="dxa"/>
            <w:vAlign w:val="bottom"/>
          </w:tcPr>
          <w:p>
            <w:pPr>
              <w:spacing w:after="0"/>
              <w:rPr>
                <w:sz w:val="22"/>
                <w:szCs w:val="22"/>
                <w:color w:val="auto"/>
              </w:rPr>
            </w:pPr>
          </w:p>
        </w:tc>
      </w:tr>
      <w:tr>
        <w:trPr>
          <w:trHeight w:val="486"/>
        </w:trPr>
        <w:tc>
          <w:tcPr>
            <w:tcW w:w="4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Geron Corporation</w:t>
            </w:r>
          </w:p>
        </w:tc>
        <w:tc>
          <w:tcPr>
            <w:tcW w:w="4540" w:type="dxa"/>
            <w:vAlign w:val="bottom"/>
          </w:tcPr>
          <w:p>
            <w:pPr>
              <w:spacing w:after="0"/>
              <w:rPr>
                <w:sz w:val="24"/>
                <w:szCs w:val="24"/>
                <w:color w:val="auto"/>
              </w:rPr>
            </w:pPr>
          </w:p>
        </w:tc>
      </w:tr>
      <w:tr>
        <w:trPr>
          <w:trHeight w:val="447"/>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 HAROUT SEMERJIAN</w:t>
            </w:r>
          </w:p>
        </w:tc>
        <w:tc>
          <w:tcPr>
            <w:tcW w:w="4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ANDREW J. GRETHLEIN</w:t>
            </w:r>
          </w:p>
        </w:tc>
      </w:tr>
      <w:tr>
        <w:trPr>
          <w:trHeight w:val="230"/>
        </w:trPr>
        <w:tc>
          <w:tcPr>
            <w:tcW w:w="43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HAROUT SEMERJIAN</w:t>
            </w:r>
          </w:p>
        </w:tc>
        <w:tc>
          <w:tcPr>
            <w:tcW w:w="100" w:type="dxa"/>
            <w:vAlign w:val="bottom"/>
          </w:tcPr>
          <w:p>
            <w:pPr>
              <w:spacing w:after="0"/>
              <w:rPr>
                <w:sz w:val="19"/>
                <w:szCs w:val="19"/>
                <w:color w:val="auto"/>
              </w:rPr>
            </w:pPr>
          </w:p>
        </w:tc>
        <w:tc>
          <w:tcPr>
            <w:tcW w:w="45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ANDREW J. GRETHLEIN</w:t>
            </w:r>
          </w:p>
        </w:tc>
      </w:tr>
      <w:tr>
        <w:trPr>
          <w:trHeight w:val="262"/>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20"/>
                <w:szCs w:val="20"/>
                <w:i w:val="1"/>
                <w:iCs w:val="1"/>
                <w:color w:val="auto"/>
              </w:rPr>
              <w:t>President and Chief Executive Officer</w:t>
            </w:r>
          </w:p>
        </w:tc>
        <w:tc>
          <w:tcPr>
            <w:tcW w:w="4540" w:type="dxa"/>
            <w:vAlign w:val="bottom"/>
          </w:tcPr>
          <w:p>
            <w:pPr>
              <w:spacing w:after="0"/>
              <w:rPr>
                <w:sz w:val="22"/>
                <w:szCs w:val="22"/>
                <w:color w:val="auto"/>
              </w:rPr>
            </w:pPr>
          </w:p>
        </w:tc>
      </w:tr>
      <w:tr>
        <w:trPr>
          <w:trHeight w:val="513"/>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Date: 13-Oct-2025</w:t>
            </w:r>
          </w:p>
        </w:tc>
        <w:tc>
          <w:tcPr>
            <w:tcW w:w="4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Date: 13-Oct-2025</w:t>
            </w:r>
          </w:p>
        </w:tc>
      </w:tr>
    </w:tbl>
    <w:p>
      <w:pPr>
        <w:sectPr>
          <w:pgSz w:w="11900" w:h="16838" w:orient="portrait"/>
          <w:cols w:equalWidth="0" w:num="1">
            <w:col w:w="9080"/>
          </w:cols>
          <w:pgMar w:left="1400" w:top="1017" w:right="141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EMPLOYMENT AGREEMENT</w:t>
      </w:r>
    </w:p>
    <w:p>
      <w:pPr>
        <w:spacing w:after="0" w:line="200" w:lineRule="exact"/>
        <w:rPr>
          <w:sz w:val="20"/>
          <w:szCs w:val="20"/>
          <w:color w:val="auto"/>
        </w:rPr>
      </w:pPr>
    </w:p>
    <w:p>
      <w:pPr>
        <w:spacing w:after="0" w:line="205" w:lineRule="exact"/>
        <w:rPr>
          <w:sz w:val="20"/>
          <w:szCs w:val="20"/>
          <w:color w:val="auto"/>
        </w:rPr>
      </w:pPr>
    </w:p>
    <w:p>
      <w:pPr>
        <w:ind w:right="660" w:firstLine="648"/>
        <w:spacing w:after="0" w:line="287" w:lineRule="auto"/>
        <w:rPr>
          <w:sz w:val="20"/>
          <w:szCs w:val="20"/>
          <w:color w:val="auto"/>
        </w:rPr>
      </w:pPr>
      <w:r>
        <w:rPr>
          <w:rFonts w:ascii="Times New Roman" w:cs="Times New Roman" w:eastAsia="Times New Roman" w:hAnsi="Times New Roman"/>
          <w:sz w:val="20"/>
          <w:szCs w:val="20"/>
          <w:color w:val="auto"/>
        </w:rPr>
        <w:t>This Employment Agreement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made effective as of April 13, 2026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by and between Timothy Williams (“</w:t>
      </w:r>
      <w:r>
        <w:rPr>
          <w:rFonts w:ascii="Times New Roman" w:cs="Times New Roman" w:eastAsia="Times New Roman" w:hAnsi="Times New Roman"/>
          <w:sz w:val="20"/>
          <w:szCs w:val="20"/>
          <w:b w:val="1"/>
          <w:bCs w:val="1"/>
          <w:color w:val="auto"/>
        </w:rPr>
        <w:t>Executive</w:t>
      </w:r>
      <w:r>
        <w:rPr>
          <w:rFonts w:ascii="Times New Roman" w:cs="Times New Roman" w:eastAsia="Times New Roman" w:hAnsi="Times New Roman"/>
          <w:sz w:val="20"/>
          <w:szCs w:val="20"/>
          <w:color w:val="auto"/>
        </w:rPr>
        <w:t>”) and Geron Corporation,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ind w:right="66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desires to employ Executive to provide personal services to the Company and to provide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with certain compensation and benefits in return for Executive’s services;</w:t>
      </w:r>
    </w:p>
    <w:p>
      <w:pPr>
        <w:spacing w:after="0" w:line="138" w:lineRule="exact"/>
        <w:rPr>
          <w:sz w:val="20"/>
          <w:szCs w:val="20"/>
          <w:color w:val="auto"/>
        </w:rPr>
      </w:pPr>
    </w:p>
    <w:p>
      <w:pPr>
        <w:ind w:right="660" w:firstLine="647"/>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Executive wishes to be employed by the Company and provide personal services to the Company in return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certain compensation and benefits; and</w:t>
      </w:r>
    </w:p>
    <w:p>
      <w:pPr>
        <w:spacing w:after="0" w:line="152" w:lineRule="exact"/>
        <w:rPr>
          <w:sz w:val="20"/>
          <w:szCs w:val="20"/>
          <w:color w:val="auto"/>
        </w:rPr>
      </w:pPr>
    </w:p>
    <w:p>
      <w:pPr>
        <w:ind w:right="66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promises and covenants contained herein, it is hereby agreed by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between the parties hereto as follows:</w:t>
      </w:r>
    </w:p>
    <w:p>
      <w:pPr>
        <w:spacing w:after="0" w:line="17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3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For purposes of the Agreement, the following terms are defined as follows:</w:t>
      </w:r>
    </w:p>
    <w:p>
      <w:pPr>
        <w:spacing w:after="0" w:line="212" w:lineRule="exact"/>
        <w:rPr>
          <w:sz w:val="20"/>
          <w:szCs w:val="20"/>
          <w:color w:val="auto"/>
        </w:rPr>
      </w:pPr>
    </w:p>
    <w:p>
      <w:pPr>
        <w:ind w:left="640"/>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Board</w:t>
      </w:r>
      <w:r>
        <w:rPr>
          <w:rFonts w:ascii="Times New Roman" w:cs="Times New Roman" w:eastAsia="Times New Roman" w:hAnsi="Times New Roman"/>
          <w:sz w:val="19"/>
          <w:szCs w:val="19"/>
          <w:color w:val="auto"/>
        </w:rPr>
        <w:t>” means the Board of Directors of the Company.</w:t>
      </w:r>
    </w:p>
    <w:p>
      <w:pPr>
        <w:spacing w:after="0" w:line="229" w:lineRule="exact"/>
        <w:rPr>
          <w:sz w:val="20"/>
          <w:szCs w:val="20"/>
          <w:color w:val="auto"/>
        </w:rPr>
      </w:pPr>
    </w:p>
    <w:p>
      <w:pPr>
        <w:ind w:left="640"/>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Cause</w:t>
      </w:r>
      <w:r>
        <w:rPr>
          <w:rFonts w:ascii="Times New Roman" w:cs="Times New Roman" w:eastAsia="Times New Roman" w:hAnsi="Times New Roman"/>
          <w:sz w:val="19"/>
          <w:szCs w:val="19"/>
          <w:color w:val="auto"/>
        </w:rPr>
        <w:t>” means any of the following:</w:t>
      </w:r>
    </w:p>
    <w:p>
      <w:pPr>
        <w:spacing w:after="0" w:line="220" w:lineRule="exact"/>
        <w:rPr>
          <w:sz w:val="20"/>
          <w:szCs w:val="20"/>
          <w:color w:val="auto"/>
        </w:rPr>
      </w:pPr>
    </w:p>
    <w:p>
      <w:pPr>
        <w:ind w:left="1780" w:hanging="493"/>
        <w:spacing w:after="0"/>
        <w:tabs>
          <w:tab w:leader="none" w:pos="1780"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willful act or omission by Executive constituting dishonesty, fraud or other malfeasance against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w:t>
      </w:r>
    </w:p>
    <w:p>
      <w:pPr>
        <w:spacing w:after="0" w:line="214" w:lineRule="exact"/>
        <w:rPr>
          <w:sz w:val="20"/>
          <w:szCs w:val="20"/>
          <w:color w:val="auto"/>
        </w:rPr>
      </w:pPr>
    </w:p>
    <w:p>
      <w:pPr>
        <w:ind w:right="660" w:firstLine="1287"/>
        <w:spacing w:after="0" w:line="269" w:lineRule="auto"/>
        <w:tabs>
          <w:tab w:leader="none" w:pos="1791"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Executive’s conviction of a felony under the laws of the United States or any state thereof or any other jurisdiction in which the Company conducts business;</w:t>
      </w:r>
    </w:p>
    <w:p>
      <w:pPr>
        <w:spacing w:after="0" w:line="172" w:lineRule="exact"/>
        <w:rPr>
          <w:rFonts w:ascii="Times New Roman" w:cs="Times New Roman" w:eastAsia="Times New Roman" w:hAnsi="Times New Roman"/>
          <w:sz w:val="20"/>
          <w:szCs w:val="20"/>
          <w:b w:val="1"/>
          <w:bCs w:val="1"/>
          <w:color w:val="auto"/>
        </w:rPr>
      </w:pPr>
    </w:p>
    <w:p>
      <w:pPr>
        <w:jc w:val="both"/>
        <w:ind w:right="660" w:firstLine="1287"/>
        <w:spacing w:after="0" w:line="261" w:lineRule="auto"/>
        <w:tabs>
          <w:tab w:leader="none" w:pos="1795"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Executive’s debarment by the U.S. Food and Drug Administration (FDA) from working in or providing services to any pharmaceutical or biotechnology company under the Generic Drug Enforcement Act of 1992, or other ineligibility under any law or regulation to perform Executive’s duties to the Company; or</w:t>
      </w:r>
    </w:p>
    <w:p>
      <w:pPr>
        <w:spacing w:after="0" w:line="181" w:lineRule="exact"/>
        <w:rPr>
          <w:rFonts w:ascii="Times New Roman" w:cs="Times New Roman" w:eastAsia="Times New Roman" w:hAnsi="Times New Roman"/>
          <w:sz w:val="20"/>
          <w:szCs w:val="20"/>
          <w:b w:val="1"/>
          <w:bCs w:val="1"/>
          <w:color w:val="auto"/>
        </w:rPr>
      </w:pPr>
    </w:p>
    <w:p>
      <w:pPr>
        <w:ind w:left="1720" w:hanging="433"/>
        <w:spacing w:after="0"/>
        <w:tabs>
          <w:tab w:leader="none" w:pos="172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Executive’s breach of any of the material policies of the Company.</w:t>
      </w:r>
    </w:p>
    <w:p>
      <w:pPr>
        <w:spacing w:after="0" w:line="212" w:lineRule="exact"/>
        <w:rPr>
          <w:sz w:val="20"/>
          <w:szCs w:val="20"/>
          <w:color w:val="auto"/>
        </w:rPr>
      </w:pPr>
    </w:p>
    <w:p>
      <w:pPr>
        <w:ind w:left="640"/>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Change in Control</w:t>
      </w:r>
      <w:r>
        <w:rPr>
          <w:rFonts w:ascii="Times New Roman" w:cs="Times New Roman" w:eastAsia="Times New Roman" w:hAnsi="Times New Roman"/>
          <w:sz w:val="19"/>
          <w:szCs w:val="19"/>
          <w:color w:val="auto"/>
        </w:rPr>
        <w:t>” shall have the meaning set forth in the Equity Incentive Plan.</w:t>
      </w:r>
    </w:p>
    <w:p>
      <w:pPr>
        <w:spacing w:after="0" w:line="229" w:lineRule="exact"/>
        <w:rPr>
          <w:sz w:val="20"/>
          <w:szCs w:val="20"/>
          <w:color w:val="auto"/>
        </w:rPr>
      </w:pPr>
    </w:p>
    <w:p>
      <w:pPr>
        <w:ind w:left="640"/>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1.4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Code</w:t>
      </w:r>
      <w:r>
        <w:rPr>
          <w:rFonts w:ascii="Times New Roman" w:cs="Times New Roman" w:eastAsia="Times New Roman" w:hAnsi="Times New Roman"/>
          <w:sz w:val="19"/>
          <w:szCs w:val="19"/>
          <w:color w:val="auto"/>
        </w:rPr>
        <w:t>” means the Internal Revenue Code of 1986, as amended.</w:t>
      </w:r>
    </w:p>
    <w:p>
      <w:pPr>
        <w:spacing w:after="0" w:line="216" w:lineRule="exact"/>
        <w:rPr>
          <w:sz w:val="20"/>
          <w:szCs w:val="20"/>
          <w:color w:val="auto"/>
        </w:rPr>
      </w:pPr>
    </w:p>
    <w:p>
      <w:pPr>
        <w:ind w:left="640"/>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1.5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means Geron Corporation, any wholly-owned subsidiaries, and its successors in interest.</w:t>
      </w:r>
    </w:p>
    <w:p>
      <w:pPr>
        <w:spacing w:after="0" w:line="229" w:lineRule="exact"/>
        <w:rPr>
          <w:sz w:val="20"/>
          <w:szCs w:val="20"/>
          <w:color w:val="auto"/>
        </w:rPr>
      </w:pPr>
    </w:p>
    <w:p>
      <w:pPr>
        <w:jc w:val="both"/>
        <w:ind w:right="660" w:firstLine="647"/>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1.6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Comparable Employment</w:t>
      </w:r>
      <w:r>
        <w:rPr>
          <w:rFonts w:ascii="Times New Roman" w:cs="Times New Roman" w:eastAsia="Times New Roman" w:hAnsi="Times New Roman"/>
          <w:sz w:val="20"/>
          <w:szCs w:val="20"/>
          <w:color w:val="auto"/>
        </w:rPr>
        <w:t>” means employment on terms that provide (a) the same or greater rate of base pay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salary as in effect immediately prior to Executive’s termination, (b) the same, equivalent or higher job title and level of responsibility as Executive had prior to Executive’s termination, (c) equivalent or higher bonus opportunity as the bonus opportunity for the year preceding the year in which the termination occurs, and (d) a principal work location that is both (i) no</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660" w:top="71" w:right="339" w:bottom="1440" w:gutter="0" w:footer="0" w:header="0"/>
        </w:sectPr>
      </w:pPr>
    </w:p>
    <w:bookmarkStart w:id="99" w:name="page100"/>
    <w:bookmarkEnd w:id="99"/>
    <w:p>
      <w:pPr>
        <w:spacing w:after="0" w:line="189" w:lineRule="exact"/>
        <w:rPr>
          <w:sz w:val="20"/>
          <w:szCs w:val="20"/>
          <w:color w:val="auto"/>
        </w:rPr>
      </w:pPr>
    </w:p>
    <w:p>
      <w:pPr>
        <w:jc w:val="both"/>
        <w:ind w:left="9" w:right="20"/>
        <w:spacing w:after="0" w:line="261" w:lineRule="auto"/>
        <w:rPr>
          <w:sz w:val="20"/>
          <w:szCs w:val="20"/>
          <w:color w:val="auto"/>
        </w:rPr>
      </w:pPr>
      <w:r>
        <w:rPr>
          <w:rFonts w:ascii="Times New Roman" w:cs="Times New Roman" w:eastAsia="Times New Roman" w:hAnsi="Times New Roman"/>
          <w:sz w:val="20"/>
          <w:szCs w:val="20"/>
          <w:color w:val="auto"/>
        </w:rPr>
        <w:t>more than forty-five (45) miles from Executive’s principal work location immediately prior to Executive’s termination and (ii) no more than thirty (30) miles farther from Executive’s principal weekday residence than was Executive’s principal work location immediately prior to the termination.</w:t>
      </w:r>
    </w:p>
    <w:p>
      <w:pPr>
        <w:spacing w:after="0" w:line="177" w:lineRule="exact"/>
        <w:rPr>
          <w:sz w:val="20"/>
          <w:szCs w:val="20"/>
          <w:color w:val="auto"/>
        </w:rPr>
      </w:pPr>
    </w:p>
    <w:p>
      <w:pPr>
        <w:jc w:val="both"/>
        <w:ind w:left="9" w:right="20"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1.7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Covered Termination</w:t>
      </w:r>
      <w:r>
        <w:rPr>
          <w:rFonts w:ascii="Times New Roman" w:cs="Times New Roman" w:eastAsia="Times New Roman" w:hAnsi="Times New Roman"/>
          <w:sz w:val="20"/>
          <w:szCs w:val="20"/>
          <w:color w:val="auto"/>
        </w:rPr>
        <w:t>” means an Involuntary Termination Without Cause that occurs at any 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termination constitutes a “separation from service” within the meaning of Section 409A of the Code and the regulations promulgated thereunder, including Treasury Regulation Section 1.409A-1(h) (a “</w:t>
      </w:r>
      <w:r>
        <w:rPr>
          <w:rFonts w:ascii="Times New Roman" w:cs="Times New Roman" w:eastAsia="Times New Roman" w:hAnsi="Times New Roman"/>
          <w:sz w:val="20"/>
          <w:szCs w:val="20"/>
          <w:b w:val="1"/>
          <w:bCs w:val="1"/>
          <w:color w:val="auto"/>
        </w:rPr>
        <w:t>Separation from Service</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49"/>
        <w:spacing w:after="0"/>
        <w:tabs>
          <w:tab w:leader="none" w:pos="1069" w:val="left"/>
        </w:tabs>
        <w:rPr>
          <w:sz w:val="20"/>
          <w:szCs w:val="20"/>
          <w:color w:val="auto"/>
        </w:rPr>
      </w:pPr>
      <w:r>
        <w:rPr>
          <w:rFonts w:ascii="Times New Roman" w:cs="Times New Roman" w:eastAsia="Times New Roman" w:hAnsi="Times New Roman"/>
          <w:sz w:val="20"/>
          <w:szCs w:val="20"/>
          <w:b w:val="1"/>
          <w:bCs w:val="1"/>
          <w:color w:val="auto"/>
        </w:rPr>
        <w:t>1.8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Involuntary Termination Without Cause</w:t>
      </w:r>
      <w:r>
        <w:rPr>
          <w:rFonts w:ascii="Times New Roman" w:cs="Times New Roman" w:eastAsia="Times New Roman" w:hAnsi="Times New Roman"/>
          <w:sz w:val="19"/>
          <w:szCs w:val="19"/>
          <w:color w:val="auto"/>
        </w:rPr>
        <w:t>” means Executive’s dismissal or discharge other than (i) for Cause, or</w:t>
      </w:r>
    </w:p>
    <w:p>
      <w:pPr>
        <w:spacing w:after="0" w:line="26" w:lineRule="exact"/>
        <w:rPr>
          <w:sz w:val="20"/>
          <w:szCs w:val="20"/>
          <w:color w:val="auto"/>
        </w:rPr>
      </w:pPr>
    </w:p>
    <w:p>
      <w:pPr>
        <w:jc w:val="both"/>
        <w:ind w:left="9" w:right="20" w:hanging="9"/>
        <w:spacing w:after="0" w:line="251" w:lineRule="auto"/>
        <w:tabs>
          <w:tab w:leader="none" w:pos="308"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an involuntary or voluntary filing of a petition under chapter 7 or 11 of 11 USC Section 101 et. seq., an assignment for the benefit of creditors, a liquidation of the company’s assets in formal proceeding or otherwise or any other event of insolvency by the Company, in any case, without an offer of Comparable Employment by the Company or a successor, acquirer, or affiliate of the Company. For purposes of this Agreement, the termination of Executive’s employment due to Executive’s death or disability will not constitute a termination for Cause.</w:t>
      </w:r>
    </w:p>
    <w:p>
      <w:pPr>
        <w:spacing w:after="0" w:line="175" w:lineRule="exact"/>
        <w:rPr>
          <w:sz w:val="20"/>
          <w:szCs w:val="20"/>
          <w:color w:val="auto"/>
        </w:rPr>
      </w:pPr>
    </w:p>
    <w:p>
      <w:pPr>
        <w:ind w:left="649"/>
        <w:spacing w:after="0"/>
        <w:tabs>
          <w:tab w:leader="none" w:pos="1069" w:val="left"/>
        </w:tabs>
        <w:rPr>
          <w:sz w:val="20"/>
          <w:szCs w:val="20"/>
          <w:color w:val="auto"/>
        </w:rPr>
      </w:pPr>
      <w:r>
        <w:rPr>
          <w:rFonts w:ascii="Times New Roman" w:cs="Times New Roman" w:eastAsia="Times New Roman" w:hAnsi="Times New Roman"/>
          <w:sz w:val="20"/>
          <w:szCs w:val="20"/>
          <w:b w:val="1"/>
          <w:bCs w:val="1"/>
          <w:color w:val="auto"/>
        </w:rPr>
        <w:t>1.9</w:t>
      </w:r>
      <w:r>
        <w:rPr>
          <w:sz w:val="20"/>
          <w:szCs w:val="20"/>
          <w:color w:val="auto"/>
        </w:rPr>
        <w:tab/>
      </w:r>
      <w:r>
        <w:rPr>
          <w:rFonts w:ascii="Times New Roman" w:cs="Times New Roman" w:eastAsia="Times New Roman" w:hAnsi="Times New Roman"/>
          <w:sz w:val="19"/>
          <w:szCs w:val="19"/>
          <w:b w:val="1"/>
          <w:bCs w:val="1"/>
          <w:color w:val="auto"/>
        </w:rPr>
        <w:t>“Inducement Plan</w:t>
      </w:r>
      <w:r>
        <w:rPr>
          <w:rFonts w:ascii="Times New Roman" w:cs="Times New Roman" w:eastAsia="Times New Roman" w:hAnsi="Times New Roman"/>
          <w:sz w:val="19"/>
          <w:szCs w:val="19"/>
          <w:color w:val="auto"/>
        </w:rPr>
        <w:t>” means the Company’s 2018 Inducement Award Plan.</w:t>
      </w:r>
    </w:p>
    <w:p>
      <w:pPr>
        <w:spacing w:after="0" w:line="229" w:lineRule="exact"/>
        <w:rPr>
          <w:sz w:val="20"/>
          <w:szCs w:val="20"/>
          <w:color w:val="auto"/>
        </w:rPr>
      </w:pPr>
    </w:p>
    <w:p>
      <w:pPr>
        <w:ind w:left="649"/>
        <w:spacing w:after="0"/>
        <w:tabs>
          <w:tab w:leader="none" w:pos="1149" w:val="left"/>
        </w:tabs>
        <w:rPr>
          <w:sz w:val="20"/>
          <w:szCs w:val="20"/>
          <w:color w:val="auto"/>
        </w:rPr>
      </w:pPr>
      <w:r>
        <w:rPr>
          <w:rFonts w:ascii="Times New Roman" w:cs="Times New Roman" w:eastAsia="Times New Roman" w:hAnsi="Times New Roman"/>
          <w:sz w:val="20"/>
          <w:szCs w:val="20"/>
          <w:b w:val="1"/>
          <w:bCs w:val="1"/>
          <w:color w:val="auto"/>
        </w:rPr>
        <w:t>1.10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Equity Incentive Plan</w:t>
      </w:r>
      <w:r>
        <w:rPr>
          <w:rFonts w:ascii="Times New Roman" w:cs="Times New Roman" w:eastAsia="Times New Roman" w:hAnsi="Times New Roman"/>
          <w:sz w:val="19"/>
          <w:szCs w:val="19"/>
          <w:color w:val="auto"/>
        </w:rPr>
        <w:t>” means the Company’s 2018 Equity Incentive Award Plan.</w:t>
      </w:r>
    </w:p>
    <w:p>
      <w:pPr>
        <w:spacing w:after="0" w:line="229" w:lineRule="exact"/>
        <w:rPr>
          <w:sz w:val="20"/>
          <w:szCs w:val="20"/>
          <w:color w:val="auto"/>
        </w:rPr>
      </w:pPr>
    </w:p>
    <w:p>
      <w:pPr>
        <w:jc w:val="center"/>
        <w:ind w:right="-328"/>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32" w:lineRule="exact"/>
        <w:rPr>
          <w:sz w:val="20"/>
          <w:szCs w:val="20"/>
          <w:color w:val="auto"/>
        </w:rPr>
      </w:pPr>
    </w:p>
    <w:p>
      <w:pPr>
        <w:jc w:val="center"/>
        <w:ind w:right="-328"/>
        <w:spacing w:after="0"/>
        <w:rPr>
          <w:sz w:val="20"/>
          <w:szCs w:val="20"/>
          <w:color w:val="auto"/>
        </w:rPr>
      </w:pPr>
      <w:r>
        <w:rPr>
          <w:rFonts w:ascii="Times New Roman" w:cs="Times New Roman" w:eastAsia="Times New Roman" w:hAnsi="Times New Roman"/>
          <w:sz w:val="20"/>
          <w:szCs w:val="20"/>
          <w:b w:val="1"/>
          <w:bCs w:val="1"/>
          <w:color w:val="auto"/>
        </w:rPr>
        <w:t>EMPLOYMENT BY THE COMPANY</w:t>
      </w:r>
    </w:p>
    <w:p>
      <w:pPr>
        <w:spacing w:after="0" w:line="210" w:lineRule="exact"/>
        <w:rPr>
          <w:sz w:val="20"/>
          <w:szCs w:val="20"/>
          <w:color w:val="auto"/>
        </w:rPr>
      </w:pPr>
    </w:p>
    <w:p>
      <w:pPr>
        <w:jc w:val="both"/>
        <w:ind w:left="9" w:firstLine="648"/>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2.1 Position and Duties. </w:t>
      </w:r>
      <w:r>
        <w:rPr>
          <w:rFonts w:ascii="Times New Roman" w:cs="Times New Roman" w:eastAsia="Times New Roman" w:hAnsi="Times New Roman"/>
          <w:sz w:val="19"/>
          <w:szCs w:val="19"/>
          <w:color w:val="auto"/>
        </w:rPr>
        <w:t>Subject to the terms set forth herein, the Company agrees to employ Executive in the position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Executive Vice President, Chief Legal Officer. During the Executive’s employment in this position, Executive will report to the Chief Executive Officer. Executive shall serve in an employee capacity and shall perform such duties as are assigned to Executive by the Chief Executive Officer and, except as otherwise instructed by the Chief Executive Officer, such other duties as are customarily associated with the position of Executive Vice President, Chief Legal Officer. During Executive’s employment with the Company, Executive will devote Executive’s best efforts and substantially all of Executive’s business time and attention (except for vacation periods as set forth herein and reasonable periods of illness or other incapacities permitted by the Company’s general employment policies or as otherwise set forth in this Agreement) to the business of the Company.</w:t>
      </w:r>
    </w:p>
    <w:p>
      <w:pPr>
        <w:spacing w:after="0" w:line="160" w:lineRule="exact"/>
        <w:rPr>
          <w:sz w:val="20"/>
          <w:szCs w:val="20"/>
          <w:color w:val="auto"/>
        </w:rPr>
      </w:pPr>
    </w:p>
    <w:p>
      <w:pPr>
        <w:jc w:val="both"/>
        <w:ind w:left="9"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2.2 Employment at Will. </w:t>
      </w:r>
      <w:r>
        <w:rPr>
          <w:rFonts w:ascii="Times New Roman" w:cs="Times New Roman" w:eastAsia="Times New Roman" w:hAnsi="Times New Roman"/>
          <w:sz w:val="20"/>
          <w:szCs w:val="20"/>
          <w:color w:val="auto"/>
        </w:rPr>
        <w:t>Both the Company and Executive acknowledge and agree that Executive’s employment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Company is “at-will” and not for any specified period of time, and may be terminated at any time by Executive or the Company, with or without Cause, and with or without prior notice; provided, however, that if Executive’s employment with the Company is terminated under circumstances that constitute a Covered Termination, Executive will be eligible to receive certain severance payments and benefits as set forth in Article IV below. Executive is also eligible for severance benefits under the Amended and Restated Severance Plan.</w:t>
      </w:r>
    </w:p>
    <w:p>
      <w:pPr>
        <w:spacing w:after="0" w:line="187" w:lineRule="exact"/>
        <w:rPr>
          <w:sz w:val="20"/>
          <w:szCs w:val="20"/>
          <w:color w:val="auto"/>
        </w:rPr>
      </w:pPr>
    </w:p>
    <w:p>
      <w:pPr>
        <w:jc w:val="both"/>
        <w:ind w:left="9" w:right="20"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2.3 Employment Policies. </w:t>
      </w:r>
      <w:r>
        <w:rPr>
          <w:rFonts w:ascii="Times New Roman" w:cs="Times New Roman" w:eastAsia="Times New Roman" w:hAnsi="Times New Roman"/>
          <w:sz w:val="20"/>
          <w:szCs w:val="20"/>
          <w:color w:val="auto"/>
        </w:rPr>
        <w:t>The employment relationship between the parties shall also be governed by the general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policies and practices of the Company, including but not limited to those policies relating to protection of confidential information and assignment of</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269"/>
          </w:cols>
          <w:pgMar w:left="651" w:top="1440" w:right="979" w:bottom="1440" w:gutter="0" w:footer="0" w:header="0"/>
        </w:sectPr>
      </w:pPr>
    </w:p>
    <w:bookmarkStart w:id="100" w:name="page101"/>
    <w:bookmarkEnd w:id="100"/>
    <w:p>
      <w:pPr>
        <w:spacing w:after="0" w:line="18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inventions. In the event of a conflict between the terms of this Agreement and the Company’s general employment policies or practices, this Agreement shall control.</w:t>
      </w:r>
    </w:p>
    <w:p>
      <w:pPr>
        <w:spacing w:after="0" w:line="142" w:lineRule="exact"/>
        <w:rPr>
          <w:sz w:val="20"/>
          <w:szCs w:val="20"/>
          <w:color w:val="auto"/>
        </w:rPr>
      </w:pPr>
    </w:p>
    <w:p>
      <w:pPr>
        <w:ind w:right="116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2.4 Indemnification. </w:t>
      </w:r>
      <w:r>
        <w:rPr>
          <w:rFonts w:ascii="Times New Roman" w:cs="Times New Roman" w:eastAsia="Times New Roman" w:hAnsi="Times New Roman"/>
          <w:sz w:val="20"/>
          <w:szCs w:val="20"/>
          <w:color w:val="auto"/>
        </w:rPr>
        <w:t>The Company shall provide for indemnification of the Executive as set forth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Indemnification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COMPENSATION</w:t>
      </w:r>
    </w:p>
    <w:p>
      <w:pPr>
        <w:spacing w:after="0" w:line="210" w:lineRule="exact"/>
        <w:rPr>
          <w:sz w:val="20"/>
          <w:szCs w:val="20"/>
          <w:color w:val="auto"/>
        </w:rPr>
      </w:pPr>
    </w:p>
    <w:p>
      <w:pPr>
        <w:jc w:val="both"/>
        <w:ind w:right="20"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3.1 Base Salary</w:t>
      </w:r>
      <w:r>
        <w:rPr>
          <w:rFonts w:ascii="Times New Roman" w:cs="Times New Roman" w:eastAsia="Times New Roman" w:hAnsi="Times New Roman"/>
          <w:sz w:val="20"/>
          <w:szCs w:val="20"/>
          <w:color w:val="auto"/>
        </w:rPr>
        <w:t>. Executive shall receive for services to be rendered hereunder such annual base salary as is approved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Board or the Compensation Committee of the Board, payable on the regular payroll dates of the Company, subject to increase in the sole discretion of the Board or Compensation Committee of the Board (the “</w:t>
      </w:r>
      <w:r>
        <w:rPr>
          <w:rFonts w:ascii="Times New Roman" w:cs="Times New Roman" w:eastAsia="Times New Roman" w:hAnsi="Times New Roman"/>
          <w:sz w:val="20"/>
          <w:szCs w:val="20"/>
          <w:b w:val="1"/>
          <w:bCs w:val="1"/>
          <w:color w:val="auto"/>
        </w:rPr>
        <w:t>Base Salary</w:t>
      </w:r>
      <w:r>
        <w:rPr>
          <w:rFonts w:ascii="Times New Roman" w:cs="Times New Roman" w:eastAsia="Times New Roman" w:hAnsi="Times New Roman"/>
          <w:sz w:val="20"/>
          <w:szCs w:val="20"/>
          <w:color w:val="auto"/>
        </w:rPr>
        <w:t>”). As of the Effective Date of this Agreement, Executive’s Base Salary is $520,000.</w:t>
      </w:r>
    </w:p>
    <w:p>
      <w:pPr>
        <w:spacing w:after="0" w:line="16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b w:val="1"/>
          <w:bCs w:val="1"/>
          <w:color w:val="auto"/>
        </w:rPr>
        <w:t>3.2 Bonus</w:t>
      </w:r>
      <w:r>
        <w:rPr>
          <w:rFonts w:ascii="Times New Roman" w:cs="Times New Roman" w:eastAsia="Times New Roman" w:hAnsi="Times New Roman"/>
          <w:sz w:val="19"/>
          <w:szCs w:val="19"/>
          <w:color w:val="auto"/>
        </w:rPr>
        <w:t>. As of the Effective Date of this Agreement, Executive shall be eligible to earn, for each fiscal year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ending December 31 during Executive’s employment with the Company, an annual discretionary cash bonus (an “</w:t>
      </w:r>
      <w:r>
        <w:rPr>
          <w:rFonts w:ascii="Times New Roman" w:cs="Times New Roman" w:eastAsia="Times New Roman" w:hAnsi="Times New Roman"/>
          <w:sz w:val="19"/>
          <w:szCs w:val="19"/>
          <w:b w:val="1"/>
          <w:bCs w:val="1"/>
          <w:color w:val="auto"/>
        </w:rPr>
        <w:t>Annual Bonus</w:t>
      </w:r>
      <w:r>
        <w:rPr>
          <w:rFonts w:ascii="Times New Roman" w:cs="Times New Roman" w:eastAsia="Times New Roman" w:hAnsi="Times New Roman"/>
          <w:sz w:val="19"/>
          <w:szCs w:val="19"/>
          <w:color w:val="auto"/>
        </w:rPr>
        <w:t>”) targeted at fifty percent (50%) of Executive’s Base Salary. Executive’s discretionary Annual Bonus will be paid during the standard timing for year-end performance bonuses, with the eligibility cutoff date for participation being October 1st in the performance year for which any bonus may be paid. The Annual Bonus is tied to the achievement of certain performance goals established for the Company and each individual and prorated for the individual’s initial performance period (assuming commencement of employment in the middle of a calendar year); provided, however, that in order to be eligible for an Annual Bonus for the initial performance period the Effective Date must be on or before September 30th. The total bonus pool generated for distribution, if any, is determined at the discretion of the Board and then distributed based on individual performance. If the Company determines, in its reasonable discretion, that Executive has engaged in any misconduct intended to affect the payment of Executive’s Annual Bonus or has otherwise engaged in any act or omission that would constitute Cause for termination of employment, as defined by Section 1.2 of the Agreement, Executive will automatically and immediately forfeit Executive’s entire Annual Bonus. If the Annual Bonus has already been paid to Executive, such Annual Bonus will be deemed unearned, and the Company shall have the right to recover the entire amount of the Annual Bonus paid to Executive for the calendar year(s) in which such misconduct or other act or omission constituting Cause occurred. Without limiting the foregoing, any such misconduct or other act or omission constituting Cause will subject Executive to disciplinary action up to and including termination of employment. In addition, any Annual Bonus paid to Executive for the calendar year(s) in which such misconduct or other Cause occurred is subject to recoupment in accordance with The Dodd–Frank Wall Street Reform and Consumer Protection Act and any implementing regulations, any other clawback policy adopted by the Company and any compensation recovery policy otherwise required by applicable laws, regulations, or statutes. Recovery by the Company of an Annual Bonus in accordance with this Section shall not constitute an event giving rise to a right by Executive to voluntarily terminate Executive’s employment for Cause based on such recovery by the Company, nor shall it constitute “constructive termination”, or any similar term or circumstance under the Agreement or any other plan or agreement with the Company.</w:t>
      </w:r>
    </w:p>
    <w:p>
      <w:pPr>
        <w:spacing w:after="0" w:line="163"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20"/>
          <w:szCs w:val="20"/>
          <w:b w:val="1"/>
          <w:bCs w:val="1"/>
          <w:color w:val="auto"/>
        </w:rPr>
        <w:t>3.3 New Hire Stock Option</w:t>
      </w:r>
      <w:r>
        <w:rPr>
          <w:rFonts w:ascii="Times New Roman" w:cs="Times New Roman" w:eastAsia="Times New Roman" w:hAnsi="Times New Roman"/>
          <w:sz w:val="20"/>
          <w:szCs w:val="20"/>
          <w:color w:val="auto"/>
        </w:rPr>
        <w:t>. In accordance with the terms approved by Board or the Company’s Compensation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Committee of the Board, the Executive shall receive a time-based option (the “</w:t>
      </w:r>
      <w:r>
        <w:rPr>
          <w:rFonts w:ascii="Times New Roman" w:cs="Times New Roman" w:eastAsia="Times New Roman" w:hAnsi="Times New Roman"/>
          <w:sz w:val="20"/>
          <w:szCs w:val="20"/>
          <w:b w:val="1"/>
          <w:bCs w:val="1"/>
          <w:color w:val="auto"/>
        </w:rPr>
        <w:t>New Hire Option</w:t>
      </w:r>
      <w:r>
        <w:rPr>
          <w:rFonts w:ascii="Times New Roman" w:cs="Times New Roman" w:eastAsia="Times New Roman" w:hAnsi="Times New Roman"/>
          <w:sz w:val="20"/>
          <w:szCs w:val="20"/>
          <w:color w:val="auto"/>
        </w:rPr>
        <w:t>”) to purchase two million and five hundred thousand (2,500,000) shares of Company common stock having an exercise price equal to the fair market value of Company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260"/>
          </w:cols>
          <w:pgMar w:left="660" w:top="1440" w:right="979" w:bottom="1440" w:gutter="0" w:footer="0" w:header="0"/>
        </w:sectPr>
      </w:pPr>
    </w:p>
    <w:bookmarkStart w:id="101" w:name="page102"/>
    <w:bookmarkEnd w:id="101"/>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common stock, as reported by the Nasdaq Global Select Market, on the first date of Executive’s employment, and vesting with respect to 12.5% of the shares on the six-month anniversary of the Executive’s first date of employment and with respect to the remaining shares on each monthly anniversary of the Executive’s first date of employment in equal installments over 42 months thereafter. The New Hire Option serves as an inducement material to Executive entering into employment with the Company and will be granted under the Company’s Equity Incentive Plan as non-statutory stock options. The vesting of the New Hire Option shall be subject to Executive’s continued service to the Company through the applicable vesting dates, provided, that upon the occurrence of a Change of Control, subject to Executive’s continued service to the Company through the date of such Change of Control, the New Hire Option shall vest and become exercisable with respect to one hundred percent (100%) of the unvested shares subject thereto. The New Hire Option otherwise shall be subject to and governed in all respects by the terms of the Company’s 2018 Inducement Award Plan and the stock option agreement for the option grant to be entered into between the Company and Executive.</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3.4 Standard Company Benefits; Vacation. </w:t>
      </w:r>
      <w:r>
        <w:rPr>
          <w:rFonts w:ascii="Times New Roman" w:cs="Times New Roman" w:eastAsia="Times New Roman" w:hAnsi="Times New Roman"/>
          <w:sz w:val="20"/>
          <w:szCs w:val="20"/>
          <w:color w:val="auto"/>
        </w:rPr>
        <w:t>Executive shall be entitled to all rights and benefits for which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eligible under the terms and conditions of the Company’s benefit and compensation plans, practices, policies, and programs, as in effect from time to time, that are provided by the Company to its executive employees generally. Except as specifically provided herein, nothing in this Agreement is construed or interpreted to provide greater rights, participation, coverage, or benefits under such benefit plans or programs provided to executive employees pursuant to the terms and conditions of such benefit plans and programs. Executive will be eligible for vacation accruals in accordance with the Company’s current time off policy, starting with twenty (20) days per year.</w:t>
      </w:r>
    </w:p>
    <w:p>
      <w:pPr>
        <w:spacing w:after="0" w:line="186" w:lineRule="exact"/>
        <w:rPr>
          <w:sz w:val="20"/>
          <w:szCs w:val="20"/>
          <w:color w:val="auto"/>
        </w:rPr>
      </w:pPr>
    </w:p>
    <w:p>
      <w:pPr>
        <w:jc w:val="both"/>
        <w:ind w:right="20" w:firstLine="649"/>
        <w:spacing w:after="0" w:line="254" w:lineRule="auto"/>
        <w:rPr>
          <w:sz w:val="20"/>
          <w:szCs w:val="20"/>
          <w:color w:val="auto"/>
        </w:rPr>
      </w:pPr>
      <w:r>
        <w:rPr>
          <w:rFonts w:ascii="Times New Roman" w:cs="Times New Roman" w:eastAsia="Times New Roman" w:hAnsi="Times New Roman"/>
          <w:sz w:val="20"/>
          <w:szCs w:val="20"/>
          <w:b w:val="1"/>
          <w:bCs w:val="1"/>
          <w:color w:val="auto"/>
        </w:rPr>
        <w:t>3.5 Sign-On Bonus</w:t>
      </w:r>
      <w:r>
        <w:rPr>
          <w:rFonts w:ascii="Times New Roman" w:cs="Times New Roman" w:eastAsia="Times New Roman" w:hAnsi="Times New Roman"/>
          <w:sz w:val="20"/>
          <w:szCs w:val="20"/>
          <w:color w:val="auto"/>
        </w:rPr>
        <w:t>. Executive shall be paid a cash sign-on bonus in the amount of $90,000. The Sign-On Bonus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paid on the first scheduled payroll following the Effective Date, provided however, if Executive has voluntarily left the Company and is no longer employed by the Company on the first anniversary of the Effective Date, the Sign-On Bonus will be deemed unearned, and the Company shall have the right to recover the entire portion, which shall be reimbursed by Executive to the Company within thirty (30) days after such voluntary departure by Executive. The Sign-On Bonus will be subject to applicable taxes.</w:t>
      </w:r>
    </w:p>
    <w:p>
      <w:pPr>
        <w:spacing w:after="0" w:line="177" w:lineRule="exact"/>
        <w:rPr>
          <w:sz w:val="20"/>
          <w:szCs w:val="20"/>
          <w:color w:val="auto"/>
        </w:rPr>
      </w:pPr>
    </w:p>
    <w:p>
      <w:pPr>
        <w:jc w:val="both"/>
        <w:ind w:right="20" w:firstLine="648"/>
        <w:spacing w:after="0" w:line="251" w:lineRule="auto"/>
        <w:rPr>
          <w:sz w:val="20"/>
          <w:szCs w:val="20"/>
          <w:color w:val="auto"/>
        </w:rPr>
      </w:pPr>
      <w:r>
        <w:rPr>
          <w:rFonts w:ascii="Times New Roman" w:cs="Times New Roman" w:eastAsia="Times New Roman" w:hAnsi="Times New Roman"/>
          <w:sz w:val="20"/>
          <w:szCs w:val="20"/>
          <w:color w:val="auto"/>
        </w:rPr>
        <w:t>If the Company determines, in its reasonable discretion, that Executive has engaged in any misconduct or has otherwise engaged in any act or omission that would constitute Cause for termination of employment, as defined by Section 1.2 of this Agreement, the Sign-On Bonus will be deemed unearned, and the Company shall have the right to recover the entire amount of the Sign-On Bonus. Without limiting the foregoing, any such misconduct or other act or omission constituting Cause will subject Executive to disciplinary action up to and including termination of employment. The Sign-On Bonus is subject to recoupment in accordance with The Dodd–Frank Wall Street Reform and Consumer Protection Act and any implementing regulations, any other clawback policy adopted by the Company and any compensation recovery policy otherwise required by applicable laws, regulations or statutes.</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Recovery by the Company of the Sign-On Bonus in accordance with this Section shall not constitute an event giving rise to a right by Executive to voluntarily terminate his employment for Cause based on such recovery by Company, nor shall it constitute “constructive termination,” or any similar term or circumstance under the Agreement or any other plan or agreement with the Company. If the Executive’s employment terminates for any reason other than a Covered Termination, the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260"/>
          </w:cols>
          <w:pgMar w:left="660" w:top="1440" w:right="979" w:bottom="1440" w:gutter="0" w:footer="0" w:header="0"/>
        </w:sectPr>
      </w:pPr>
    </w:p>
    <w:bookmarkStart w:id="102" w:name="page103"/>
    <w:bookmarkEnd w:id="102"/>
    <w:p>
      <w:pPr>
        <w:spacing w:after="0" w:line="189"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color w:val="auto"/>
        </w:rPr>
        <w:t>amounts paid under this Section will be repayable to the Company within 60 days following the last day of employment.</w:t>
      </w:r>
    </w:p>
    <w:p>
      <w:pPr>
        <w:spacing w:after="0" w:line="225" w:lineRule="exact"/>
        <w:rPr>
          <w:sz w:val="20"/>
          <w:szCs w:val="20"/>
          <w:color w:val="auto"/>
        </w:rPr>
      </w:pPr>
    </w:p>
    <w:p>
      <w:pPr>
        <w:jc w:val="center"/>
        <w:ind w:right="-328"/>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jc w:val="center"/>
        <w:ind w:right="-328"/>
        <w:spacing w:after="0"/>
        <w:rPr>
          <w:sz w:val="20"/>
          <w:szCs w:val="20"/>
          <w:color w:val="auto"/>
        </w:rPr>
      </w:pPr>
      <w:r>
        <w:rPr>
          <w:rFonts w:ascii="Times New Roman" w:cs="Times New Roman" w:eastAsia="Times New Roman" w:hAnsi="Times New Roman"/>
          <w:sz w:val="20"/>
          <w:szCs w:val="20"/>
          <w:b w:val="1"/>
          <w:bCs w:val="1"/>
          <w:color w:val="auto"/>
        </w:rPr>
        <w:t>SEVERANCE BENEFITS AND RELEASE</w:t>
      </w:r>
    </w:p>
    <w:p>
      <w:pPr>
        <w:spacing w:after="0" w:line="203" w:lineRule="exact"/>
        <w:rPr>
          <w:sz w:val="20"/>
          <w:szCs w:val="20"/>
          <w:color w:val="auto"/>
        </w:rPr>
      </w:pPr>
    </w:p>
    <w:p>
      <w:pPr>
        <w:ind w:left="9" w:right="2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4.1 Severance Benefits. </w:t>
      </w:r>
      <w:r>
        <w:rPr>
          <w:rFonts w:ascii="Times New Roman" w:cs="Times New Roman" w:eastAsia="Times New Roman" w:hAnsi="Times New Roman"/>
          <w:sz w:val="20"/>
          <w:szCs w:val="20"/>
          <w:color w:val="auto"/>
        </w:rPr>
        <w:t>If Executive’s employment terminates due to a Covered Termination after the date of execution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 Agreement, Executive shall receive:</w:t>
      </w:r>
    </w:p>
    <w:p>
      <w:pPr>
        <w:spacing w:after="0" w:line="142" w:lineRule="exact"/>
        <w:rPr>
          <w:sz w:val="20"/>
          <w:szCs w:val="20"/>
          <w:color w:val="auto"/>
        </w:rPr>
      </w:pPr>
    </w:p>
    <w:p>
      <w:pPr>
        <w:jc w:val="both"/>
        <w:ind w:left="9" w:right="20" w:firstLine="1287"/>
        <w:spacing w:after="0" w:line="253" w:lineRule="auto"/>
        <w:tabs>
          <w:tab w:leader="none" w:pos="1758" w:val="left"/>
        </w:tabs>
        <w:numPr>
          <w:ilvl w:val="1"/>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Payment of Accrued Obligations Upon Termination of Employment</w:t>
      </w:r>
      <w:r>
        <w:rPr>
          <w:rFonts w:ascii="Times New Roman" w:cs="Times New Roman" w:eastAsia="Times New Roman" w:hAnsi="Times New Roman"/>
          <w:sz w:val="20"/>
          <w:szCs w:val="20"/>
          <w:color w:val="auto"/>
        </w:rPr>
        <w:t>. Upon a termination of Executive’s employment for any reason at any time following the Effective Date, the Company shall pay to Executive in a single lump-sum cash payment as soon as administratively practicable following the date of termination, the aggregate amount of Executive’s (A) earned but unpaid Base Salary, and (B) accrued but unpaid vacation pay. In addition, Executive shall be promptly paid for incurred but unreimbursed business expenses upon Executive’s submission of such expenses in accordance with the Company’s expense reimbursement policies. The amounts set forth in this Section 4.1(i) are collectively referred to as the “</w:t>
      </w:r>
      <w:r>
        <w:rPr>
          <w:rFonts w:ascii="Times New Roman" w:cs="Times New Roman" w:eastAsia="Times New Roman" w:hAnsi="Times New Roman"/>
          <w:sz w:val="20"/>
          <w:szCs w:val="20"/>
          <w:b w:val="1"/>
          <w:bCs w:val="1"/>
          <w:color w:val="auto"/>
        </w:rPr>
        <w:t>Accrued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Obligations</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b w:val="1"/>
          <w:bCs w:val="1"/>
          <w:color w:val="auto"/>
        </w:rPr>
      </w:pPr>
    </w:p>
    <w:p>
      <w:pPr>
        <w:ind w:left="9" w:right="20" w:firstLine="1287"/>
        <w:spacing w:after="0" w:line="283" w:lineRule="auto"/>
        <w:tabs>
          <w:tab w:leader="none" w:pos="1932" w:val="left"/>
        </w:tabs>
        <w:numPr>
          <w:ilvl w:val="1"/>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Severance Upon a Covered Termination</w:t>
      </w:r>
      <w:r>
        <w:rPr>
          <w:rFonts w:ascii="Times New Roman" w:cs="Times New Roman" w:eastAsia="Times New Roman" w:hAnsi="Times New Roman"/>
          <w:sz w:val="20"/>
          <w:szCs w:val="20"/>
          <w:color w:val="auto"/>
        </w:rPr>
        <w:t>. If Executive’s employment terminates due to a Covered Termination at any time after the Effective Date, then, in addition to the Accrued Obligations:</w:t>
      </w:r>
    </w:p>
    <w:p>
      <w:pPr>
        <w:spacing w:after="0" w:line="159" w:lineRule="exact"/>
        <w:rPr>
          <w:rFonts w:ascii="Times New Roman" w:cs="Times New Roman" w:eastAsia="Times New Roman" w:hAnsi="Times New Roman"/>
          <w:sz w:val="20"/>
          <w:szCs w:val="20"/>
          <w:b w:val="1"/>
          <w:bCs w:val="1"/>
          <w:color w:val="auto"/>
        </w:rPr>
      </w:pPr>
    </w:p>
    <w:p>
      <w:pPr>
        <w:jc w:val="both"/>
        <w:ind w:left="9" w:right="20" w:firstLine="1935"/>
        <w:spacing w:after="0" w:line="261" w:lineRule="auto"/>
        <w:tabs>
          <w:tab w:leader="none" w:pos="2435" w:val="left"/>
        </w:tabs>
        <w:numPr>
          <w:ilvl w:val="2"/>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Executive shall be paid target Annual Bonus for the fiscal year in which the termination occurs, prorated for the length of service provided during the calendar year through the termination date, payable in a single lump-sum payment within thirty (30) days following the date of termination;</w:t>
      </w:r>
    </w:p>
    <w:p>
      <w:pPr>
        <w:spacing w:after="0" w:line="167" w:lineRule="exact"/>
        <w:rPr>
          <w:rFonts w:ascii="Times New Roman" w:cs="Times New Roman" w:eastAsia="Times New Roman" w:hAnsi="Times New Roman"/>
          <w:sz w:val="20"/>
          <w:szCs w:val="20"/>
          <w:b w:val="1"/>
          <w:bCs w:val="1"/>
          <w:color w:val="auto"/>
        </w:rPr>
      </w:pPr>
    </w:p>
    <w:p>
      <w:pPr>
        <w:jc w:val="both"/>
        <w:ind w:left="9" w:right="20" w:firstLine="1936"/>
        <w:spacing w:after="0" w:line="239" w:lineRule="auto"/>
        <w:tabs>
          <w:tab w:leader="none" w:pos="2380" w:val="left"/>
        </w:tabs>
        <w:numPr>
          <w:ilvl w:val="2"/>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Executive shall be paid an aggregate amount equal to twelve (12) months of Executive’s Base Salary in effect on the date of termination, payable to Executive in a single lump-sum amount on the sixtieth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following the date of termination;</w:t>
      </w:r>
    </w:p>
    <w:p>
      <w:pPr>
        <w:spacing w:after="0" w:line="187" w:lineRule="exact"/>
        <w:rPr>
          <w:rFonts w:ascii="Times New Roman" w:cs="Times New Roman" w:eastAsia="Times New Roman" w:hAnsi="Times New Roman"/>
          <w:sz w:val="20"/>
          <w:szCs w:val="20"/>
          <w:b w:val="1"/>
          <w:bCs w:val="1"/>
          <w:color w:val="auto"/>
        </w:rPr>
      </w:pPr>
    </w:p>
    <w:p>
      <w:pPr>
        <w:jc w:val="both"/>
        <w:ind w:left="9" w:right="20" w:firstLine="1935"/>
        <w:spacing w:after="0" w:line="275" w:lineRule="auto"/>
        <w:tabs>
          <w:tab w:leader="none" w:pos="2398" w:val="left"/>
        </w:tabs>
        <w:numPr>
          <w:ilvl w:val="2"/>
          <w:numId w:val="8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Executive and Executive’s covered dependents will be eligible to continue their health care benefit coverage as permitted by COBRA (Internal Revenue Code Section 4980B) at the Company’s expense for the lesser of (i) twelve</w:t>
      </w:r>
    </w:p>
    <w:p>
      <w:pPr>
        <w:jc w:val="both"/>
        <w:ind w:left="9" w:right="20" w:hanging="9"/>
        <w:spacing w:after="0" w:line="249" w:lineRule="auto"/>
        <w:tabs>
          <w:tab w:leader="none" w:pos="38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following the Covered Termination, or (ii) until the Executive and/or Executive’s covered dependents are no longer eligible for COBRA (for clarification and as an example, in the event Executive is covered by another health plan, etc.). Thereafter, Executive and Executive’s covered dependents shall be entitled to maintain coverage for Executive and Executive’s eligible dependents at Executive’s own expense for the balance of the period that Executive is entitled to coverage under COBRA; and</w:t>
      </w:r>
    </w:p>
    <w:p>
      <w:pPr>
        <w:spacing w:after="0" w:line="195" w:lineRule="exact"/>
        <w:rPr>
          <w:rFonts w:ascii="Times New Roman" w:cs="Times New Roman" w:eastAsia="Times New Roman" w:hAnsi="Times New Roman"/>
          <w:sz w:val="20"/>
          <w:szCs w:val="20"/>
          <w:color w:val="auto"/>
        </w:rPr>
      </w:pPr>
    </w:p>
    <w:p>
      <w:pPr>
        <w:jc w:val="both"/>
        <w:ind w:left="9" w:firstLine="1935"/>
        <w:spacing w:after="0" w:line="241" w:lineRule="auto"/>
        <w:tabs>
          <w:tab w:leader="none" w:pos="2393" w:val="left"/>
        </w:tabs>
        <w:numPr>
          <w:ilvl w:val="2"/>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New Hire Option, along with any subsequent options or other exercisable equity interest in the Company held by Executive as of the date of termination shall remain outstanding and exercisable through the earlier of (i) the second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20"/>
          <w:szCs w:val="20"/>
          <w:color w:val="auto"/>
        </w:rPr>
        <w:t xml:space="preserve">) anniversary of the date of termination or (ii) the original expiration date of the option or other equity interest. Notwithstanding the foregoing, if Executive’s employment terminates due to a Covered Termination at any time after the Effective Date, Executive will receive the greater of (i) the severance benefits above, or (ii) the severance benefits provided for in the Amended and Restated Severance Plan attached hereto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which may be amended from time-to-time by the Company at the Company’s sole discretion, that is in effect at the time of termination. For the avoidance of doubt, all</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269"/>
          </w:cols>
          <w:pgMar w:left="651" w:top="1440" w:right="979" w:bottom="1440" w:gutter="0" w:footer="0" w:header="0"/>
        </w:sectPr>
      </w:pPr>
    </w:p>
    <w:bookmarkStart w:id="103" w:name="page104"/>
    <w:bookmarkEnd w:id="103"/>
    <w:p>
      <w:pPr>
        <w:spacing w:after="0" w:line="18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9"/>
          <w:szCs w:val="19"/>
          <w:color w:val="auto"/>
        </w:rPr>
        <w:t>amounts payable under this Agreement shall be subject to applicable federal, state, local or foreign tax withholding requirements.</w:t>
      </w:r>
    </w:p>
    <w:p>
      <w:pPr>
        <w:spacing w:after="0" w:line="237" w:lineRule="exact"/>
        <w:rPr>
          <w:sz w:val="20"/>
          <w:szCs w:val="20"/>
          <w:color w:val="auto"/>
        </w:rPr>
      </w:pPr>
    </w:p>
    <w:p>
      <w:pPr>
        <w:jc w:val="both"/>
        <w:ind w:left="8" w:firstLine="647"/>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4.2 Parachute Payments. </w:t>
      </w:r>
      <w:r>
        <w:rPr>
          <w:rFonts w:ascii="Times New Roman" w:cs="Times New Roman" w:eastAsia="Times New Roman" w:hAnsi="Times New Roman"/>
          <w:sz w:val="20"/>
          <w:szCs w:val="20"/>
          <w:color w:val="auto"/>
        </w:rPr>
        <w:t>If any payment or benefit Executive would receive in connection with a Change in Control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the Company or otherwise (“</w:t>
      </w:r>
      <w:r>
        <w:rPr>
          <w:rFonts w:ascii="Times New Roman" w:cs="Times New Roman" w:eastAsia="Times New Roman" w:hAnsi="Times New Roman"/>
          <w:sz w:val="20"/>
          <w:szCs w:val="20"/>
          <w:b w:val="1"/>
          <w:bCs w:val="1"/>
          <w:color w:val="auto"/>
        </w:rPr>
        <w:t>Payment</w:t>
      </w:r>
      <w:r>
        <w:rPr>
          <w:rFonts w:ascii="Times New Roman" w:cs="Times New Roman" w:eastAsia="Times New Roman" w:hAnsi="Times New Roman"/>
          <w:sz w:val="20"/>
          <w:szCs w:val="20"/>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20"/>
          <w:szCs w:val="20"/>
          <w:b w:val="1"/>
          <w:bCs w:val="1"/>
          <w:color w:val="auto"/>
        </w:rPr>
        <w:t>Excise Tax</w:t>
      </w:r>
      <w:r>
        <w:rPr>
          <w:rFonts w:ascii="Times New Roman" w:cs="Times New Roman" w:eastAsia="Times New Roman" w:hAnsi="Times New Roman"/>
          <w:sz w:val="20"/>
          <w:szCs w:val="20"/>
          <w:color w:val="auto"/>
        </w:rPr>
        <w:t>”), then such Payment shall be reduced to the Reduced Amount. The “Reduced Amount”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Executive’s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shall occur in the following order unless Executive elects in writing a different order (provided, however, that such election shall be subject to Company approval): reduction of cash payments; cancellation of accelerated vesting of stock awards; reduction of employee benefits. In the event that acceleration of vesting of stock award compensation is to be reduced, such acceleration of vesting shall be cancelled in the reverse order of the date of grant of Executive’s stock awards unless Executive elects in writing a different order for cancellation.</w:t>
      </w:r>
    </w:p>
    <w:p>
      <w:pPr>
        <w:spacing w:after="0" w:line="197" w:lineRule="exact"/>
        <w:rPr>
          <w:sz w:val="20"/>
          <w:szCs w:val="20"/>
          <w:color w:val="auto"/>
        </w:rPr>
      </w:pPr>
    </w:p>
    <w:p>
      <w:pPr>
        <w:jc w:val="both"/>
        <w:ind w:left="8"/>
        <w:spacing w:after="0" w:line="251" w:lineRule="auto"/>
        <w:rPr>
          <w:sz w:val="20"/>
          <w:szCs w:val="20"/>
          <w:color w:val="auto"/>
        </w:rPr>
      </w:pPr>
      <w:r>
        <w:rPr>
          <w:rFonts w:ascii="Times New Roman" w:cs="Times New Roman" w:eastAsia="Times New Roman" w:hAnsi="Times New Roman"/>
          <w:sz w:val="20"/>
          <w:szCs w:val="20"/>
          <w:color w:val="auto"/>
        </w:rPr>
        <w:t>The Company for general audit purposes shall engage a nationally recognized public accounting firm (the “</w:t>
      </w:r>
      <w:r>
        <w:rPr>
          <w:rFonts w:ascii="Times New Roman" w:cs="Times New Roman" w:eastAsia="Times New Roman" w:hAnsi="Times New Roman"/>
          <w:sz w:val="20"/>
          <w:szCs w:val="20"/>
          <w:b w:val="1"/>
          <w:bCs w:val="1"/>
          <w:color w:val="auto"/>
        </w:rPr>
        <w:t>Accounting Firm</w:t>
      </w:r>
      <w:r>
        <w:rPr>
          <w:rFonts w:ascii="Times New Roman" w:cs="Times New Roman" w:eastAsia="Times New Roman" w:hAnsi="Times New Roman"/>
          <w:sz w:val="20"/>
          <w:szCs w:val="20"/>
          <w:color w:val="auto"/>
        </w:rPr>
        <w:t>”) to perform the foregoing calculations. The Company shall bear all expenses with respect to the determinations by such accounting firm required to be made hereunder. The Accounting Firm engaged to make the determinations hereunder shall provide its calculations, together with detailed supporting documentation, to the Company and Executive within fifteen (15) calendar days after the date on which Executive’s right to a Payment is triggered (if requested at that time by the Company or Executive) or such other time as requested by the Company or Executive. If the Accounting Firm determines that no Excise Tax is payable with respect to a Payment, either before or after the application of the Reduced Amount, it shall furnish the Company and Executive with an opinion reasonably acceptable to Executive that no Excise Tax will be imposed with respect to such Payment. Any good faith determinations of the accounting firm made hereunder shall be final, binding, and conclusive upon the Company and Executive.</w:t>
      </w:r>
    </w:p>
    <w:p>
      <w:pPr>
        <w:spacing w:after="0" w:line="187" w:lineRule="exact"/>
        <w:rPr>
          <w:sz w:val="20"/>
          <w:szCs w:val="20"/>
          <w:color w:val="auto"/>
        </w:rPr>
      </w:pPr>
    </w:p>
    <w:p>
      <w:pPr>
        <w:jc w:val="both"/>
        <w:ind w:left="8" w:firstLine="6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4.3 Release. </w:t>
      </w:r>
      <w:r>
        <w:rPr>
          <w:rFonts w:ascii="Times New Roman" w:cs="Times New Roman" w:eastAsia="Times New Roman" w:hAnsi="Times New Roman"/>
          <w:sz w:val="20"/>
          <w:szCs w:val="20"/>
          <w:color w:val="auto"/>
        </w:rPr>
        <w:t>Notwithstanding the foregoing, Executive’s right to receive the amounts provided for in Sections 4.1(ii)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4.2, and the Change of Control acceleration in any stock option agreement shall be subject to and conditioned upon Executive’s execution and non-revocation of a release of claims in substantially the form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Release</w:t>
      </w:r>
      <w:r>
        <w:rPr>
          <w:rFonts w:ascii="Times New Roman" w:cs="Times New Roman" w:eastAsia="Times New Roman" w:hAnsi="Times New Roman"/>
          <w:sz w:val="20"/>
          <w:szCs w:val="20"/>
          <w:color w:val="auto"/>
        </w:rPr>
        <w:t>”) (as such form may be modified to take into account changes in the law) within fifty (50) days following the termination date. Such Release shall specifically relate to all of Executive’s rights and claims in existence at the time of such execution and shall confirm Executive’s obligations under the Proprietary Information and Inventions Agreement (as defined below). It is understood that Executive has a certain period to consider whether to execute such Release, as set forth in the Release, and Executive may revoke such Release within seven</w:t>
      </w:r>
    </w:p>
    <w:p>
      <w:pPr>
        <w:spacing w:after="0" w:line="6" w:lineRule="exact"/>
        <w:rPr>
          <w:sz w:val="20"/>
          <w:szCs w:val="20"/>
          <w:color w:val="auto"/>
        </w:rPr>
      </w:pPr>
    </w:p>
    <w:p>
      <w:pPr>
        <w:jc w:val="both"/>
        <w:ind w:left="8" w:hanging="8"/>
        <w:spacing w:after="0" w:line="253" w:lineRule="auto"/>
        <w:tabs>
          <w:tab w:leader="none" w:pos="322"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after execution. In the event Executive does not execute such Release within the applicable period, or if Executive revokes such Release within the subsequent seven (7) business day period, none of the aforesaid benefits set forth in Sections 4.1(ii), 4.2, and the Change of Control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268"/>
          </w:cols>
          <w:pgMar w:left="652" w:top="1440" w:right="979" w:bottom="1440" w:gutter="0" w:footer="0" w:header="0"/>
        </w:sectPr>
      </w:pPr>
    </w:p>
    <w:bookmarkStart w:id="104" w:name="page105"/>
    <w:bookmarkEnd w:id="104"/>
    <w:p>
      <w:pPr>
        <w:jc w:val="both"/>
        <w:spacing w:after="0" w:line="283" w:lineRule="auto"/>
        <w:rPr>
          <w:sz w:val="20"/>
          <w:szCs w:val="20"/>
          <w:color w:val="auto"/>
        </w:rPr>
      </w:pPr>
      <w:r>
        <w:rPr>
          <w:rFonts w:ascii="Times New Roman" w:cs="Times New Roman" w:eastAsia="Times New Roman" w:hAnsi="Times New Roman"/>
          <w:sz w:val="20"/>
          <w:szCs w:val="20"/>
          <w:color w:val="auto"/>
        </w:rPr>
        <w:t>acceleration in any stock option agreement shall be payable to Executive under this Agreement and this Agreement shall be null and void.</w:t>
      </w:r>
    </w:p>
    <w:p>
      <w:pPr>
        <w:spacing w:after="0" w:line="14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4.4 Section 409A. </w:t>
      </w:r>
      <w:r>
        <w:rPr>
          <w:rFonts w:ascii="Times New Roman" w:cs="Times New Roman" w:eastAsia="Times New Roman" w:hAnsi="Times New Roman"/>
          <w:sz w:val="20"/>
          <w:szCs w:val="20"/>
          <w:color w:val="auto"/>
        </w:rPr>
        <w:t>Notwithstanding any provision to the contrary in this Agreement, if Executive is deemed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at the time of the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(a) the expiration of the six-month period measured from the date of Executive’s Separation from Service or (b) the date of Executive’s death. Upon the first business day following the expiration of the applicable Code Section 409A(a)(2)(B)(i) period, all payments deferred pursuant to this Section 4.4 shall be paid in a lump sum to Executive (or Executive’s estate or beneficiaries), and any remaining payments due under the Agreement shall be paid as otherwise provided herein. For purposes of Section 409A of the Code, Executive’s right to receive the payments of compensation pursuant to the Agreement shall be treated as a right to receive a series of separate payments and accordingly, each payment shall at all times be considered a separate and distinct payment.</w:t>
      </w:r>
    </w:p>
    <w:p>
      <w:pPr>
        <w:spacing w:after="0" w:line="189" w:lineRule="exact"/>
        <w:rPr>
          <w:sz w:val="20"/>
          <w:szCs w:val="20"/>
          <w:color w:val="auto"/>
        </w:rPr>
      </w:pPr>
    </w:p>
    <w:p>
      <w:pPr>
        <w:jc w:val="both"/>
        <w:ind w:right="20"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4.5 Mitigation. </w:t>
      </w:r>
      <w:r>
        <w:rPr>
          <w:rFonts w:ascii="Times New Roman" w:cs="Times New Roman" w:eastAsia="Times New Roman" w:hAnsi="Times New Roman"/>
          <w:sz w:val="20"/>
          <w:szCs w:val="20"/>
          <w:color w:val="auto"/>
        </w:rPr>
        <w:t>Executive shall not be required to mitigate damages or the amount of any payment provided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by seeking other employment or otherwise, nor shall the amount of any payment provided for under this Agreement be reduced by any compensation earned by Executive as a result of employment by another employer or by any retirement benefits received by Executive after the date of the Covered Termination, or otherwise.</w:t>
      </w:r>
    </w:p>
    <w:p>
      <w:pPr>
        <w:spacing w:after="0" w:line="1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PROPRIETARY INFORMATION OBLIGATIONS</w:t>
      </w:r>
    </w:p>
    <w:p>
      <w:pPr>
        <w:spacing w:after="0" w:line="210"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5.1 Agreement. </w:t>
      </w:r>
      <w:r>
        <w:rPr>
          <w:rFonts w:ascii="Times New Roman" w:cs="Times New Roman" w:eastAsia="Times New Roman" w:hAnsi="Times New Roman"/>
          <w:sz w:val="20"/>
          <w:szCs w:val="20"/>
          <w:color w:val="auto"/>
        </w:rPr>
        <w:t>Executive agrees to abide by the Proprietary Information and Inventions Agreement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Proprietary Information and Inventions Agreement</w:t>
      </w:r>
      <w:r>
        <w:rPr>
          <w:rFonts w:ascii="Times New Roman" w:cs="Times New Roman" w:eastAsia="Times New Roman" w:hAnsi="Times New Roman"/>
          <w:sz w:val="20"/>
          <w:szCs w:val="20"/>
          <w:color w:val="auto"/>
        </w:rPr>
        <w:t xml:space="preserve">”) attached hereto as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5.2 Remedies. </w:t>
      </w:r>
      <w:r>
        <w:rPr>
          <w:rFonts w:ascii="Times New Roman" w:cs="Times New Roman" w:eastAsia="Times New Roman" w:hAnsi="Times New Roman"/>
          <w:sz w:val="20"/>
          <w:szCs w:val="20"/>
          <w:color w:val="auto"/>
        </w:rPr>
        <w:t>Executive’s duties under the Proprietary Information and Inventions Agreement shall survive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termination of Executive’s employment with the Company and the termination of this Agreement. Executive acknowledges that a remedy at law for any breach or threatened breach by Executive of the provisions of the Proprietary Information and Inventions Agreement would be inadequate, and Executive therefore agrees that the Company shall be entitled to injunctive relief in case of any such breach or threatened breach.</w:t>
      </w:r>
    </w:p>
    <w:p>
      <w:pPr>
        <w:spacing w:after="0" w:line="18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OUTSIDE ACTIVITIES</w:t>
      </w:r>
    </w:p>
    <w:p>
      <w:pPr>
        <w:spacing w:after="0" w:line="203"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6.1 No Other Employment. </w:t>
      </w:r>
      <w:r>
        <w:rPr>
          <w:rFonts w:ascii="Times New Roman" w:cs="Times New Roman" w:eastAsia="Times New Roman" w:hAnsi="Times New Roman"/>
          <w:sz w:val="20"/>
          <w:szCs w:val="20"/>
          <w:color w:val="auto"/>
        </w:rPr>
        <w:t>Except with the prior written consent of the Board, Executive shall not during the term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Executive’s employment with the Company, undertake or engage in any other employment, occupation, or business enterprise. Notwithstanding the foregoing, during the term of Executive’s employment with the Company, Executive may (a) undertake or engage in any other employment, occupation or business enterprise in which Executive is a passive investor, and/or (b) engage in civic and not-for-profit activities, in each case, so long as such activities do not materially interfere with the performance of Executive’s duties hereunder.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260"/>
          </w:cols>
          <w:pgMar w:left="660" w:top="1413" w:right="979" w:bottom="1440" w:gutter="0" w:footer="0" w:header="0"/>
        </w:sectPr>
      </w:pPr>
    </w:p>
    <w:bookmarkStart w:id="105" w:name="page106"/>
    <w:bookmarkEnd w:id="105"/>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6.2 No Conflicting Business Interests. </w:t>
      </w:r>
      <w:r>
        <w:rPr>
          <w:rFonts w:ascii="Times New Roman" w:cs="Times New Roman" w:eastAsia="Times New Roman" w:hAnsi="Times New Roman"/>
          <w:sz w:val="20"/>
          <w:szCs w:val="20"/>
          <w:color w:val="auto"/>
        </w:rPr>
        <w:t>During the term of Executive’s employment by the Company, except on behalf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the Company, Executive shall not directly or indirectly, whether as an officer, director, stockholder, partner, proprietor, associate, representative, consultant, or in any capacity whatsoever engage in, become financially interested in, be employed by, or have any business connection with any other person, corporation, firm, partnership, or other entity whatsoever which were known by Executive to compete directly with the Company, throughout the world, in any line of business engaged in (or planned to be engaged in) by the Company;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anything above to the contrary notwithstanding, Executive may own, as a passive investor, securities of any competitor corporation, so long as Executive’s direct holdings in any one such corporation shall not in the aggregate constitute more than 1% of the voting stock of such corporation.</w:t>
      </w:r>
    </w:p>
    <w:p>
      <w:pPr>
        <w:spacing w:after="0" w:line="2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NONINTERFERENCE</w:t>
      </w:r>
    </w:p>
    <w:p>
      <w:pPr>
        <w:spacing w:after="0" w:line="214"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0"/>
          <w:szCs w:val="20"/>
          <w:color w:val="auto"/>
        </w:rPr>
        <w:t>While employed by the Company, and for one (1) year immediately following the date on which Executive terminates employment or otherwise ceases providing services to the Company, Executive agrees not to interfere with the business of the Company by soliciting or attempting to solicit any employee of the Company to terminate such employee’s employment in order to become an employee, consultant, or independent contractor to or for any pharmaceutical or biotechnology competitor of the Company. Executive’s duties under this Article VII shall survive termination of Executive’s employment with the Company and the termination of this Agreement.</w:t>
      </w:r>
    </w:p>
    <w:p>
      <w:pPr>
        <w:spacing w:after="0" w:line="18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b w:val="1"/>
          <w:bCs w:val="1"/>
          <w:color w:val="auto"/>
        </w:rPr>
        <w:t>DEBARMENT</w:t>
      </w:r>
    </w:p>
    <w:p>
      <w:pPr>
        <w:spacing w:after="0" w:line="21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Executive certifies that Executive has never been: (a) debarred by any relevant authorities, pursuant to any applicable law, including, but not limited to, Section 306(a) and (b) of the US Federal Food, Drug, and Cosmetic Act; (b) convicted of any of the felonies identified among the Exclusion Authorities listed on the U.S. Department of Health and Human Services (HHS) Office of Inspector General website; or (c) listed as being suspended, debarred, or excluded, or otherwise ineligible to participate in Federal procurement or non-procurement programs, including, but not limited to, being listed on the List of Excluded Individuals/Entities (LEIE) database on the HHS Office of Inspector General website. If Executive becomes suspended, debarred, or excluded pursuant to any of the foregoing, Executive must notify the Company immediately in writing.</w:t>
      </w:r>
    </w:p>
    <w:p>
      <w:pPr>
        <w:spacing w:after="0" w:line="1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GENERAL PROVISIONS</w:t>
      </w:r>
    </w:p>
    <w:p>
      <w:pPr>
        <w:spacing w:after="0" w:line="203"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9.1 Notices. </w:t>
      </w:r>
      <w:r>
        <w:rPr>
          <w:rFonts w:ascii="Times New Roman" w:cs="Times New Roman" w:eastAsia="Times New Roman" w:hAnsi="Times New Roman"/>
          <w:sz w:val="20"/>
          <w:szCs w:val="20"/>
          <w:color w:val="auto"/>
        </w:rPr>
        <w:t>Any notices provided hereunder must be in writing and shall be deemed effective upon the earlier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personal delivery (including personal delivery by telex) or the third day after mailing by first class mail, to the Company at its primary office location and to Executive at Executive’s address as listed on the Company payroll.</w:t>
      </w:r>
    </w:p>
    <w:p>
      <w:pPr>
        <w:spacing w:after="0" w:line="175"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9.2 Section 409A. </w:t>
      </w:r>
      <w:r>
        <w:rPr>
          <w:rFonts w:ascii="Times New Roman" w:cs="Times New Roman" w:eastAsia="Times New Roman" w:hAnsi="Times New Roman"/>
          <w:sz w:val="20"/>
          <w:szCs w:val="20"/>
          <w:color w:val="auto"/>
        </w:rPr>
        <w:t>To the extend applicable, this Agreement shall be interpreted in accordance with Section 409A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Code and Department of Treasury regulations and other interpretative guidance issued thereunder, including without limitation any such regulations or other such guidance that may be issued after the Effective Date (“</w:t>
      </w:r>
      <w:r>
        <w:rPr>
          <w:rFonts w:ascii="Times New Roman" w:cs="Times New Roman" w:eastAsia="Times New Roman" w:hAnsi="Times New Roman"/>
          <w:sz w:val="20"/>
          <w:szCs w:val="20"/>
          <w:b w:val="1"/>
          <w:bCs w:val="1"/>
          <w:color w:val="auto"/>
        </w:rPr>
        <w:t>Section 409A</w:t>
      </w:r>
      <w:r>
        <w:rPr>
          <w:rFonts w:ascii="Times New Roman" w:cs="Times New Roman" w:eastAsia="Times New Roman" w:hAnsi="Times New Roman"/>
          <w:sz w:val="20"/>
          <w:szCs w:val="20"/>
          <w:color w:val="auto"/>
        </w:rPr>
        <w:t>”). Notwithstanding any provision of this Agreement to the contrary, in the event that following the Effective Date, the Company determines in good faith that any compensation or benefits payable under this Agreement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260"/>
          </w:cols>
          <w:pgMar w:left="660" w:top="1440" w:right="979" w:bottom="1440" w:gutter="0" w:footer="0" w:header="0"/>
        </w:sectPr>
      </w:pPr>
    </w:p>
    <w:bookmarkStart w:id="106" w:name="page107"/>
    <w:bookmarkEnd w:id="106"/>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may not be either exempt from or compliant with Section 409A, the Company may adopt such amendments to this Agreement or adopt other policies or procedures (including amendments, policies and procedures with retroactive effect), or take any other commercially reasonable actions necessary or appropriate to preserve the intended tax treatment of the compensation and benefits payable hereunder, including without limitation actions intended to (i) exempt the compensation and benefits payable under this Agreement from Section 409A, and/or (ii) comply with the requirements of Section 409A, provided, that this Section 8.2 does not, and shall not be construed so as to, create any obligation on the part of the Company to adopt any such amendments, policies or procedures or to take any other such actions or to create any liability on the part of the Company for any failure to do so.</w:t>
      </w:r>
    </w:p>
    <w:p>
      <w:pPr>
        <w:spacing w:after="0" w:line="191"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9.3 Severability. </w:t>
      </w:r>
      <w:r>
        <w:rPr>
          <w:rFonts w:ascii="Times New Roman" w:cs="Times New Roman" w:eastAsia="Times New Roman" w:hAnsi="Times New Roman"/>
          <w:sz w:val="20"/>
          <w:szCs w:val="20"/>
          <w:color w:val="auto"/>
        </w:rPr>
        <w:t>Whenever possible, each provision of this Agreement will be interpreted in such manner as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87"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9.4 Waiver. </w:t>
      </w:r>
      <w:r>
        <w:rPr>
          <w:rFonts w:ascii="Times New Roman" w:cs="Times New Roman" w:eastAsia="Times New Roman" w:hAnsi="Times New Roman"/>
          <w:sz w:val="20"/>
          <w:szCs w:val="20"/>
          <w:color w:val="auto"/>
        </w:rPr>
        <w:t>If either party should waive any breach of any provisions of this Agreement, they shall not thereby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deemed to have waived any preceding or succeeding breach of the same or any other provision of this Agreement.</w:t>
      </w:r>
    </w:p>
    <w:p>
      <w:pPr>
        <w:spacing w:after="0" w:line="165"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9.5 Complete Agreement. </w:t>
      </w:r>
      <w:r>
        <w:rPr>
          <w:rFonts w:ascii="Times New Roman" w:cs="Times New Roman" w:eastAsia="Times New Roman" w:hAnsi="Times New Roman"/>
          <w:sz w:val="19"/>
          <w:szCs w:val="19"/>
          <w:color w:val="auto"/>
        </w:rPr>
        <w:t>This Agreement and Exhibits A, B, C and D hereto constitute the entire agreement between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Executive and the Company and are the complete, final, and exclusive embodiment of their agreement with regard to this subject matter (except for the Equity Incentive Plan and the Inducement Plan and award agreements thereunder, the Amended and Restated Severance Plan, and any successors thereto). As of the Effective Date, this Agreement supersedes any prior agreement between Executive and the Company or any predecessor employer in its entirety. Executive and the Company acknowledge and agree that this Agreement is entered into without reliance on any promise or representation other than those expressly contained herein or therein and cannot be modified or amended except in a writing signed by a duly authorized officer of the Company.</w:t>
      </w:r>
    </w:p>
    <w:p>
      <w:pPr>
        <w:spacing w:after="0" w:line="156" w:lineRule="exact"/>
        <w:rPr>
          <w:sz w:val="20"/>
          <w:szCs w:val="20"/>
          <w:color w:val="auto"/>
        </w:rPr>
      </w:pPr>
    </w:p>
    <w:p>
      <w:pPr>
        <w:jc w:val="both"/>
        <w:ind w:right="20" w:firstLine="648"/>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9.6 Counterparts and Electronic Signatures. </w:t>
      </w:r>
      <w:r>
        <w:rPr>
          <w:rFonts w:ascii="Times New Roman" w:cs="Times New Roman" w:eastAsia="Times New Roman" w:hAnsi="Times New Roman"/>
          <w:sz w:val="19"/>
          <w:szCs w:val="19"/>
          <w:color w:val="auto"/>
        </w:rPr>
        <w:t>This Agreement may be executed in separate counterparts, any one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which need not contain signatures of more than one party, but all of which taken together will constitute one and the same Agreement. The parties agree that execution of this Agreement by industry standard electronic signature software and/or by exchanging PDF signatures shall have the same legal force and effect as the exchange of original signatures, and that in any proceeding arising under or relating to this Agreement, each party hereby waives any right to raise any defense or waiver based upon execution of this Agreement by means of such electronic signatures or maintenance of the executed agreement electronically.</w:t>
      </w:r>
    </w:p>
    <w:p>
      <w:pPr>
        <w:spacing w:after="0" w:line="186"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9.7 Headings. </w:t>
      </w:r>
      <w:r>
        <w:rPr>
          <w:rFonts w:ascii="Times New Roman" w:cs="Times New Roman" w:eastAsia="Times New Roman" w:hAnsi="Times New Roman"/>
          <w:sz w:val="20"/>
          <w:szCs w:val="20"/>
          <w:color w:val="auto"/>
        </w:rPr>
        <w:t>The headings of the sections hereof are inserted for convenience only and shall not be deemed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constitute a part hereof nor to affect the meaning thereof.</w:t>
      </w:r>
    </w:p>
    <w:p>
      <w:pPr>
        <w:spacing w:after="0" w:line="152"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9.8 Successors and Assigns. </w:t>
      </w:r>
      <w:r>
        <w:rPr>
          <w:rFonts w:ascii="Times New Roman" w:cs="Times New Roman" w:eastAsia="Times New Roman" w:hAnsi="Times New Roman"/>
          <w:sz w:val="20"/>
          <w:szCs w:val="20"/>
          <w:color w:val="auto"/>
        </w:rPr>
        <w:t>This Agreement is intended to bind and inure to the benefit of and be enforceable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and the Company, and their respective successors, assigns, heirs, executors, and administrators, except that Executive may not assign any of Executive’s duties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260"/>
          </w:cols>
          <w:pgMar w:left="660" w:top="1440" w:right="979" w:bottom="1440" w:gutter="0" w:footer="0" w:header="0"/>
        </w:sectPr>
      </w:pPr>
    </w:p>
    <w:bookmarkStart w:id="107" w:name="page108"/>
    <w:bookmarkEnd w:id="107"/>
    <w:p>
      <w:pPr>
        <w:spacing w:after="0" w:line="18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hereunder and Executive may not assign any of Executive’s rights hereunder, without the written consent of the Company, which shall not be withheld unreasonably.</w:t>
      </w:r>
    </w:p>
    <w:p>
      <w:pPr>
        <w:spacing w:after="0" w:line="142" w:lineRule="exact"/>
        <w:rPr>
          <w:sz w:val="20"/>
          <w:szCs w:val="20"/>
          <w:color w:val="auto"/>
        </w:rPr>
      </w:pPr>
    </w:p>
    <w:p>
      <w:pPr>
        <w:jc w:val="both"/>
        <w:ind w:firstLine="647"/>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9.9 Arbitration. </w:t>
      </w:r>
      <w:r>
        <w:rPr>
          <w:rFonts w:ascii="Times New Roman" w:cs="Times New Roman" w:eastAsia="Times New Roman" w:hAnsi="Times New Roman"/>
          <w:sz w:val="20"/>
          <w:szCs w:val="20"/>
          <w:color w:val="auto"/>
        </w:rPr>
        <w:t>In the event of any contractual, statutory or tort dispute or claim relating to or arising out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Executive’s employment relationship with the Company (including but not limited to any claims of wrongful termination or age, sex, race, or other discrimination, but not including workers’ compensation claims), Executive and the Company agree that all such disputes will be finally resolved by binding arbitration conducted by a single neutral arbitrator associated with the American Arbitration Association in Foster City, California. Executive and the Company hereby waive their respective rights to have any such disputes or claims tried to a judge or jury. However, the Company agrees that this arbitration provision will not apply to any claim, by either Executive or the Company, for injunctive relief. The administrative costs of any arbitration proceeding between Executive and the Company and the fees and costs of the arbitrator shall be borne by the Company.</w:t>
      </w:r>
    </w:p>
    <w:p>
      <w:pPr>
        <w:spacing w:after="0" w:line="188" w:lineRule="exact"/>
        <w:rPr>
          <w:sz w:val="20"/>
          <w:szCs w:val="20"/>
          <w:color w:val="auto"/>
        </w:rPr>
      </w:pPr>
    </w:p>
    <w:p>
      <w:pPr>
        <w:jc w:val="both"/>
        <w:ind w:right="20" w:firstLine="647"/>
        <w:spacing w:after="0" w:line="287" w:lineRule="auto"/>
        <w:rPr>
          <w:sz w:val="20"/>
          <w:szCs w:val="20"/>
          <w:color w:val="auto"/>
        </w:rPr>
      </w:pPr>
      <w:r>
        <w:rPr>
          <w:rFonts w:ascii="Times New Roman" w:cs="Times New Roman" w:eastAsia="Times New Roman" w:hAnsi="Times New Roman"/>
          <w:sz w:val="20"/>
          <w:szCs w:val="20"/>
          <w:b w:val="1"/>
          <w:bCs w:val="1"/>
          <w:color w:val="auto"/>
        </w:rPr>
        <w:t>9.10 Attorneys’ Fees</w:t>
      </w:r>
      <w:r>
        <w:rPr>
          <w:rFonts w:ascii="Times New Roman" w:cs="Times New Roman" w:eastAsia="Times New Roman" w:hAnsi="Times New Roman"/>
          <w:sz w:val="20"/>
          <w:szCs w:val="20"/>
          <w:color w:val="auto"/>
        </w:rPr>
        <w:t>. If either party hereto brings any action to enforce rights hereunder, each party in any such action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responsible for its own attorneys’ fees and costs incurred in connection with such action.</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b w:val="1"/>
          <w:bCs w:val="1"/>
          <w:color w:val="auto"/>
        </w:rPr>
        <w:t>9.11 Acknowledgement</w:t>
      </w:r>
      <w:r>
        <w:rPr>
          <w:rFonts w:ascii="Times New Roman" w:cs="Times New Roman" w:eastAsia="Times New Roman" w:hAnsi="Times New Roman"/>
          <w:sz w:val="20"/>
          <w:szCs w:val="20"/>
          <w:color w:val="auto"/>
        </w:rPr>
        <w:t>. Executive acknowledges that Executive (a) has had the opportunity to discuss this matter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and obtain advice from independent counsel of Executive’s own choice and has been advised to do so by the Company, (b) has carefully read and fully understands all the provisions of this Agreement, and (c) is knowingly and voluntarily entering into this Agreement. Executive represents that Executive (i) is familiar with the restrictive covenants set forth in the Proprietary Information and Inventions Agreement and (ii) is fully aware of Executive’s obligations thereunder.</w:t>
      </w:r>
    </w:p>
    <w:p>
      <w:pPr>
        <w:spacing w:after="0" w:line="16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9.12 Choice of Law. </w:t>
      </w:r>
      <w:r>
        <w:rPr>
          <w:rFonts w:ascii="Times New Roman" w:cs="Times New Roman" w:eastAsia="Times New Roman" w:hAnsi="Times New Roman"/>
          <w:sz w:val="20"/>
          <w:szCs w:val="20"/>
          <w:color w:val="auto"/>
        </w:rPr>
        <w:t>All questions concerning the construction, validity and interpretation of this Agreement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governed by the law of the State of California.</w:t>
      </w:r>
    </w:p>
    <w:p>
      <w:pPr>
        <w:spacing w:after="0" w:line="13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b w:val="1"/>
          <w:bCs w:val="1"/>
          <w:color w:val="auto"/>
        </w:rPr>
        <w:t>9.13 Personal Information</w:t>
      </w:r>
      <w:r>
        <w:rPr>
          <w:rFonts w:ascii="Times New Roman" w:cs="Times New Roman" w:eastAsia="Times New Roman" w:hAnsi="Times New Roman"/>
          <w:sz w:val="20"/>
          <w:szCs w:val="20"/>
          <w:color w:val="auto"/>
        </w:rPr>
        <w:t>. Executive understands that the Company may hold certain personal information about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him or her, including, but not limited to, your name, home address, telephone number, date of birth, social security number, salary, nationality, and job title (collectively, “</w:t>
      </w:r>
      <w:r>
        <w:rPr>
          <w:rFonts w:ascii="Times New Roman" w:cs="Times New Roman" w:eastAsia="Times New Roman" w:hAnsi="Times New Roman"/>
          <w:sz w:val="20"/>
          <w:szCs w:val="20"/>
          <w:b w:val="1"/>
          <w:bCs w:val="1"/>
          <w:color w:val="auto"/>
        </w:rPr>
        <w:t>Personal Data</w:t>
      </w:r>
      <w:r>
        <w:rPr>
          <w:rFonts w:ascii="Times New Roman" w:cs="Times New Roman" w:eastAsia="Times New Roman" w:hAnsi="Times New Roman"/>
          <w:sz w:val="20"/>
          <w:szCs w:val="20"/>
          <w:color w:val="auto"/>
        </w:rPr>
        <w:t>”). Certain Personal Data may also constitute “Sensitive Personal Data” within the meaning of applicable local law. Such data include, but are not limited to, Personal Data and any changes thereto, and other appropriate personal and financial data about you. The Company’s lawful basis for processing Personal Data and Sensitive Personal Data include fulfilling its role as an employer, compliance with law, and legitimate business interest. Executive hereby provides express consent to the Company to process such Personal Data and Sensitive Personal Data and to transfer any such Personal Data and Sensitive Personal Data to any third parties outside the country in which you are employed or retained, for purposes of administrating and managing your employment relationship with the Company. Executive may, at any time, review his or her Personal Data, request any necessary corrections to it, or withdraw his or her consent in writing by contacting the Company; however, withdrawal of your consent may affect your employment with the Company.</w:t>
      </w:r>
    </w:p>
    <w:p>
      <w:pPr>
        <w:spacing w:after="0" w:line="189" w:lineRule="exact"/>
        <w:rPr>
          <w:sz w:val="20"/>
          <w:szCs w:val="20"/>
          <w:color w:val="auto"/>
        </w:rPr>
      </w:pPr>
    </w:p>
    <w:p>
      <w:pPr>
        <w:jc w:val="both"/>
        <w:ind w:right="20" w:firstLine="647"/>
        <w:spacing w:after="0" w:line="260" w:lineRule="auto"/>
        <w:rPr>
          <w:sz w:val="20"/>
          <w:szCs w:val="20"/>
          <w:color w:val="auto"/>
        </w:rPr>
      </w:pPr>
      <w:r>
        <w:rPr>
          <w:rFonts w:ascii="Times New Roman" w:cs="Times New Roman" w:eastAsia="Times New Roman" w:hAnsi="Times New Roman"/>
          <w:sz w:val="20"/>
          <w:szCs w:val="20"/>
          <w:b w:val="1"/>
          <w:bCs w:val="1"/>
          <w:color w:val="auto"/>
        </w:rPr>
        <w:t>9.14 Eligibility to Work</w:t>
      </w:r>
      <w:r>
        <w:rPr>
          <w:rFonts w:ascii="Times New Roman" w:cs="Times New Roman" w:eastAsia="Times New Roman" w:hAnsi="Times New Roman"/>
          <w:sz w:val="20"/>
          <w:szCs w:val="20"/>
          <w:color w:val="auto"/>
        </w:rPr>
        <w:t>. In accordance with federal law, all new employees are required to present evidence of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eligibility to be employed in the United States and this Agreement is subject to proof of Executive’s ability to lawfully work in the United States. Accordingly, the Company requests that Executive provide the Company with appropriate documentation for this purpose within 72 hours of the first day of employment. Acceptable documents include, but are not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260"/>
          </w:cols>
          <w:pgMar w:left="660" w:top="1440" w:right="979" w:bottom="1440" w:gutter="0" w:footer="0" w:header="0"/>
        </w:sectPr>
      </w:pPr>
    </w:p>
    <w:bookmarkStart w:id="108" w:name="page109"/>
    <w:bookmarkEnd w:id="108"/>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limited to, a birth certificate, a passport, a visa, permanent residence card, or driver’s license and social security card.</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b w:val="1"/>
          <w:bCs w:val="1"/>
          <w:color w:val="auto"/>
        </w:rPr>
        <w:t>9.15 Pre-Employment Screenings as a Condition of Employment</w:t>
      </w:r>
      <w:r>
        <w:rPr>
          <w:rFonts w:ascii="Times New Roman" w:cs="Times New Roman" w:eastAsia="Times New Roman" w:hAnsi="Times New Roman"/>
          <w:sz w:val="19"/>
          <w:szCs w:val="19"/>
          <w:color w:val="auto"/>
        </w:rPr>
        <w:t>. As a condition of employment, Executive will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required to submit to a background check which must yield results considered acceptable to the Company. Standard screenings include verification of prior employment and education, a drug test, and a criminal history check. Additional screenings, such as a credit check or Department of Motor Vehicles record check, may be applicable based on job function. Further, the Company will require the receipt of professional references that are predominately positive in content and character. If the results of any of these screenings are determined by the Company to be noncompliant with its policies, procedures, or general business requirements, the Company reserves the right to unilaterally revoke this Agreement, with no obligation or liability to you.</w:t>
      </w:r>
    </w:p>
    <w:p>
      <w:pPr>
        <w:spacing w:after="0" w:line="17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0"/>
          <w:szCs w:val="20"/>
          <w:b w:val="1"/>
          <w:bCs w:val="1"/>
          <w:color w:val="auto"/>
        </w:rPr>
        <w:t>[REMAINDER OF THIS PAGE LEFT BLANK; SIGNATURE PAGE TO FOLLOW]</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260"/>
          </w:cols>
          <w:pgMar w:left="660" w:top="1440" w:right="979" w:bottom="1440" w:gutter="0" w:footer="0" w:header="0"/>
        </w:sectPr>
      </w:pPr>
    </w:p>
    <w:bookmarkStart w:id="109" w:name="page110"/>
    <w:bookmarkEnd w:id="109"/>
    <w:p>
      <w:pPr>
        <w:spacing w:after="0" w:line="19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executed this Agreement on the respective dates set forth below:</w:t>
      </w:r>
    </w:p>
    <w:p>
      <w:pPr>
        <w:spacing w:after="0" w:line="28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b w:val="1"/>
          <w:bCs w:val="1"/>
          <w:color w:val="auto"/>
        </w:rPr>
        <w:t>GERON CORPORATION</w:t>
      </w:r>
    </w:p>
    <w:p>
      <w:pPr>
        <w:spacing w:after="0" w:line="23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/s/ HAROUT SEMERJIAN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22860</wp:posOffset>
            </wp:positionV>
            <wp:extent cx="32404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HAROUT SEMERJIAN</w:t>
      </w:r>
    </w:p>
    <w:p>
      <w:pPr>
        <w:spacing w:after="0" w:line="2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i w:val="1"/>
          <w:iCs w:val="1"/>
          <w:color w:val="auto"/>
        </w:rPr>
        <w:t>President and Chief Executive Officer</w:t>
      </w:r>
    </w:p>
    <w:p>
      <w:pPr>
        <w:spacing w:after="0" w:line="28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Date: 25-Mar-2026</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 this 26.00 day of March, 2026,</w:t>
      </w: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TIMOTHY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324040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TIMOTHY WILLIAMS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139"/>
          </w:cols>
          <w:pgMar w:left="320" w:top="1440" w:right="1440"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Harout Semerjian, certify that:</w:t>
      </w:r>
    </w:p>
    <w:p>
      <w:pPr>
        <w:spacing w:after="0" w:line="117" w:lineRule="exact"/>
        <w:rPr>
          <w:sz w:val="20"/>
          <w:szCs w:val="20"/>
          <w:color w:val="auto"/>
        </w:rPr>
      </w:pPr>
    </w:p>
    <w:p>
      <w:pPr>
        <w:ind w:left="1160" w:hanging="1152"/>
        <w:spacing w:after="0"/>
        <w:tabs>
          <w:tab w:leader="none" w:pos="11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Geron Corporation;</w:t>
      </w:r>
    </w:p>
    <w:p>
      <w:pPr>
        <w:spacing w:after="0" w:line="117" w:lineRule="exact"/>
        <w:rPr>
          <w:rFonts w:ascii="Times New Roman" w:cs="Times New Roman" w:eastAsia="Times New Roman" w:hAnsi="Times New Roman"/>
          <w:sz w:val="18"/>
          <w:szCs w:val="18"/>
          <w:color w:val="auto"/>
        </w:rPr>
      </w:pPr>
    </w:p>
    <w:p>
      <w:pPr>
        <w:ind w:left="1180" w:right="60" w:hanging="1172"/>
        <w:spacing w:after="0" w:line="266" w:lineRule="auto"/>
        <w:tabs>
          <w:tab w:leader="none" w:pos="117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80" w:right="360" w:hanging="1172"/>
        <w:spacing w:after="0" w:line="312" w:lineRule="auto"/>
        <w:tabs>
          <w:tab w:leader="none" w:pos="117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180" w:right="220" w:hanging="1172"/>
        <w:spacing w:after="0" w:line="276" w:lineRule="auto"/>
        <w:tabs>
          <w:tab w:leader="none" w:pos="117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1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360" w:right="80" w:hanging="1169"/>
        <w:spacing w:after="0" w:line="289" w:lineRule="auto"/>
        <w:tabs>
          <w:tab w:leader="none" w:pos="2352"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Times New Roman" w:cs="Times New Roman" w:eastAsia="Times New Roman" w:hAnsi="Times New Roman"/>
          <w:sz w:val="17"/>
          <w:szCs w:val="17"/>
          <w:color w:val="auto"/>
        </w:rPr>
      </w:pPr>
    </w:p>
    <w:p>
      <w:pPr>
        <w:ind w:left="2360" w:right="360" w:hanging="1169"/>
        <w:spacing w:after="0" w:line="289" w:lineRule="auto"/>
        <w:tabs>
          <w:tab w:leader="none" w:pos="2348"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360" w:right="240" w:hanging="1169"/>
        <w:spacing w:after="0" w:line="266" w:lineRule="auto"/>
        <w:tabs>
          <w:tab w:leader="none" w:pos="235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360" w:right="40" w:hanging="1169"/>
        <w:spacing w:after="0" w:line="289" w:lineRule="auto"/>
        <w:tabs>
          <w:tab w:leader="none" w:pos="2348"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7"/>
          <w:szCs w:val="17"/>
          <w:color w:val="auto"/>
        </w:rPr>
      </w:pPr>
    </w:p>
    <w:p>
      <w:pPr>
        <w:ind w:left="1180" w:right="280" w:hanging="1172"/>
        <w:spacing w:after="0" w:line="266" w:lineRule="auto"/>
        <w:tabs>
          <w:tab w:leader="none" w:pos="117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360" w:right="160" w:hanging="1169"/>
        <w:spacing w:after="0" w:line="266" w:lineRule="auto"/>
        <w:tabs>
          <w:tab w:leader="none" w:pos="235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360" w:right="540" w:hanging="1169"/>
        <w:spacing w:after="0" w:line="282" w:lineRule="auto"/>
        <w:tabs>
          <w:tab w:leader="none" w:pos="234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6, 2026</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HAROUT SEMERJIAN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497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HAROUT SEMERJIAN</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240"/>
          </w:cols>
          <w:pgMar w:left="320" w:top="1076"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Michelle Robertson, certify that:</w:t>
      </w:r>
    </w:p>
    <w:p>
      <w:pPr>
        <w:spacing w:after="0" w:line="104" w:lineRule="exact"/>
        <w:rPr>
          <w:sz w:val="20"/>
          <w:szCs w:val="20"/>
          <w:color w:val="auto"/>
        </w:rPr>
      </w:pPr>
    </w:p>
    <w:p>
      <w:pPr>
        <w:ind w:left="1160" w:hanging="1152"/>
        <w:spacing w:after="0"/>
        <w:tabs>
          <w:tab w:leader="none" w:pos="11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Geron Corporation;</w:t>
      </w:r>
    </w:p>
    <w:p>
      <w:pPr>
        <w:spacing w:after="0" w:line="103" w:lineRule="exact"/>
        <w:rPr>
          <w:rFonts w:ascii="Times New Roman" w:cs="Times New Roman" w:eastAsia="Times New Roman" w:hAnsi="Times New Roman"/>
          <w:sz w:val="18"/>
          <w:szCs w:val="18"/>
          <w:color w:val="auto"/>
        </w:rPr>
      </w:pPr>
    </w:p>
    <w:p>
      <w:pPr>
        <w:ind w:left="1180" w:right="60" w:hanging="1172"/>
        <w:spacing w:after="0" w:line="266" w:lineRule="auto"/>
        <w:tabs>
          <w:tab w:leader="none" w:pos="117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1180" w:right="360" w:hanging="1172"/>
        <w:spacing w:after="0" w:line="312" w:lineRule="auto"/>
        <w:tabs>
          <w:tab w:leader="none" w:pos="1175"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 w:lineRule="exact"/>
        <w:rPr>
          <w:rFonts w:ascii="Times New Roman" w:cs="Times New Roman" w:eastAsia="Times New Roman" w:hAnsi="Times New Roman"/>
          <w:sz w:val="17"/>
          <w:szCs w:val="17"/>
          <w:color w:val="auto"/>
        </w:rPr>
      </w:pPr>
    </w:p>
    <w:p>
      <w:pPr>
        <w:ind w:left="1180" w:right="220" w:hanging="1172"/>
        <w:spacing w:after="0" w:line="276" w:lineRule="auto"/>
        <w:tabs>
          <w:tab w:leader="none" w:pos="1175"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1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85" w:lineRule="exact"/>
        <w:rPr>
          <w:rFonts w:ascii="Times New Roman" w:cs="Times New Roman" w:eastAsia="Times New Roman" w:hAnsi="Times New Roman"/>
          <w:sz w:val="17"/>
          <w:szCs w:val="17"/>
          <w:color w:val="auto"/>
        </w:rPr>
      </w:pPr>
    </w:p>
    <w:p>
      <w:pPr>
        <w:ind w:left="2360" w:right="80" w:hanging="1169"/>
        <w:spacing w:after="0" w:line="289" w:lineRule="auto"/>
        <w:tabs>
          <w:tab w:leader="none" w:pos="2352"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 w:lineRule="exact"/>
        <w:rPr>
          <w:rFonts w:ascii="Times New Roman" w:cs="Times New Roman" w:eastAsia="Times New Roman" w:hAnsi="Times New Roman"/>
          <w:sz w:val="17"/>
          <w:szCs w:val="17"/>
          <w:color w:val="auto"/>
        </w:rPr>
      </w:pPr>
    </w:p>
    <w:p>
      <w:pPr>
        <w:ind w:left="2360" w:right="360" w:hanging="1169"/>
        <w:spacing w:after="0" w:line="289" w:lineRule="auto"/>
        <w:tabs>
          <w:tab w:leader="none" w:pos="2348"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6" w:lineRule="exact"/>
        <w:rPr>
          <w:rFonts w:ascii="Times New Roman" w:cs="Times New Roman" w:eastAsia="Times New Roman" w:hAnsi="Times New Roman"/>
          <w:sz w:val="17"/>
          <w:szCs w:val="17"/>
          <w:color w:val="auto"/>
        </w:rPr>
      </w:pPr>
    </w:p>
    <w:p>
      <w:pPr>
        <w:ind w:left="2360" w:right="240" w:hanging="1169"/>
        <w:spacing w:after="0" w:line="266" w:lineRule="auto"/>
        <w:tabs>
          <w:tab w:leader="none" w:pos="235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2360" w:right="40" w:hanging="1169"/>
        <w:spacing w:after="0" w:line="289" w:lineRule="auto"/>
        <w:tabs>
          <w:tab w:leader="none" w:pos="2348"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 w:lineRule="exact"/>
        <w:rPr>
          <w:rFonts w:ascii="Times New Roman" w:cs="Times New Roman" w:eastAsia="Times New Roman" w:hAnsi="Times New Roman"/>
          <w:sz w:val="17"/>
          <w:szCs w:val="17"/>
          <w:color w:val="auto"/>
        </w:rPr>
      </w:pPr>
    </w:p>
    <w:p>
      <w:pPr>
        <w:ind w:left="1180" w:right="280" w:hanging="1172"/>
        <w:spacing w:after="0" w:line="266" w:lineRule="auto"/>
        <w:tabs>
          <w:tab w:leader="none" w:pos="117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2360" w:right="160" w:hanging="1169"/>
        <w:spacing w:after="0" w:line="266" w:lineRule="auto"/>
        <w:tabs>
          <w:tab w:leader="none" w:pos="235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2360" w:right="540" w:hanging="1169"/>
        <w:spacing w:after="0" w:line="282" w:lineRule="auto"/>
        <w:tabs>
          <w:tab w:leader="none" w:pos="234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6, 2026</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MICHELLE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4577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445770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MICHELLE ROBERTSON</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 and Treasurer (Duly Authorized Officer and</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1240"/>
          </w:cols>
          <w:pgMar w:left="320" w:top="1076"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580" w:firstLine="1166"/>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created by Section 906 of the Sarbanes-Oxley Act of 2002, the undersigned officer of Geron Corporation (the “Company”) hereby certifies, to such officer’s knowledge, that:</w:t>
      </w:r>
    </w:p>
    <w:p>
      <w:pPr>
        <w:spacing w:after="0" w:line="54" w:lineRule="exact"/>
        <w:rPr>
          <w:sz w:val="20"/>
          <w:szCs w:val="20"/>
          <w:color w:val="auto"/>
        </w:rPr>
      </w:pPr>
    </w:p>
    <w:p>
      <w:pPr>
        <w:jc w:val="both"/>
        <w:ind w:left="2360" w:right="280" w:hanging="1169"/>
        <w:spacing w:after="0" w:line="266" w:lineRule="auto"/>
        <w:tabs>
          <w:tab w:leader="none" w:pos="234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quarter ended March 31, 2026 (the “Report”) fully complies with the requirements of Section 13(a) or Section 15(d), as applicable, of the Securities Exchange Act of 1934, as amended; and</w:t>
      </w:r>
    </w:p>
    <w:p>
      <w:pPr>
        <w:spacing w:after="0" w:line="67" w:lineRule="exact"/>
        <w:rPr>
          <w:rFonts w:ascii="Times New Roman" w:cs="Times New Roman" w:eastAsia="Times New Roman" w:hAnsi="Times New Roman"/>
          <w:sz w:val="18"/>
          <w:szCs w:val="18"/>
          <w:color w:val="auto"/>
        </w:rPr>
      </w:pPr>
    </w:p>
    <w:p>
      <w:pPr>
        <w:ind w:left="2360" w:right="540" w:hanging="1169"/>
        <w:spacing w:after="0" w:line="282" w:lineRule="auto"/>
        <w:tabs>
          <w:tab w:leader="none" w:pos="235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08"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8"/>
          <w:szCs w:val="18"/>
          <w:color w:val="auto"/>
        </w:rPr>
        <w:t>Dated: May 6, 2026</w:t>
      </w:r>
      <w:r>
        <w:rPr>
          <w:sz w:val="20"/>
          <w:szCs w:val="20"/>
          <w:color w:val="auto"/>
        </w:rPr>
        <w:tab/>
      </w:r>
      <w:r>
        <w:rPr>
          <w:rFonts w:ascii="Times New Roman" w:cs="Times New Roman" w:eastAsia="Times New Roman" w:hAnsi="Times New Roman"/>
          <w:sz w:val="17"/>
          <w:szCs w:val="17"/>
          <w:color w:val="auto"/>
        </w:rPr>
        <w:t>/s/ HAROUT SEMERJIAN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34290</wp:posOffset>
            </wp:positionV>
            <wp:extent cx="32143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HAROUT SEMERJIAN</w:t>
      </w:r>
    </w:p>
    <w:p>
      <w:pPr>
        <w:spacing w:after="0" w:line="6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308" w:lineRule="exact"/>
        <w:rPr>
          <w:sz w:val="20"/>
          <w:szCs w:val="20"/>
          <w:color w:val="auto"/>
        </w:rPr>
      </w:pPr>
    </w:p>
    <w:p>
      <w:pPr>
        <w:jc w:val="both"/>
        <w:ind w:right="80" w:firstLine="1166"/>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ectPr>
          <w:pgSz w:w="11900" w:h="16838" w:orient="portrait"/>
          <w:cols w:equalWidth="0" w:num="1">
            <w:col w:w="11240"/>
          </w:cols>
          <w:pgMar w:left="320" w:top="1076"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580" w:firstLine="1166"/>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created by Section 906 of the Sarbanes-Oxley Act of 2002, the undersigned officer of Geron Corporation (the “Company”) hereby certifies, to such officer’s knowledge, that:</w:t>
      </w:r>
    </w:p>
    <w:p>
      <w:pPr>
        <w:spacing w:after="0" w:line="54" w:lineRule="exact"/>
        <w:rPr>
          <w:sz w:val="20"/>
          <w:szCs w:val="20"/>
          <w:color w:val="auto"/>
        </w:rPr>
      </w:pPr>
    </w:p>
    <w:p>
      <w:pPr>
        <w:jc w:val="both"/>
        <w:ind w:left="2360" w:right="280" w:hanging="1169"/>
        <w:spacing w:after="0" w:line="266" w:lineRule="auto"/>
        <w:tabs>
          <w:tab w:leader="none" w:pos="234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quarter ended March 31, 2026 (the “Report”) fully complies with the requirements of Section 13(a) or Section 15(d), as applicable, of the Securities Exchange Act of 1934, as amended; and</w:t>
      </w:r>
    </w:p>
    <w:p>
      <w:pPr>
        <w:spacing w:after="0" w:line="67" w:lineRule="exact"/>
        <w:rPr>
          <w:rFonts w:ascii="Times New Roman" w:cs="Times New Roman" w:eastAsia="Times New Roman" w:hAnsi="Times New Roman"/>
          <w:sz w:val="18"/>
          <w:szCs w:val="18"/>
          <w:color w:val="auto"/>
        </w:rPr>
      </w:pPr>
    </w:p>
    <w:p>
      <w:pPr>
        <w:ind w:left="2360" w:right="540" w:hanging="1169"/>
        <w:spacing w:after="0" w:line="282" w:lineRule="auto"/>
        <w:tabs>
          <w:tab w:leader="none" w:pos="235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08"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8"/>
          <w:szCs w:val="18"/>
          <w:color w:val="auto"/>
        </w:rPr>
        <w:t>Dated: May 6, 2026</w:t>
      </w:r>
      <w:r>
        <w:rPr>
          <w:sz w:val="20"/>
          <w:szCs w:val="20"/>
          <w:color w:val="auto"/>
        </w:rPr>
        <w:tab/>
      </w:r>
      <w:r>
        <w:rPr>
          <w:rFonts w:ascii="Times New Roman" w:cs="Times New Roman" w:eastAsia="Times New Roman" w:hAnsi="Times New Roman"/>
          <w:sz w:val="17"/>
          <w:szCs w:val="17"/>
          <w:color w:val="auto"/>
        </w:rPr>
        <w:t>/s/ MICHELLE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34290</wp:posOffset>
            </wp:positionV>
            <wp:extent cx="32143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MICHELLE ROBERTSON</w:t>
      </w:r>
    </w:p>
    <w:p>
      <w:pPr>
        <w:spacing w:after="0" w:line="6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 and Treasurer</w:t>
      </w:r>
    </w:p>
    <w:p>
      <w:pPr>
        <w:spacing w:after="0" w:line="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(Duly Authorized Officer and Principal Financial and Accounting</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288" w:lineRule="exact"/>
        <w:rPr>
          <w:sz w:val="20"/>
          <w:szCs w:val="20"/>
          <w:color w:val="auto"/>
        </w:rPr>
      </w:pPr>
    </w:p>
    <w:p>
      <w:pPr>
        <w:jc w:val="both"/>
        <w:ind w:right="80" w:firstLine="1166"/>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10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x"/>
      <w:numFmt w:val="bullet"/>
      <w:start w:val="1"/>
    </w:lvl>
  </w:abstractNum>
  <w:abstractNum w:abstractNumId="1">
    <w:nsid w:val="32FFF902"/>
    <w:multiLevelType w:val="hybridMultilevel"/>
    <w:lvl w:ilvl="0">
      <w:lvlJc w:val="left"/>
      <w:lvlText w:val="o"/>
      <w:numFmt w:val="bullet"/>
      <w:start w:val="1"/>
    </w:lvl>
  </w:abstractNum>
  <w:abstractNum w:abstractNumId="2">
    <w:nsid w:val="684A481A"/>
    <w:multiLevelType w:val="hybridMultilevel"/>
    <w:lvl w:ilvl="0">
      <w:lvlJc w:val="left"/>
      <w:lvlText w:val="%1."/>
      <w:numFmt w:val="decimal"/>
      <w:start w:val="1"/>
    </w:lvl>
  </w:abstractNum>
  <w:abstractNum w:abstractNumId="3">
    <w:nsid w:val="579478FE"/>
    <w:multiLevelType w:val="hybridMultilevel"/>
    <w:lvl w:ilvl="0">
      <w:lvlJc w:val="left"/>
      <w:lvlText w:val="%1."/>
      <w:numFmt w:val="decimal"/>
      <w:start w:val="2"/>
    </w:lvl>
  </w:abstractNum>
  <w:abstractNum w:abstractNumId="4">
    <w:nsid w:val="749ABB43"/>
    <w:multiLevelType w:val="hybridMultilevel"/>
    <w:lvl w:ilvl="0">
      <w:lvlJc w:val="left"/>
      <w:lvlText w:val="(%1)"/>
      <w:numFmt w:val="decimal"/>
      <w:start w:val="1"/>
    </w:lvl>
    <w:lvl w:ilvl="1">
      <w:lvlJc w:val="left"/>
      <w:lvlText w:val="(%2)"/>
      <w:numFmt w:val="decimal"/>
      <w:start w:val="6"/>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1)"/>
      <w:numFmt w:val="decimal"/>
      <w:start w:val="1"/>
    </w:lvl>
  </w:abstractNum>
  <w:abstractNum w:abstractNumId="42">
    <w:nsid w:val="6590700B"/>
    <w:multiLevelType w:val="hybridMultilevel"/>
    <w:lvl w:ilvl="0">
      <w:lvlJc w:val="left"/>
      <w:lvlText w:val="(%1)"/>
      <w:numFmt w:val="decimal"/>
      <w:start w:val="3"/>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
      <w:numFmt w:val="bullet"/>
      <w:start w:val="1"/>
    </w:lvl>
  </w:abstractNum>
  <w:abstractNum w:abstractNumId="54">
    <w:nsid w:val="7BD3EE7B"/>
    <w:multiLevelType w:val="hybridMultilevel"/>
    <w:lvl w:ilvl="0">
      <w:lvlJc w:val="left"/>
      <w:lvlText w:val="%1."/>
      <w:numFmt w:val="decimal"/>
      <w:start w:val="1"/>
    </w:lvl>
    <w:lvl w:ilvl="1">
      <w:lvlJc w:val="left"/>
      <w:lvlText w:val="(%2)"/>
      <w:numFmt w:val="lowerLetter"/>
      <w:start w:val="1"/>
    </w:lvl>
  </w:abstractNum>
  <w:abstractNum w:abstractNumId="55">
    <w:nsid w:val="51D9C564"/>
    <w:multiLevelType w:val="hybridMultilevel"/>
    <w:lvl w:ilvl="0">
      <w:lvlJc w:val="left"/>
      <w:lvlText w:val="*"/>
      <w:numFmt w:val="bullet"/>
      <w:start w:val="1"/>
    </w:lvl>
  </w:abstractNum>
  <w:abstractNum w:abstractNumId="56">
    <w:nsid w:val="613EFDC5"/>
    <w:multiLevelType w:val="hybridMultilevel"/>
    <w:lvl w:ilvl="0">
      <w:lvlJc w:val="left"/>
      <w:lvlText w:val="(%1)"/>
      <w:numFmt w:val="lowerLetter"/>
      <w:start w:val="2"/>
    </w:lvl>
  </w:abstractNum>
  <w:abstractNum w:abstractNumId="57">
    <w:nsid w:val="BF72B14"/>
    <w:multiLevelType w:val="hybridMultilevel"/>
    <w:lvl w:ilvl="0">
      <w:lvlJc w:val="left"/>
      <w:lvlText w:val="%1."/>
      <w:numFmt w:val="decimal"/>
      <w:start w:val="2"/>
    </w:lvl>
    <w:lvl w:ilvl="1">
      <w:lvlJc w:val="left"/>
      <w:lvlText w:val="(%2)"/>
      <w:numFmt w:val="lowerLetter"/>
      <w:start w:val="1"/>
    </w:lvl>
  </w:abstractNum>
  <w:abstractNum w:abstractNumId="58">
    <w:nsid w:val="11447B73"/>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59">
    <w:nsid w:val="42963E5A"/>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9"/>
    </w:lvl>
  </w:abstractNum>
  <w:abstractNum w:abstractNumId="60">
    <w:nsid w:val="A0382C5"/>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61">
    <w:nsid w:val="8F2B15E"/>
    <w:multiLevelType w:val="hybridMultilevel"/>
    <w:lvl w:ilvl="0">
      <w:lvlJc w:val="left"/>
      <w:lvlText w:val="%1."/>
      <w:numFmt w:val="decimal"/>
      <w:start w:val="3"/>
    </w:lvl>
    <w:lvl w:ilvl="1">
      <w:lvlJc w:val="left"/>
      <w:lvlText w:val="%2"/>
      <w:numFmt w:val="lowerRoman"/>
      <w:start w:val="1"/>
    </w:lvl>
    <w:lvl w:ilvl="2">
      <w:lvlJc w:val="left"/>
      <w:lvlText w:val="%3"/>
      <w:numFmt w:val="upperLetter"/>
      <w:start w:val="1"/>
    </w:lvl>
  </w:abstractNum>
  <w:abstractNum w:abstractNumId="62">
    <w:nsid w:val="1A32234B"/>
    <w:multiLevelType w:val="hybridMultilevel"/>
    <w:lvl w:ilvl="0">
      <w:lvlJc w:val="left"/>
      <w:lvlText w:val="%1."/>
      <w:numFmt w:val="decimal"/>
      <w:start w:val="1"/>
    </w:lvl>
    <w:lvl w:ilvl="1">
      <w:lvlJc w:val="left"/>
      <w:lvlText w:val="%2)"/>
      <w:numFmt w:val="lowerLetter"/>
      <w:start w:val="1"/>
    </w:lvl>
  </w:abstractNum>
  <w:abstractNum w:abstractNumId="63">
    <w:nsid w:val="3B0FD379"/>
    <w:multiLevelType w:val="hybridMultilevel"/>
    <w:lvl w:ilvl="0">
      <w:lvlJc w:val="left"/>
      <w:lvlText w:val="%1)"/>
      <w:numFmt w:val="lowerLetter"/>
      <w:start w:val="3"/>
    </w:lvl>
  </w:abstractNum>
  <w:abstractNum w:abstractNumId="64">
    <w:nsid w:val="68EB2F63"/>
    <w:multiLevelType w:val="hybridMultilevel"/>
    <w:lvl w:ilvl="0">
      <w:lvlJc w:val="left"/>
      <w:lvlText w:val="%1."/>
      <w:numFmt w:val="decimal"/>
      <w:start w:val="2"/>
    </w:lvl>
    <w:lvl w:ilvl="1">
      <w:lvlJc w:val="left"/>
      <w:lvlText w:val="%2)"/>
      <w:numFmt w:val="lowerLetter"/>
      <w:start w:val="1"/>
    </w:lvl>
  </w:abstractNum>
  <w:abstractNum w:abstractNumId="65">
    <w:nsid w:val="4962813B"/>
    <w:multiLevelType w:val="hybridMultilevel"/>
    <w:lvl w:ilvl="0">
      <w:lvlJc w:val="left"/>
      <w:lvlText w:val="%1)"/>
      <w:numFmt w:val="lowerLetter"/>
      <w:start w:val="4"/>
    </w:lvl>
  </w:abstractNum>
  <w:abstractNum w:abstractNumId="66">
    <w:nsid w:val="60B6DF70"/>
    <w:multiLevelType w:val="hybridMultilevel"/>
    <w:lvl w:ilvl="0">
      <w:lvlJc w:val="left"/>
      <w:lvlText w:val="1"/>
      <w:numFmt w:val="bullet"/>
      <w:start w:val="1"/>
    </w:lvl>
  </w:abstractNum>
  <w:abstractNum w:abstractNumId="67">
    <w:nsid w:val="6A5EE64"/>
    <w:multiLevelType w:val="hybridMultilevel"/>
    <w:lvl w:ilvl="0">
      <w:lvlJc w:val="left"/>
      <w:lvlText w:val="%1"/>
      <w:numFmt w:val="decimal"/>
      <w:start w:val="1"/>
    </w:lvl>
    <w:lvl w:ilvl="1">
      <w:lvlJc w:val="left"/>
      <w:lvlText w:val="%2)"/>
      <w:numFmt w:val="lowerLetter"/>
      <w:start w:val="5"/>
    </w:lvl>
  </w:abstractNum>
  <w:abstractNum w:abstractNumId="68">
    <w:nsid w:val="14330624"/>
    <w:multiLevelType w:val="hybridMultilevel"/>
    <w:lvl w:ilvl="0">
      <w:lvlJc w:val="left"/>
      <w:lvlText w:val="%1."/>
      <w:numFmt w:val="decimal"/>
      <w:start w:val="3"/>
    </w:lvl>
    <w:lvl w:ilvl="1">
      <w:lvlJc w:val="left"/>
      <w:lvlText w:val="%2)"/>
      <w:numFmt w:val="lowerLetter"/>
      <w:start w:val="1"/>
    </w:lvl>
  </w:abstractNum>
  <w:abstractNum w:abstractNumId="69">
    <w:nsid w:val="7FFFCA11"/>
    <w:multiLevelType w:val="hybridMultilevel"/>
    <w:lvl w:ilvl="0">
      <w:lvlJc w:val="left"/>
      <w:lvlText w:val="%1."/>
      <w:numFmt w:val="decimal"/>
      <w:start w:val="4"/>
    </w:lvl>
    <w:lvl w:ilvl="1">
      <w:lvlJc w:val="left"/>
      <w:lvlText w:val="%2)"/>
      <w:numFmt w:val="lowerLetter"/>
      <w:start w:val="1"/>
    </w:lvl>
  </w:abstractNum>
  <w:abstractNum w:abstractNumId="70">
    <w:nsid w:val="1A27709E"/>
    <w:multiLevelType w:val="hybridMultilevel"/>
    <w:lvl w:ilvl="0">
      <w:lvlJc w:val="left"/>
      <w:lvlText w:val="%1"/>
      <w:numFmt w:val="decimal"/>
      <w:start w:val="1"/>
    </w:lvl>
    <w:lvl w:ilvl="1">
      <w:lvlJc w:val="left"/>
      <w:lvlText w:val="%2)"/>
      <w:numFmt w:val="lowerLetter"/>
      <w:start w:val="2"/>
    </w:lvl>
  </w:abstractNum>
  <w:abstractNum w:abstractNumId="71">
    <w:nsid w:val="71EA1109"/>
    <w:multiLevelType w:val="hybridMultilevel"/>
    <w:lvl w:ilvl="0">
      <w:lvlJc w:val="left"/>
      <w:lvlText w:val="%1."/>
      <w:numFmt w:val="decimal"/>
      <w:start w:val="5"/>
    </w:lvl>
    <w:lvl w:ilvl="1">
      <w:lvlJc w:val="left"/>
      <w:lvlText w:val="%2)"/>
      <w:numFmt w:val="lowerLetter"/>
      <w:start w:val="1"/>
    </w:lvl>
  </w:abstractNum>
  <w:abstractNum w:abstractNumId="72">
    <w:nsid w:val="100F59DC"/>
    <w:multiLevelType w:val="hybridMultilevel"/>
    <w:lvl w:ilvl="0">
      <w:lvlJc w:val="left"/>
      <w:lvlText w:val="(%1)"/>
      <w:numFmt w:val="lowerRoman"/>
      <w:start w:val="1"/>
    </w:lvl>
  </w:abstractNum>
  <w:abstractNum w:abstractNumId="73">
    <w:nsid w:val="7FB7E0AA"/>
    <w:multiLevelType w:val="hybridMultilevel"/>
    <w:lvl w:ilvl="0">
      <w:lvlJc w:val="left"/>
      <w:lvlText w:val="%1)"/>
      <w:numFmt w:val="lowerLetter"/>
      <w:start w:val="3"/>
    </w:lvl>
  </w:abstractNum>
  <w:abstractNum w:abstractNumId="74">
    <w:nsid w:val="6EB5BD4"/>
    <w:multiLevelType w:val="hybridMultilevel"/>
    <w:lvl w:ilvl="0">
      <w:lvlJc w:val="left"/>
      <w:lvlText w:val="%1)"/>
      <w:numFmt w:val="lowerLetter"/>
      <w:start w:val="4"/>
    </w:lvl>
  </w:abstractNum>
  <w:abstractNum w:abstractNumId="75">
    <w:nsid w:val="6F6DD9AC"/>
    <w:multiLevelType w:val="hybridMultilevel"/>
    <w:lvl w:ilvl="0">
      <w:lvlJc w:val="left"/>
      <w:lvlText w:val="%1)"/>
      <w:numFmt w:val="lowerLetter"/>
      <w:start w:val="5"/>
    </w:lvl>
  </w:abstractNum>
  <w:abstractNum w:abstractNumId="76">
    <w:nsid w:val="94211F2"/>
    <w:multiLevelType w:val="hybridMultilevel"/>
    <w:lvl w:ilvl="0">
      <w:lvlJc w:val="left"/>
      <w:lvlText w:val="%1)"/>
      <w:numFmt w:val="lowerLetter"/>
      <w:start w:val="6"/>
    </w:lvl>
  </w:abstractNum>
  <w:abstractNum w:abstractNumId="77">
    <w:nsid w:val="885E1B"/>
    <w:multiLevelType w:val="hybridMultilevel"/>
    <w:lvl w:ilvl="0">
      <w:lvlJc w:val="left"/>
      <w:lvlText w:val="%1)"/>
      <w:numFmt w:val="lowerLetter"/>
      <w:start w:val="1"/>
    </w:lvl>
  </w:abstractNum>
  <w:abstractNum w:abstractNumId="78">
    <w:nsid w:val="76272110"/>
    <w:multiLevelType w:val="hybridMultilevel"/>
    <w:lvl w:ilvl="0">
      <w:lvlJc w:val="left"/>
      <w:lvlText w:val="%1)"/>
      <w:numFmt w:val="lowerLetter"/>
      <w:start w:val="2"/>
    </w:lvl>
    <w:lvl w:ilvl="1">
      <w:lvlJc w:val="left"/>
      <w:lvlText w:val="%2."/>
      <w:numFmt w:val="lowerRoman"/>
      <w:start w:val="1"/>
    </w:lvl>
  </w:abstractNum>
  <w:abstractNum w:abstractNumId="79">
    <w:nsid w:val="4C04A8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lowerRoman"/>
      <w:start w:val="1"/>
    </w:lvl>
  </w:abstractNum>
  <w:abstractNum w:abstractNumId="80">
    <w:nsid w:val="1716703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81">
    <w:nsid w:val="14E17E33"/>
    <w:multiLevelType w:val="hybridMultilevel"/>
    <w:lvl w:ilvl="0">
      <w:lvlJc w:val="left"/>
      <w:lvlText w:val="%1)"/>
      <w:numFmt w:val="lowerLetter"/>
      <w:start w:val="1"/>
    </w:lvl>
  </w:abstractNum>
  <w:abstractNum w:abstractNumId="82">
    <w:nsid w:val="3222E7CD"/>
    <w:multiLevelType w:val="hybridMultilevel"/>
    <w:lvl w:ilvl="0">
      <w:lvlJc w:val="left"/>
      <w:lvlText w:val="%1."/>
      <w:numFmt w:val="decimal"/>
      <w:start w:val="8"/>
    </w:lvl>
    <w:lvl w:ilvl="1">
      <w:lvlJc w:val="left"/>
      <w:lvlText w:val="%2)"/>
      <w:numFmt w:val="lowerLetter"/>
      <w:start w:val="1"/>
    </w:lvl>
  </w:abstractNum>
  <w:abstractNum w:abstractNumId="83">
    <w:nsid w:val="74DE0EE3"/>
    <w:multiLevelType w:val="hybridMultilevel"/>
    <w:lvl w:ilvl="0">
      <w:lvlJc w:val="left"/>
      <w:lvlText w:val="%1)"/>
      <w:numFmt w:val="lowerLetter"/>
      <w:start w:val="3"/>
    </w:lvl>
  </w:abstractNum>
  <w:abstractNum w:abstractNumId="84">
    <w:nsid w:val="68EBC550"/>
    <w:multiLevelType w:val="hybridMultilevel"/>
    <w:lvl w:ilvl="0">
      <w:lvlJc w:val="left"/>
      <w:lvlText w:val="%1)"/>
      <w:numFmt w:val="lowerLetter"/>
      <w:start w:val="5"/>
    </w:lvl>
  </w:abstractNum>
  <w:abstractNum w:abstractNumId="85">
    <w:nsid w:val="2DF6D648"/>
    <w:multiLevelType w:val="hybridMultilevel"/>
    <w:lvl w:ilvl="0">
      <w:lvlJc w:val="left"/>
      <w:lvlText w:val="(%1)"/>
      <w:numFmt w:val="lowerLetter"/>
      <w:start w:val="1"/>
    </w:lvl>
  </w:abstractNum>
  <w:abstractNum w:abstractNumId="86">
    <w:nsid w:val="46B7D447"/>
    <w:multiLevelType w:val="hybridMultilevel"/>
    <w:lvl w:ilvl="0">
      <w:lvlJc w:val="left"/>
      <w:lvlText w:val="(%1)"/>
      <w:numFmt w:val="lowerLetter"/>
      <w:start w:val="2"/>
    </w:lvl>
  </w:abstractNum>
  <w:abstractNum w:abstractNumId="87">
    <w:nsid w:val="4A2AC315"/>
    <w:multiLevelType w:val="hybridMultilevel"/>
    <w:lvl w:ilvl="0">
      <w:lvlJc w:val="left"/>
      <w:lvlText w:val="(%1)"/>
      <w:numFmt w:val="lowerRoman"/>
      <w:start w:val="2"/>
    </w:lvl>
  </w:abstractNum>
  <w:abstractNum w:abstractNumId="88">
    <w:nsid w:val="39EE015C"/>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89">
    <w:nsid w:val="57FC4FBB"/>
    <w:multiLevelType w:val="hybridMultilevel"/>
    <w:lvl w:ilvl="0">
      <w:lvlJc w:val="left"/>
      <w:lvlText w:val="(%1)"/>
      <w:numFmt w:val="decimal"/>
      <w:start w:val="12"/>
    </w:lvl>
    <w:lvl w:ilvl="1">
      <w:lvlJc w:val="left"/>
      <w:lvlText w:val="%2"/>
      <w:numFmt w:val="lowerRoman"/>
      <w:start w:val="1"/>
    </w:lvl>
    <w:lvl w:ilvl="2">
      <w:lvlJc w:val="left"/>
      <w:lvlText w:val="(%3)"/>
      <w:numFmt w:val="lowerLetter"/>
      <w:start w:val="4"/>
    </w:lvl>
  </w:abstractNum>
  <w:abstractNum w:abstractNumId="90">
    <w:nsid w:val="CC1016F"/>
    <w:multiLevelType w:val="hybridMultilevel"/>
    <w:lvl w:ilvl="0">
      <w:lvlJc w:val="left"/>
      <w:lvlText w:val="(%1)"/>
      <w:numFmt w:val="decimal"/>
      <w:start w:val="7"/>
    </w:lvl>
  </w:abstractNum>
  <w:abstractNum w:abstractNumId="91">
    <w:nsid w:val="43F18422"/>
    <w:multiLevelType w:val="hybridMultilevel"/>
    <w:lvl w:ilvl="0">
      <w:lvlJc w:val="left"/>
      <w:lvlText w:val="%1."/>
      <w:numFmt w:val="decimal"/>
      <w:start w:val="1"/>
    </w:lvl>
    <w:lvl w:ilvl="1">
      <w:lvlJc w:val="left"/>
      <w:lvlText w:val="(%2)"/>
      <w:numFmt w:val="lowerLetter"/>
      <w:start w:val="1"/>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lowerRoman"/>
      <w:start w:val="1"/>
    </w:lvl>
  </w:abstractNum>
  <w:abstractNum w:abstractNumId="94">
    <w:nsid w:val="7F01579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04" Type="http://schemas.openxmlformats.org/officeDocument/2006/relationships/hyperlink" Target="https://www.sec.gov/Archives/edgar/data/886744/000088674426000008/firstamendmenttoloanagre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2026-05-06T15:53:24Z</dcterms:created>
  <dcterms:modified xsi:type="dcterms:W3CDTF">2026-05-06T15:53:24Z</dcterms:modified>
</cp:coreProperties>
</file>