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GERON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000-20859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75-2287752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919 E. HILLSDALE BLVD., SUITE 250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473-7700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GERN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2018 Equity Incentive Plan</w:t>
      </w:r>
    </w:p>
    <w:p>
      <w:pPr>
        <w:spacing w:after="0" w:line="121"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As further described below, at the 2026 Annual Meeting of Stockholders of Geron Corporation (the “Company”) held on May 20, 2026 (the “2026 Annual Meeting”), the Company’s stockholders approved an amendment and restatement of the Company’s 2018 Equity Incentive Plan to, among other items, increase the number of shares of the Company’s common stock issuable thereunder by 4,500,000 shares (as so amended and restated, the “Amended 2018 Plan”), which had previously been adopted by the Company’s board of directors (the “Board”), subject to stockholder approval. A description of the terms and conditions of the Amended 2018 Plan is set forth on pages 35 to 49 in the Company’s definitive proxy statement for the 2026 Annual Meeting filed with the Securities and Exchange Commission (the “SEC”) on April 7, 2026 (the “2026 Proxy Statement”) and is incorporated herein by reference. Such description does not purport to be complete and is qualified in its entirety by the full text of the Amended 2018 Plan, which is attached hereto as Exhibit 10.1 and is incorporated herein by reference.</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The Company’s 2026 Annual Meeting was held on May 20, 2026 in a virtual meeting format, pursuant to notice duly given. Only stockholders of record as of the close of business on March 26, 2026, the record date for the 2026 Annual Meeting, were entitled to vote at the 2026 Annual Meeting. The final results of the stockholder vote on each proposal brought before the 2026 Annual Meeting are as follows:</w:t>
      </w:r>
    </w:p>
    <w:p>
      <w:pPr>
        <w:spacing w:after="0" w:line="77" w:lineRule="exact"/>
        <w:rPr>
          <w:sz w:val="20"/>
          <w:szCs w:val="20"/>
          <w:color w:val="auto"/>
        </w:rPr>
      </w:pPr>
    </w:p>
    <w:p>
      <w:pPr>
        <w:ind w:left="424" w:hanging="424"/>
        <w:spacing w:after="0" w:line="26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Company’s stockholders elected each of the three (3) nominees to hold office as Class III directors to serve for a three-year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expiring at the Company’s 2029 annual meeting of stockholders and until her successor is duly elected and qualified or until her earlier resignation or removal. The election of such Class III directors was based upon the following votes:</w:t>
      </w:r>
    </w:p>
    <w:p>
      <w:pPr>
        <w:spacing w:after="0" w:line="195"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Director Nominee</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91"/>
        </w:trPr>
        <w:tc>
          <w:tcPr>
            <w:tcW w:w="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Susan M. Molineaux</w:t>
            </w:r>
          </w:p>
        </w:tc>
        <w:tc>
          <w:tcPr>
            <w:tcW w:w="260" w:type="dxa"/>
            <w:vAlign w:val="bottom"/>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355,206,267</w:t>
            </w:r>
          </w:p>
        </w:tc>
        <w:tc>
          <w:tcPr>
            <w:tcW w:w="32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37,996,712</w:t>
            </w:r>
          </w:p>
        </w:tc>
        <w:tc>
          <w:tcPr>
            <w:tcW w:w="34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104,595,534</w:t>
            </w:r>
          </w:p>
        </w:tc>
      </w:tr>
      <w:tr>
        <w:trPr>
          <w:trHeight w:val="216"/>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Patricia S. Andrews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387,194,039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6,008,940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104,595,534</w:t>
            </w:r>
          </w:p>
        </w:tc>
      </w:tr>
      <w:tr>
        <w:trPr>
          <w:trHeight w:val="234"/>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Constantine Chinoporos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387,061,554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6,141,425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104,595,534</w:t>
            </w:r>
          </w:p>
        </w:tc>
      </w:tr>
    </w:tbl>
    <w:p>
      <w:pPr>
        <w:spacing w:after="0" w:line="99" w:lineRule="exact"/>
        <w:rPr>
          <w:sz w:val="20"/>
          <w:szCs w:val="20"/>
          <w:color w:val="auto"/>
        </w:rPr>
      </w:pPr>
    </w:p>
    <w:p>
      <w:pPr>
        <w:ind w:left="424" w:right="100" w:hanging="424"/>
        <w:spacing w:after="0" w:line="28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Company’s stockholders approved the amendment to the Company’s 2018 Equity Incentive Plan to, among other items,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the Company’s common stock issuable thereunder by 4,500,000 shares, based upon the following votes:</w:t>
      </w:r>
    </w:p>
    <w:p>
      <w:pPr>
        <w:spacing w:after="0" w:line="179"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2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370,294,696</w:t>
            </w:r>
          </w:p>
        </w:tc>
        <w:tc>
          <w:tcPr>
            <w:tcW w:w="140" w:type="dxa"/>
            <w:vAlign w:val="bottom"/>
          </w:tcPr>
          <w:p>
            <w:pPr>
              <w:spacing w:after="0"/>
              <w:rPr>
                <w:sz w:val="19"/>
                <w:szCs w:val="19"/>
                <w:color w:val="auto"/>
              </w:rPr>
            </w:pPr>
          </w:p>
        </w:tc>
        <w:tc>
          <w:tcPr>
            <w:tcW w:w="22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21,853,005</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1,055,278</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104,595,534</w:t>
            </w:r>
          </w:p>
        </w:tc>
      </w:tr>
    </w:tbl>
    <w:p>
      <w:pPr>
        <w:spacing w:after="0" w:line="81" w:lineRule="exact"/>
        <w:rPr>
          <w:sz w:val="20"/>
          <w:szCs w:val="20"/>
          <w:color w:val="auto"/>
        </w:rPr>
      </w:pPr>
    </w:p>
    <w:p>
      <w:pPr>
        <w:ind w:left="424" w:right="30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Company’s stockholders approved the non-binding, advisory vote to approve the compensation paid to the Company’s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as disclosed in the 2026 Proxy Statement, based upon the following votes:</w:t>
      </w:r>
    </w:p>
    <w:p>
      <w:pPr>
        <w:spacing w:after="0" w:line="179"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2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372,129,132</w:t>
            </w:r>
          </w:p>
        </w:tc>
        <w:tc>
          <w:tcPr>
            <w:tcW w:w="140" w:type="dxa"/>
            <w:vAlign w:val="bottom"/>
          </w:tcPr>
          <w:p>
            <w:pPr>
              <w:spacing w:after="0"/>
              <w:rPr>
                <w:sz w:val="19"/>
                <w:szCs w:val="19"/>
                <w:color w:val="auto"/>
              </w:rPr>
            </w:pPr>
          </w:p>
        </w:tc>
        <w:tc>
          <w:tcPr>
            <w:tcW w:w="22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19,673,460</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1,400,387</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104,595,534</w:t>
            </w:r>
          </w:p>
        </w:tc>
      </w:tr>
    </w:tbl>
    <w:p>
      <w:pPr>
        <w:spacing w:after="0" w:line="81" w:lineRule="exact"/>
        <w:rPr>
          <w:sz w:val="20"/>
          <w:szCs w:val="20"/>
          <w:color w:val="auto"/>
        </w:rPr>
      </w:pPr>
    </w:p>
    <w:p>
      <w:pPr>
        <w:ind w:left="424" w:right="4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The Company’s stockholders ratified the selection of Ernst &amp; Young LLP as the Company’s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fiscal year ending December 31, 2026, based upon the following votes:</w:t>
      </w:r>
    </w:p>
    <w:p>
      <w:pPr>
        <w:spacing w:after="0" w:line="179"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2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486,459,028</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9,474,870</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1,864,615</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Geron Corporation 2018 Equity Incentive Plan, as amended</w:t>
            </w:r>
          </w:p>
        </w:tc>
      </w:tr>
      <w:tr>
        <w:trPr>
          <w:trHeight w:val="20"/>
        </w:trPr>
        <w:tc>
          <w:tcPr>
            <w:tcW w:w="14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r>
    </w:tbl>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GERON CORPORATION</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Williams</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Timothy Williams</w:t>
            </w:r>
          </w:p>
        </w:tc>
      </w:tr>
      <w:tr>
        <w:trPr>
          <w:trHeight w:val="216"/>
        </w:trPr>
        <w:tc>
          <w:tcPr>
            <w:tcW w:w="3440" w:type="dxa"/>
            <w:vAlign w:val="bottom"/>
          </w:tcPr>
          <w:p>
            <w:pPr>
              <w:spacing w:after="0"/>
              <w:rPr>
                <w:sz w:val="18"/>
                <w:szCs w:val="18"/>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3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w:t>
            </w:r>
          </w:p>
        </w:tc>
      </w:tr>
      <w:tr>
        <w:trPr>
          <w:trHeight w:val="234"/>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46"/>
        </w:trPr>
        <w:tc>
          <w:tcPr>
            <w:tcW w:w="3440" w:type="dxa"/>
            <w:vAlign w:val="bottom"/>
          </w:tcPr>
          <w:p>
            <w:pPr>
              <w:spacing w:after="0"/>
              <w:rPr>
                <w:sz w:val="24"/>
                <w:szCs w:val="24"/>
                <w:color w:val="auto"/>
              </w:rPr>
            </w:pPr>
          </w:p>
        </w:tc>
        <w:tc>
          <w:tcPr>
            <w:tcW w:w="2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ADOPTED BY THE BOARD OF DIRECTORS: MARCH 27, 2018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APPROVED BY THE STOCKHOLDERS: MAY 15, 2018</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AMENDED BY THE BOARD OF DIRECTORS: FEBRUARY 12, 2020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APPROVED BY THE STOCKHOLDERS: JUNE 5, 2020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AMENDED BY THE BOARD OF DIRECTORS: FEBRUARY 2, 2021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APPROVED BY THE STOCKHOLDERS: MAY 11, 2021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AMENDED BY THE BOARD OF DIRECTORS: FEBRUARY 16, 2022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APPROVED BY THE STOCKHOLDERS: MAY 10, 2022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AMENDED BY THE BOARD OF DIRECTORS: MARCH 18, 2023</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APPROVED BY THE STOCKHOLDERS: MAY 31, 2023</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AMENDED BY THE BOARD OF DIRECTORS: MARCH 13,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APPROVED BY THE STOCKHOLDERS: MAY 21,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AMENDED BY THE COMPENSATION COMMITTEE OF THE BOARD OF DIRECTORS: MARCH 30,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APPROVED BY THE STOCKHOLDERS: MAY 20, 2026</w:t>
      </w:r>
    </w:p>
    <w:p>
      <w:pPr>
        <w:spacing w:after="0" w:line="230"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0" w:lineRule="exact"/>
        <w:rPr>
          <w:rFonts w:ascii="Times New Roman" w:cs="Times New Roman" w:eastAsia="Times New Roman" w:hAnsi="Times New Roman"/>
          <w:sz w:val="18"/>
          <w:szCs w:val="18"/>
          <w:b w:val="1"/>
          <w:bCs w:val="1"/>
          <w:color w:val="auto"/>
        </w:rPr>
      </w:pPr>
    </w:p>
    <w:p>
      <w:pPr>
        <w:ind w:left="964" w:right="40" w:hanging="532"/>
        <w:spacing w:after="0" w:line="253" w:lineRule="auto"/>
        <w:tabs>
          <w:tab w:leader="none" w:pos="964"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Plans. </w:t>
      </w:r>
      <w:r>
        <w:rPr>
          <w:rFonts w:ascii="Times New Roman" w:cs="Times New Roman" w:eastAsia="Times New Roman" w:hAnsi="Times New Roman"/>
          <w:sz w:val="18"/>
          <w:szCs w:val="18"/>
          <w:color w:val="auto"/>
        </w:rPr>
        <w:t>The Plan is intended as the successor to and continuation of the Geron Corporation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Award Plan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 and the Geron Corporation 1992 Stock Option Plan (the “</w:t>
      </w:r>
      <w:r>
        <w:rPr>
          <w:rFonts w:ascii="Times New Roman" w:cs="Times New Roman" w:eastAsia="Times New Roman" w:hAnsi="Times New Roman"/>
          <w:sz w:val="18"/>
          <w:szCs w:val="18"/>
          <w:b w:val="1"/>
          <w:bCs w:val="1"/>
          <w:i w:val="1"/>
          <w:iCs w:val="1"/>
          <w:color w:val="auto"/>
        </w:rPr>
        <w:t>1992 Plan</w:t>
      </w:r>
      <w:r>
        <w:rPr>
          <w:rFonts w:ascii="Times New Roman" w:cs="Times New Roman" w:eastAsia="Times New Roman" w:hAnsi="Times New Roman"/>
          <w:sz w:val="18"/>
          <w:szCs w:val="18"/>
          <w:color w:val="auto"/>
        </w:rPr>
        <w:t>”), the Geron Corporation 1996 Directors’ Stock Option Plan (the “</w:t>
      </w:r>
      <w:r>
        <w:rPr>
          <w:rFonts w:ascii="Times New Roman" w:cs="Times New Roman" w:eastAsia="Times New Roman" w:hAnsi="Times New Roman"/>
          <w:sz w:val="18"/>
          <w:szCs w:val="18"/>
          <w:b w:val="1"/>
          <w:bCs w:val="1"/>
          <w:i w:val="1"/>
          <w:iCs w:val="1"/>
          <w:color w:val="auto"/>
        </w:rPr>
        <w:t>1996 Directors’ Plan</w:t>
      </w:r>
      <w:r>
        <w:rPr>
          <w:rFonts w:ascii="Times New Roman" w:cs="Times New Roman" w:eastAsia="Times New Roman" w:hAnsi="Times New Roman"/>
          <w:sz w:val="18"/>
          <w:szCs w:val="18"/>
          <w:color w:val="auto"/>
        </w:rPr>
        <w:t>”) and the Geron Corporation Amended and Restated 2002 Equity Incentive Plan (the “</w:t>
      </w:r>
      <w:r>
        <w:rPr>
          <w:rFonts w:ascii="Times New Roman" w:cs="Times New Roman" w:eastAsia="Times New Roman" w:hAnsi="Times New Roman"/>
          <w:sz w:val="18"/>
          <w:szCs w:val="18"/>
          <w:b w:val="1"/>
          <w:bCs w:val="1"/>
          <w:i w:val="1"/>
          <w:iCs w:val="1"/>
          <w:color w:val="auto"/>
        </w:rPr>
        <w:t>2002 Plan</w:t>
      </w:r>
      <w:r>
        <w:rPr>
          <w:rFonts w:ascii="Times New Roman" w:cs="Times New Roman" w:eastAsia="Times New Roman" w:hAnsi="Times New Roman"/>
          <w:sz w:val="18"/>
          <w:szCs w:val="18"/>
          <w:color w:val="auto"/>
        </w:rPr>
        <w:t>”, and together with the 2011 Plan, the 1992 Plan, the 1996 Directors’ Plan, the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Following the Effective Date, no additional stock awards may be granted under the Prior Plans. Any unallocated shares remaining available for grant under the Prior Plans as of 12:01 a.m., Pacific Time on the Effective Date (the “</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xml:space="preserve">”) will cease to be available under the Prior Plans at such time and will be added to the Share Reserve (as further described in Section 3(a) below) and be then immediately available for grant and issuance pursuant to Stock Awards granted under the Plan. In addition, from and after 12:01 a.m., Pacific Time on the Effective Date, all outstanding stock awards granted under the Prior Plans will remain subject to the terms of such Prior Plans,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shares subject to outstanding stock awards granted under the Prior Plans that</w:t>
      </w:r>
    </w:p>
    <w:p>
      <w:pPr>
        <w:ind w:left="964" w:right="80" w:firstLine="8"/>
        <w:spacing w:after="0" w:line="251" w:lineRule="auto"/>
        <w:tabs>
          <w:tab w:leader="none" w:pos="117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 or terminate for any reason prior to exercise or settlement, (ii) are forfeited, cancelled or otherwise returned to the Company because of the failure to meet a contingency or condition required for the vesting of such shares, or (iii) other than with respect to outstanding options and stock appreciation rights granted under the Prior Plans, with respect to which the exercise or strike price is at least one hundred percent (100%) of the Fair Market Value of the Common Stock subject to the option or stock appreciation right on the date of grant (the “</w:t>
      </w:r>
      <w:r>
        <w:rPr>
          <w:rFonts w:ascii="Times New Roman" w:cs="Times New Roman" w:eastAsia="Times New Roman" w:hAnsi="Times New Roman"/>
          <w:sz w:val="18"/>
          <w:szCs w:val="18"/>
          <w:b w:val="1"/>
          <w:bCs w:val="1"/>
          <w:i w:val="1"/>
          <w:iCs w:val="1"/>
          <w:color w:val="auto"/>
        </w:rPr>
        <w:t>Prior Plans’ Appreciation Awards</w:t>
      </w:r>
      <w:r>
        <w:rPr>
          <w:rFonts w:ascii="Times New Roman" w:cs="Times New Roman" w:eastAsia="Times New Roman" w:hAnsi="Times New Roman"/>
          <w:sz w:val="18"/>
          <w:szCs w:val="18"/>
          <w:color w:val="auto"/>
        </w:rPr>
        <w:t>”), are reacquired or withheld (or not issued) by the Company to satisfy a tax withholding obligation in connection with a stock award (collectively, the “</w:t>
      </w:r>
      <w:r>
        <w:rPr>
          <w:rFonts w:ascii="Times New Roman" w:cs="Times New Roman" w:eastAsia="Times New Roman" w:hAnsi="Times New Roman"/>
          <w:sz w:val="18"/>
          <w:szCs w:val="18"/>
          <w:b w:val="1"/>
          <w:bCs w:val="1"/>
          <w:i w:val="1"/>
          <w:iCs w:val="1"/>
          <w:color w:val="auto"/>
        </w:rPr>
        <w:t>Prior Plans’ Returning Shares</w:t>
      </w:r>
      <w:r>
        <w:rPr>
          <w:rFonts w:ascii="Times New Roman" w:cs="Times New Roman" w:eastAsia="Times New Roman" w:hAnsi="Times New Roman"/>
          <w:sz w:val="18"/>
          <w:szCs w:val="18"/>
          <w:color w:val="auto"/>
        </w:rPr>
        <w:t>”) will immediately be added to the Share Reserve (as further described in Section 3(a) below) as and when such shares become Prior Plans’ Returning Shares and become available for issuance pursuant to Stock Awards granted hereunder. All Stock Awards granted on or after 12:01 a.m., Pacific Time on the Effective Date will be subject to the terms of this Plan.</w:t>
      </w:r>
    </w:p>
    <w:p>
      <w:pPr>
        <w:spacing w:after="0" w:line="9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Eligible Award Recipients</w:t>
      </w:r>
      <w:r>
        <w:rPr>
          <w:rFonts w:ascii="Times New Roman" w:cs="Times New Roman" w:eastAsia="Times New Roman" w:hAnsi="Times New Roman"/>
          <w:sz w:val="18"/>
          <w:szCs w:val="18"/>
          <w:color w:val="auto"/>
        </w:rPr>
        <w:t>. Employees, Directors and Consultants are eligible to receive Stock Awards under this Plan.</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Stock Awards. </w:t>
      </w:r>
      <w:r>
        <w:rPr>
          <w:rFonts w:ascii="Times New Roman" w:cs="Times New Roman" w:eastAsia="Times New Roman" w:hAnsi="Times New Roman"/>
          <w:sz w:val="18"/>
          <w:szCs w:val="18"/>
          <w:color w:val="auto"/>
        </w:rPr>
        <w:t>The Plan provides for the grant of the following types of Stock Awards: (i) Incentive Stock Options,</w:t>
      </w:r>
    </w:p>
    <w:p>
      <w:pPr>
        <w:spacing w:after="0" w:line="31" w:lineRule="exact"/>
        <w:rPr>
          <w:rFonts w:ascii="Times New Roman" w:cs="Times New Roman" w:eastAsia="Times New Roman" w:hAnsi="Times New Roman"/>
          <w:sz w:val="18"/>
          <w:szCs w:val="18"/>
          <w:b w:val="1"/>
          <w:bCs w:val="1"/>
          <w:color w:val="auto"/>
        </w:rPr>
      </w:pPr>
    </w:p>
    <w:p>
      <w:pPr>
        <w:ind w:left="1244" w:hanging="272"/>
        <w:spacing w:after="0"/>
        <w:tabs>
          <w:tab w:leader="none" w:pos="124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 (iii) Stock Appreciation Rights, (iv) Restricted Stock Awards, (v) Restricted Stock Unit Awards,</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(vi) Performance Stock Awards, and (vii) Other Stock Awards.</w:t>
      </w:r>
    </w:p>
    <w:p>
      <w:pPr>
        <w:spacing w:after="0" w:line="108" w:lineRule="exact"/>
        <w:rPr>
          <w:sz w:val="20"/>
          <w:szCs w:val="20"/>
          <w:color w:val="auto"/>
        </w:rPr>
      </w:pPr>
    </w:p>
    <w:p>
      <w:pPr>
        <w:ind w:left="964" w:right="60" w:hanging="532"/>
        <w:spacing w:after="0" w:line="259" w:lineRule="auto"/>
        <w:tabs>
          <w:tab w:leader="none" w:pos="96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granting of Stock Awards, is intended to help the Company and any Affiliate secure and retain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eligible Stock Award recipients, provide incentives for such persons to exert maximum efforts for the success of the Company and any Affiliate and provide a means by which the eligible recipients may benefit from increases in value of the Common Stock. The Plan is also intended to provide long-term incentives that align the interests of our eligible Stock Award recipients with the interests of our stockholders.</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30" w:lineRule="exact"/>
        <w:rPr>
          <w:rFonts w:ascii="Times New Roman" w:cs="Times New Roman" w:eastAsia="Times New Roman" w:hAnsi="Times New Roman"/>
          <w:sz w:val="18"/>
          <w:szCs w:val="18"/>
          <w:b w:val="1"/>
          <w:bCs w:val="1"/>
          <w:color w:val="auto"/>
        </w:rPr>
      </w:pPr>
    </w:p>
    <w:p>
      <w:pPr>
        <w:ind w:left="964" w:right="380" w:hanging="532"/>
        <w:spacing w:after="0" w:line="286" w:lineRule="auto"/>
        <w:tabs>
          <w:tab w:leader="none" w:pos="964"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Section 2(c).</w:t>
      </w:r>
    </w:p>
    <w:p>
      <w:pPr>
        <w:sectPr>
          <w:pgSz w:w="11900" w:h="16838" w:orient="portrait"/>
          <w:cols w:equalWidth="0" w:num="1">
            <w:col w:w="11024"/>
          </w:cols>
          <w:pgMar w:left="436" w:top="121" w:right="439" w:bottom="1440" w:gutter="0" w:footer="0" w:header="0"/>
        </w:sectPr>
      </w:pPr>
    </w:p>
    <w:bookmarkStart w:id="5" w:name="page6"/>
    <w:bookmarkEnd w:id="5"/>
    <w:p>
      <w:pPr>
        <w:ind w:left="532" w:hanging="532"/>
        <w:spacing w:after="0"/>
        <w:tabs>
          <w:tab w:leader="none" w:pos="5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34" w:lineRule="exact"/>
        <w:rPr>
          <w:rFonts w:ascii="Times New Roman" w:cs="Times New Roman" w:eastAsia="Times New Roman" w:hAnsi="Times New Roman"/>
          <w:sz w:val="18"/>
          <w:szCs w:val="18"/>
          <w:b w:val="1"/>
          <w:bCs w:val="1"/>
          <w:color w:val="auto"/>
        </w:rPr>
      </w:pPr>
    </w:p>
    <w:p>
      <w:pPr>
        <w:ind w:left="992" w:right="120" w:hanging="439"/>
        <w:spacing w:after="0" w:line="261" w:lineRule="auto"/>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85" w:lineRule="exact"/>
        <w:rPr>
          <w:rFonts w:ascii="Times New Roman" w:cs="Times New Roman" w:eastAsia="Times New Roman" w:hAnsi="Times New Roman"/>
          <w:sz w:val="18"/>
          <w:szCs w:val="18"/>
          <w:b w:val="1"/>
          <w:bCs w:val="1"/>
          <w:color w:val="auto"/>
        </w:rPr>
      </w:pPr>
    </w:p>
    <w:p>
      <w:pPr>
        <w:ind w:left="992" w:right="140" w:hanging="439"/>
        <w:spacing w:after="0" w:line="261" w:lineRule="auto"/>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85" w:lineRule="exact"/>
        <w:rPr>
          <w:rFonts w:ascii="Times New Roman" w:cs="Times New Roman" w:eastAsia="Times New Roman" w:hAnsi="Times New Roman"/>
          <w:sz w:val="18"/>
          <w:szCs w:val="18"/>
          <w:b w:val="1"/>
          <w:bCs w:val="1"/>
          <w:color w:val="auto"/>
        </w:rPr>
      </w:pPr>
    </w:p>
    <w:p>
      <w:pPr>
        <w:ind w:left="992" w:hanging="439"/>
        <w:spacing w:after="0"/>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Stock Awards granted under it.</w:t>
      </w:r>
    </w:p>
    <w:p>
      <w:pPr>
        <w:spacing w:after="0" w:line="130" w:lineRule="exact"/>
        <w:rPr>
          <w:rFonts w:ascii="Times New Roman" w:cs="Times New Roman" w:eastAsia="Times New Roman" w:hAnsi="Times New Roman"/>
          <w:sz w:val="18"/>
          <w:szCs w:val="18"/>
          <w:b w:val="1"/>
          <w:bCs w:val="1"/>
          <w:color w:val="auto"/>
        </w:rPr>
      </w:pPr>
    </w:p>
    <w:p>
      <w:pPr>
        <w:ind w:left="992" w:right="100" w:hanging="439"/>
        <w:spacing w:after="0" w:line="282" w:lineRule="auto"/>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 Stock Award may be exercised or vest (or the time at which cash or shares of Common Stock may be issued in settlement thereof).</w:t>
      </w:r>
    </w:p>
    <w:p>
      <w:pPr>
        <w:spacing w:after="0" w:line="67" w:lineRule="exact"/>
        <w:rPr>
          <w:rFonts w:ascii="Times New Roman" w:cs="Times New Roman" w:eastAsia="Times New Roman" w:hAnsi="Times New Roman"/>
          <w:sz w:val="18"/>
          <w:szCs w:val="18"/>
          <w:b w:val="1"/>
          <w:bCs w:val="1"/>
          <w:color w:val="auto"/>
        </w:rPr>
      </w:pPr>
    </w:p>
    <w:p>
      <w:pPr>
        <w:ind w:left="992" w:hanging="439"/>
        <w:spacing w:after="0" w:line="266" w:lineRule="auto"/>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Except as otherwise provided in the Plan or a Stock Award Agreement, suspension or termination of the Plan will not materially impair a Participant’s rights under his or her then-outstanding Stock Award without his or her written consent except as provided in subsection (viii) below.</w:t>
      </w:r>
    </w:p>
    <w:p>
      <w:pPr>
        <w:spacing w:after="0" w:line="81" w:lineRule="exact"/>
        <w:rPr>
          <w:rFonts w:ascii="Times New Roman" w:cs="Times New Roman" w:eastAsia="Times New Roman" w:hAnsi="Times New Roman"/>
          <w:sz w:val="18"/>
          <w:szCs w:val="18"/>
          <w:b w:val="1"/>
          <w:bCs w:val="1"/>
          <w:color w:val="auto"/>
        </w:rPr>
      </w:pPr>
    </w:p>
    <w:p>
      <w:pPr>
        <w:ind w:left="992" w:right="20" w:hanging="439"/>
        <w:spacing w:after="0" w:line="268" w:lineRule="auto"/>
        <w:tabs>
          <w:tab w:leader="none" w:pos="992" w:val="left"/>
        </w:tabs>
        <w:numPr>
          <w:ilvl w:val="1"/>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Stock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(including NASDAQ Listing Rule 5635), and except as provided in Section 9(a) relating to Capitalization Adjustments, the Company will seek stockholder approval of any amendment of the Plan that (A) materially increases the number of shares of Common Stock available for issuance under the Plan,</w:t>
      </w:r>
    </w:p>
    <w:p>
      <w:pPr>
        <w:spacing w:after="0" w:line="2" w:lineRule="exact"/>
        <w:rPr>
          <w:rFonts w:ascii="Times New Roman" w:cs="Times New Roman" w:eastAsia="Times New Roman" w:hAnsi="Times New Roman"/>
          <w:sz w:val="17"/>
          <w:szCs w:val="17"/>
          <w:b w:val="1"/>
          <w:bCs w:val="1"/>
          <w:color w:val="auto"/>
        </w:rPr>
      </w:pPr>
    </w:p>
    <w:p>
      <w:pPr>
        <w:ind w:left="992" w:right="2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materially expands the class of individuals eligible to receive Stock Awards under the Plan, (C) materially increases the benefits accruing to Participants under the Plan, (D) materially reduces the price at which shares of Common Stock may be issued or purchased under the Plan, or (E) materially expands the types of Stock Awards available for issuance under the Plan. Except as provided in the Plan (including Section 2(b)(viii)) or a Stock Award Agreement, no amendment of the Plan will materially impair a Participant’s rights under an outstanding Stock Award without the Participant’s written consent.</w:t>
      </w:r>
    </w:p>
    <w:p>
      <w:pPr>
        <w:spacing w:after="0" w:line="92" w:lineRule="exact"/>
        <w:rPr>
          <w:rFonts w:ascii="Times New Roman" w:cs="Times New Roman" w:eastAsia="Times New Roman" w:hAnsi="Times New Roman"/>
          <w:sz w:val="17"/>
          <w:szCs w:val="17"/>
          <w:b w:val="1"/>
          <w:bCs w:val="1"/>
          <w:color w:val="auto"/>
        </w:rPr>
      </w:pPr>
    </w:p>
    <w:p>
      <w:pPr>
        <w:ind w:left="992" w:right="220" w:hanging="439"/>
        <w:spacing w:after="0" w:line="282" w:lineRule="auto"/>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67" w:lineRule="exact"/>
        <w:rPr>
          <w:rFonts w:ascii="Times New Roman" w:cs="Times New Roman" w:eastAsia="Times New Roman" w:hAnsi="Times New Roman"/>
          <w:sz w:val="18"/>
          <w:szCs w:val="18"/>
          <w:b w:val="1"/>
          <w:bCs w:val="1"/>
          <w:color w:val="auto"/>
        </w:rPr>
      </w:pPr>
    </w:p>
    <w:p>
      <w:pPr>
        <w:ind w:left="992" w:right="20" w:hanging="439"/>
        <w:spacing w:after="0" w:line="253" w:lineRule="auto"/>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 or listing requirements.</w:t>
      </w:r>
    </w:p>
    <w:p>
      <w:pPr>
        <w:spacing w:after="0" w:line="92" w:lineRule="exact"/>
        <w:rPr>
          <w:rFonts w:ascii="Times New Roman" w:cs="Times New Roman" w:eastAsia="Times New Roman" w:hAnsi="Times New Roman"/>
          <w:sz w:val="18"/>
          <w:szCs w:val="18"/>
          <w:b w:val="1"/>
          <w:bCs w:val="1"/>
          <w:color w:val="auto"/>
        </w:rPr>
      </w:pPr>
    </w:p>
    <w:p>
      <w:pPr>
        <w:ind w:left="992" w:hanging="439"/>
        <w:spacing w:after="0" w:line="282" w:lineRule="auto"/>
        <w:tabs>
          <w:tab w:leader="none" w:pos="9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ectPr>
          <w:pgSz w:w="11900" w:h="16838" w:orient="portrait"/>
          <w:cols w:equalWidth="0" w:num="1">
            <w:col w:w="10512"/>
          </w:cols>
          <w:pgMar w:left="868" w:top="266" w:right="519" w:bottom="1440" w:gutter="0" w:footer="0" w:header="0"/>
        </w:sectPr>
      </w:pPr>
    </w:p>
    <w:bookmarkStart w:id="6" w:name="page7"/>
    <w:bookmarkEnd w:id="6"/>
    <w:p>
      <w:pPr>
        <w:ind w:left="1420" w:right="120" w:hanging="439"/>
        <w:spacing w:after="0" w:line="261" w:lineRule="auto"/>
        <w:tabs>
          <w:tab w:leader="none" w:pos="142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81"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30" w:lineRule="exact"/>
        <w:rPr>
          <w:rFonts w:ascii="Times New Roman" w:cs="Times New Roman" w:eastAsia="Times New Roman" w:hAnsi="Times New Roman"/>
          <w:sz w:val="18"/>
          <w:szCs w:val="18"/>
          <w:b w:val="1"/>
          <w:bCs w:val="1"/>
          <w:color w:val="auto"/>
        </w:rPr>
      </w:pPr>
    </w:p>
    <w:p>
      <w:pPr>
        <w:ind w:left="1420" w:right="60" w:hanging="439"/>
        <w:spacing w:after="0" w:line="254" w:lineRule="auto"/>
        <w:tabs>
          <w:tab w:leader="none" w:pos="14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94" w:lineRule="exact"/>
        <w:rPr>
          <w:sz w:val="20"/>
          <w:szCs w:val="20"/>
          <w:color w:val="auto"/>
        </w:rPr>
      </w:pPr>
    </w:p>
    <w:p>
      <w:pPr>
        <w:ind w:left="1420" w:right="400" w:hanging="439"/>
        <w:spacing w:after="0" w:line="286" w:lineRule="auto"/>
        <w:tabs>
          <w:tab w:leader="none" w:pos="1420" w:val="left"/>
        </w:tabs>
        <w:numPr>
          <w:ilvl w:val="2"/>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The Committee may consist solely of two or more Non-Employee Directors, in accordance with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16b-3.</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line="254" w:lineRule="auto"/>
        <w:tabs>
          <w:tab w:leader="none" w:pos="96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other Persons or Bodies. </w:t>
      </w:r>
      <w:r>
        <w:rPr>
          <w:rFonts w:ascii="Times New Roman" w:cs="Times New Roman" w:eastAsia="Times New Roman" w:hAnsi="Times New Roman"/>
          <w:sz w:val="18"/>
          <w:szCs w:val="18"/>
          <w:color w:val="auto"/>
        </w:rPr>
        <w:t>The Board or the Committee may delegate to one or more persons or bodies the authority to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of the following to the extent permitted by applicable law: (i) designate recipients, other than Officers, of Stock Awards, provided that no person or body may be delegated authority to grant a Stock Award to themself; (ii) determine the number of shares of Common Stock subject to such Stock Awards; and (iii) determine the terms of such Stock Awards; provided, however, that the Board or the Committee resolutions regarding such delegation shall fix the terms of such delegation in accordance with applicable law, including without limitation Sections 152 and 157 of the Delaware General Corporation Law. Unless provided otherwise in the Board or the Committee resolutions regarding such delegation, each Stock Award granted pursuant to this section shall be granted on the applicable form of Stock Award Agreement most recently approved for use by the Board or the Committee, with any modifications necessary to incorporate or reflect the terms of such Stock Award. Notwithstanding anything to the contrary herein, neither the Board nor the Committee may delegate to any person or body (who is not a Director or that is not comprised solely of Directors, respectively) the authority to determine the Fair Market Value.</w:t>
      </w:r>
    </w:p>
    <w:p>
      <w:pPr>
        <w:spacing w:after="0" w:line="87" w:lineRule="exact"/>
        <w:rPr>
          <w:rFonts w:ascii="Times New Roman" w:cs="Times New Roman" w:eastAsia="Times New Roman" w:hAnsi="Times New Roman"/>
          <w:sz w:val="18"/>
          <w:szCs w:val="18"/>
          <w:b w:val="1"/>
          <w:bCs w:val="1"/>
          <w:color w:val="auto"/>
        </w:rPr>
      </w:pPr>
    </w:p>
    <w:p>
      <w:pPr>
        <w:ind w:left="960" w:right="260" w:hanging="532"/>
        <w:spacing w:after="0" w:line="286" w:lineRule="auto"/>
        <w:tabs>
          <w:tab w:leader="none" w:pos="96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will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will be final, binding and conclusive on all persons.</w:t>
      </w:r>
    </w:p>
    <w:p>
      <w:pPr>
        <w:spacing w:after="0" w:line="60" w:lineRule="exact"/>
        <w:rPr>
          <w:rFonts w:ascii="Times New Roman" w:cs="Times New Roman" w:eastAsia="Times New Roman" w:hAnsi="Times New Roman"/>
          <w:sz w:val="18"/>
          <w:szCs w:val="18"/>
          <w:b w:val="1"/>
          <w:bCs w:val="1"/>
          <w:color w:val="auto"/>
        </w:rPr>
      </w:pPr>
    </w:p>
    <w:p>
      <w:pPr>
        <w:jc w:val="both"/>
        <w:ind w:left="960" w:right="120" w:hanging="532"/>
        <w:spacing w:after="0" w:line="282" w:lineRule="auto"/>
        <w:tabs>
          <w:tab w:leader="none" w:pos="960" w:val="left"/>
        </w:tabs>
        <w:numPr>
          <w:ilvl w:val="1"/>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Repricing; Cancellation and Re-Grant of Stock Awards. </w:t>
      </w:r>
      <w:r>
        <w:rPr>
          <w:rFonts w:ascii="Times New Roman" w:cs="Times New Roman" w:eastAsia="Times New Roman" w:hAnsi="Times New Roman"/>
          <w:sz w:val="17"/>
          <w:szCs w:val="17"/>
          <w:color w:val="auto"/>
        </w:rPr>
        <w:t>Neither the Board nor any Committee will have the authority to (i) reduce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purchase or strike price of any outstanding Option or SAR under the Plan, or (ii) cancel any outstanding Option or SAR that has an exercise price or strike price greater than the then-current Fair Market Value of the Common Stock in exchange for cash or other Stock Awards under the Plan, unless the stockholders of the Company have approved such an action within 12 months prior to such an event.</w:t>
      </w:r>
    </w:p>
    <w:p>
      <w:pPr>
        <w:spacing w:after="0" w:line="66" w:lineRule="exact"/>
        <w:rPr>
          <w:rFonts w:ascii="Times New Roman" w:cs="Times New Roman" w:eastAsia="Times New Roman" w:hAnsi="Times New Roman"/>
          <w:sz w:val="17"/>
          <w:szCs w:val="17"/>
          <w:b w:val="1"/>
          <w:bCs w:val="1"/>
          <w:color w:val="auto"/>
        </w:rPr>
      </w:pPr>
    </w:p>
    <w:p>
      <w:pPr>
        <w:ind w:left="960" w:right="20" w:hanging="532"/>
        <w:spacing w:after="0" w:line="255" w:lineRule="auto"/>
        <w:tabs>
          <w:tab w:leader="none" w:pos="96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of Common Stock subject to a Stock Award, as determined by the Board and contained in the applicable Stock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no dividends or dividend equivalents may be paid with respect to any such shares before the date such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vested under the terms of such Stock Award Agreement, (ii) any dividends or dividend equivalents that are credited with respect to any such shares will be subject to all of the terms and conditions applicable to such shares under the terms of such Stock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Stock Award Agreement.</w:t>
      </w:r>
    </w:p>
    <w:p>
      <w:pPr>
        <w:spacing w:after="0" w:line="33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III.  SHARES SUBJECT TO THE PLAN.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w:t>
      </w:r>
    </w:p>
    <w:p>
      <w:pPr>
        <w:spacing w:after="0" w:line="134" w:lineRule="exact"/>
        <w:rPr>
          <w:rFonts w:ascii="Times New Roman" w:cs="Times New Roman" w:eastAsia="Times New Roman" w:hAnsi="Times New Roman"/>
          <w:sz w:val="18"/>
          <w:szCs w:val="18"/>
          <w:b w:val="1"/>
          <w:bCs w:val="1"/>
          <w:color w:val="auto"/>
        </w:rPr>
      </w:pPr>
    </w:p>
    <w:p>
      <w:pPr>
        <w:ind w:left="1420" w:right="100" w:hanging="439"/>
        <w:spacing w:after="0" w:line="276" w:lineRule="auto"/>
        <w:tabs>
          <w:tab w:leader="none" w:pos="1420" w:val="left"/>
        </w:tabs>
        <w:numPr>
          <w:ilvl w:val="2"/>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Section 9(a) relating to Capitalization Adjustments, the aggregate number of shares of Common Stock that may be issued pursuant to Stock Awards from and after the Effective Date will not exceed (A) 109,955,419 shares (which number is the sum of</w:t>
      </w:r>
    </w:p>
    <w:p>
      <w:pPr>
        <w:ind w:left="1420" w:right="60" w:hanging="7"/>
        <w:spacing w:after="0" w:line="250" w:lineRule="auto"/>
        <w:tabs>
          <w:tab w:leader="none" w:pos="1635"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(2,895,419) subject to the Prior Plans’ Available Reserve, (ii) 10,000,000 shares subject to the Plan as of the Effective Date, (iii) an additional 5,700,000 shares that were approved at the Company’s 2020 Annual Meeting of Stockholders,</w:t>
      </w:r>
    </w:p>
    <w:p>
      <w:pPr>
        <w:ind w:left="1720" w:hanging="307"/>
        <w:spacing w:after="0"/>
        <w:tabs>
          <w:tab w:leader="none" w:pos="172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12,500,000 shares that were approved at the Company’s</w:t>
      </w:r>
    </w:p>
    <w:p>
      <w:pPr>
        <w:sectPr>
          <w:pgSz w:w="11900" w:h="16838" w:orient="portrait"/>
          <w:cols w:equalWidth="0" w:num="1">
            <w:col w:w="11020"/>
          </w:cols>
          <w:pgMar w:left="440" w:top="270" w:right="439" w:bottom="1440" w:gutter="0" w:footer="0" w:header="0"/>
        </w:sectPr>
      </w:pPr>
    </w:p>
    <w:bookmarkStart w:id="7" w:name="page8"/>
    <w:bookmarkEnd w:id="7"/>
    <w:p>
      <w:pPr>
        <w:ind w:left="1420"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2021 Annual Meeting of Stockholders, (v) an additional 11,000,000 shares that were approved at the Company’s 2022 Annual Meeting of Stockholders, (vi) an additional 43,360,000 shares that were approved at the Company’s 2023 Annual Meeting of Stockholders), (vii) an additional 20,000,000 shares that were approved at the Company’s 2025 Annual Meeting of Stockholders and</w:t>
      </w:r>
    </w:p>
    <w:p>
      <w:pPr>
        <w:spacing w:after="0" w:line="1" w:lineRule="exact"/>
        <w:rPr>
          <w:sz w:val="20"/>
          <w:szCs w:val="20"/>
          <w:color w:val="auto"/>
        </w:rPr>
      </w:pPr>
    </w:p>
    <w:p>
      <w:pPr>
        <w:ind w:left="1420" w:right="120" w:firstLine="7"/>
        <w:spacing w:after="0" w:line="255" w:lineRule="auto"/>
        <w:tabs>
          <w:tab w:leader="none" w:pos="1825"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additional 4,500,000 shares that were approved at the Company’s 2026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Prior Plans’ Returning Shares, if any, which become available for grant under this Plan from time to time (such aggregate number of shares described in (A) and (B) above,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left="1420" w:right="200" w:hanging="439"/>
        <w:spacing w:after="0" w:line="258" w:lineRule="auto"/>
        <w:tabs>
          <w:tab w:leader="none" w:pos="1420" w:val="left"/>
        </w:tabs>
        <w:numPr>
          <w:ilvl w:val="2"/>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88" w:lineRule="exact"/>
        <w:rPr>
          <w:rFonts w:ascii="Times New Roman" w:cs="Times New Roman" w:eastAsia="Times New Roman" w:hAnsi="Times New Roman"/>
          <w:sz w:val="18"/>
          <w:szCs w:val="18"/>
          <w:b w:val="1"/>
          <w:bCs w:val="1"/>
          <w:color w:val="auto"/>
        </w:rPr>
      </w:pPr>
    </w:p>
    <w:p>
      <w:pPr>
        <w:ind w:left="1420" w:right="180" w:hanging="439"/>
        <w:spacing w:after="0" w:line="256" w:lineRule="auto"/>
        <w:tabs>
          <w:tab w:leader="none" w:pos="1420" w:val="left"/>
        </w:tabs>
        <w:numPr>
          <w:ilvl w:val="2"/>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3(b), the number of shares of Common Stock available for issuance under the Plan will be reduced by: (A) one share for each share of Common Stock issued pursuant to an Option or SAR with respect to which the exercise or strike price is at least 100% of the Fair Market Value of the Common Stock subject to the Option or SAR on the date of grant; and (B) (i) one and thirty hundredth (1.3) shares for each share of Common Stock issued pursuant to a Full Value Award granted under the Plan on or after May 31, 2023, and (ii) two (2.0) shares for each share of Common Stock issued pursuant to a Full Value Award granted under the Plan prior to May 31, 2023.</w:t>
      </w:r>
    </w:p>
    <w:p>
      <w:pPr>
        <w:spacing w:after="0" w:line="88" w:lineRule="exact"/>
        <w:rPr>
          <w:rFonts w:ascii="Times New Roman" w:cs="Times New Roman" w:eastAsia="Times New Roman" w:hAnsi="Times New Roman"/>
          <w:sz w:val="18"/>
          <w:szCs w:val="18"/>
          <w:b w:val="1"/>
          <w:bCs w:val="1"/>
          <w:color w:val="auto"/>
        </w:rPr>
      </w:pPr>
    </w:p>
    <w:p>
      <w:pPr>
        <w:ind w:left="1180" w:hanging="644"/>
        <w:spacing w:after="0"/>
        <w:tabs>
          <w:tab w:leader="none" w:pos="11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Reversion of Shares to the Share Reserve.</w:t>
      </w:r>
    </w:p>
    <w:p>
      <w:pPr>
        <w:spacing w:after="0" w:line="130" w:lineRule="exact"/>
        <w:rPr>
          <w:rFonts w:ascii="Times New Roman" w:cs="Times New Roman" w:eastAsia="Times New Roman" w:hAnsi="Times New Roman"/>
          <w:sz w:val="18"/>
          <w:szCs w:val="18"/>
          <w:b w:val="1"/>
          <w:bCs w:val="1"/>
          <w:color w:val="auto"/>
        </w:rPr>
      </w:pPr>
    </w:p>
    <w:p>
      <w:pPr>
        <w:ind w:left="1420" w:right="40" w:hanging="439"/>
        <w:spacing w:after="0" w:line="254" w:lineRule="auto"/>
        <w:tabs>
          <w:tab w:leader="none" w:pos="142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Available For Subsequent Issuance. </w:t>
      </w:r>
      <w:r>
        <w:rPr>
          <w:rFonts w:ascii="Times New Roman" w:cs="Times New Roman" w:eastAsia="Times New Roman" w:hAnsi="Times New Roman"/>
          <w:sz w:val="18"/>
          <w:szCs w:val="18"/>
          <w:color w:val="auto"/>
        </w:rPr>
        <w:t>If (A) any shares of Common Stock subject to a Stock Award are not issued because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Stock Award or any portion thereof expires or otherwise terminates without all of the shares covered by such Stock Award having been issued or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(B) any shares of Common Stock issued pursuant to a Stock Award are forfeited back to or repurchased by the Company because of the failure to meet a contingency or condition required for the vesting of such shares, or (C) with respect to a Full Value Award, any shares of Common Stock are reacquired or withheld (or not issued) by the Company to satisfy a tax withholding obligation in connection with such Full Value Award, such shares will again become available for issuance under the Plan (collectively, the “</w:t>
      </w:r>
      <w:r>
        <w:rPr>
          <w:rFonts w:ascii="Times New Roman" w:cs="Times New Roman" w:eastAsia="Times New Roman" w:hAnsi="Times New Roman"/>
          <w:sz w:val="18"/>
          <w:szCs w:val="18"/>
          <w:b w:val="1"/>
          <w:bCs w:val="1"/>
          <w:i w:val="1"/>
          <w:iCs w:val="1"/>
          <w:color w:val="auto"/>
        </w:rPr>
        <w:t>2018 Plan Returning Shares</w:t>
      </w:r>
      <w:r>
        <w:rPr>
          <w:rFonts w:ascii="Times New Roman" w:cs="Times New Roman" w:eastAsia="Times New Roman" w:hAnsi="Times New Roman"/>
          <w:sz w:val="18"/>
          <w:szCs w:val="18"/>
          <w:color w:val="auto"/>
        </w:rPr>
        <w:t>”). For each (1) 2018 Plan Returning Share subject to a Full Value Award or (2) Prior Plans’ Returning Share subject to a stock award other than a Prior Plans’ Appreciation Award, that (i) returns to the Plan on or after May 31, 2023, the number of shares of Common Stock available for issuance under the Plan will increase by one and thirty hundredth (1.3) shares, and (ii) returned to the Plan prior to May 31, 2023, the number of shares of Common Stock available for issuance under the Plan increased by two (2.0) shares.</w:t>
      </w:r>
    </w:p>
    <w:p>
      <w:pPr>
        <w:spacing w:after="0" w:line="87" w:lineRule="exact"/>
        <w:rPr>
          <w:rFonts w:ascii="Times New Roman" w:cs="Times New Roman" w:eastAsia="Times New Roman" w:hAnsi="Times New Roman"/>
          <w:sz w:val="18"/>
          <w:szCs w:val="18"/>
          <w:b w:val="1"/>
          <w:bCs w:val="1"/>
          <w:color w:val="auto"/>
        </w:rPr>
      </w:pPr>
    </w:p>
    <w:p>
      <w:pPr>
        <w:ind w:left="1420" w:right="140" w:hanging="439"/>
        <w:spacing w:after="0" w:line="255" w:lineRule="auto"/>
        <w:tabs>
          <w:tab w:leader="none" w:pos="142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Any shares of Common Stock reacquired or withheld (or not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satisfy the exercise or purchase price of a Stock Award will no longer be available for issuance under the Plan, including any shares subject to a Stock Award that are not delivered to a Participant because such Stock Award is exercised through a reduction of shares subject to such Stock Award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“net exercised”). In addition, any shares reacquired or withheld (or not issued) by the Company to satisfy a tax withholding obligation in connection with an Option or Stock Appreciation Right or a Prior Plans’ Appreciation Award, or any shares repurchased by the Company on the open market with the proceeds of the exercise or strike price of an Option or Stock Appreciation Right or a Prior Plans’ Appreciation Award will no longer be available for issuance under the Plan.</w:t>
      </w:r>
    </w:p>
    <w:p>
      <w:pPr>
        <w:spacing w:after="0" w:line="90" w:lineRule="exact"/>
        <w:rPr>
          <w:rFonts w:ascii="Times New Roman" w:cs="Times New Roman" w:eastAsia="Times New Roman" w:hAnsi="Times New Roman"/>
          <w:sz w:val="18"/>
          <w:szCs w:val="18"/>
          <w:b w:val="1"/>
          <w:bCs w:val="1"/>
          <w:color w:val="auto"/>
        </w:rPr>
      </w:pPr>
    </w:p>
    <w:p>
      <w:pPr>
        <w:ind w:left="960" w:right="80" w:hanging="532"/>
        <w:spacing w:after="0" w:line="268" w:lineRule="auto"/>
        <w:tabs>
          <w:tab w:leader="none" w:pos="9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Share Reserve and Section 9(a) relating to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of Common Stock that may be issued pursuant to the exercise of Incentive Stock Options will be 219,910,838 shares of Common Stock.</w:t>
      </w:r>
    </w:p>
    <w:p>
      <w:pPr>
        <w:spacing w:after="0" w:line="76" w:lineRule="exact"/>
        <w:rPr>
          <w:rFonts w:ascii="Times New Roman" w:cs="Times New Roman" w:eastAsia="Times New Roman" w:hAnsi="Times New Roman"/>
          <w:sz w:val="18"/>
          <w:szCs w:val="18"/>
          <w:b w:val="1"/>
          <w:bCs w:val="1"/>
          <w:color w:val="auto"/>
        </w:rPr>
      </w:pPr>
    </w:p>
    <w:p>
      <w:pPr>
        <w:ind w:left="960" w:right="340" w:hanging="532"/>
        <w:spacing w:after="0" w:line="286" w:lineRule="auto"/>
        <w:tabs>
          <w:tab w:leader="none" w:pos="9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3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IV.</w:t>
        <w:tab/>
        <w:t>ELIGIBILITY AND LIMITATIONS.</w:t>
      </w:r>
    </w:p>
    <w:p>
      <w:pPr>
        <w:spacing w:after="0" w:line="131" w:lineRule="exact"/>
        <w:rPr>
          <w:sz w:val="20"/>
          <w:szCs w:val="20"/>
          <w:color w:val="auto"/>
        </w:rPr>
      </w:pPr>
    </w:p>
    <w:p>
      <w:pPr>
        <w:ind w:left="960" w:hanging="532"/>
        <w:spacing w:after="0" w:line="259" w:lineRule="auto"/>
        <w:tabs>
          <w:tab w:leader="none" w:pos="9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Eligibility for Specific Stock Awards. </w:t>
      </w:r>
      <w:r>
        <w:rPr>
          <w:rFonts w:ascii="Times New Roman" w:cs="Times New Roman" w:eastAsia="Times New Roman" w:hAnsi="Times New Roman"/>
          <w:sz w:val="18"/>
          <w:szCs w:val="18"/>
          <w:color w:val="auto"/>
        </w:rPr>
        <w:t>Incentive Stock Options may be granted only to employees of the Company or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w:t>
      </w:r>
    </w:p>
    <w:p>
      <w:pPr>
        <w:sectPr>
          <w:pgSz w:w="11900" w:h="16838" w:orient="portrait"/>
          <w:cols w:equalWidth="0" w:num="1">
            <w:col w:w="11020"/>
          </w:cols>
          <w:pgMar w:left="440" w:top="270" w:right="439" w:bottom="1440" w:gutter="0" w:footer="0" w:header="0"/>
        </w:sectPr>
      </w:pPr>
    </w:p>
    <w:bookmarkStart w:id="8" w:name="page9"/>
    <w:bookmarkEnd w:id="8"/>
    <w:p>
      <w:pPr>
        <w:ind w:left="98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81" w:lineRule="exact"/>
        <w:rPr>
          <w:sz w:val="20"/>
          <w:szCs w:val="20"/>
          <w:color w:val="auto"/>
        </w:rPr>
      </w:pPr>
    </w:p>
    <w:p>
      <w:pPr>
        <w:jc w:val="both"/>
        <w:ind w:left="964" w:right="360" w:hanging="532"/>
        <w:spacing w:after="0" w:line="268" w:lineRule="auto"/>
        <w:tabs>
          <w:tab w:leader="none" w:pos="96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Stockholders. </w:t>
      </w:r>
      <w:r>
        <w:rPr>
          <w:rFonts w:ascii="Times New Roman" w:cs="Times New Roman" w:eastAsia="Times New Roman" w:hAnsi="Times New Roman"/>
          <w:sz w:val="18"/>
          <w:szCs w:val="18"/>
          <w:color w:val="auto"/>
        </w:rPr>
        <w:t>A Ten Percent Stockholder will not be granted an Incentive Stock Option unless the exercise price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at least 110% of the Fair Market Value on the date of grant and the Option is not exercisable after the expiration of five years from the date of grant.</w:t>
      </w:r>
    </w:p>
    <w:p>
      <w:pPr>
        <w:spacing w:after="0" w:line="76" w:lineRule="exact"/>
        <w:rPr>
          <w:rFonts w:ascii="Times New Roman" w:cs="Times New Roman" w:eastAsia="Times New Roman" w:hAnsi="Times New Roman"/>
          <w:sz w:val="18"/>
          <w:szCs w:val="18"/>
          <w:b w:val="1"/>
          <w:bCs w:val="1"/>
          <w:color w:val="auto"/>
        </w:rPr>
      </w:pPr>
    </w:p>
    <w:p>
      <w:pPr>
        <w:ind w:left="964" w:right="20" w:hanging="532"/>
        <w:spacing w:after="0" w:line="259" w:lineRule="auto"/>
        <w:tabs>
          <w:tab w:leader="none" w:pos="96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as applicable, to any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 as a Non-Employee Director with respect to any calendar year, including Stock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RELATING TO OPTIONS AND STOCK APPRECIATION RIGHTS.</w:t>
      </w:r>
    </w:p>
    <w:p>
      <w:pPr>
        <w:spacing w:after="0" w:line="121"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Stock Award Agreement will conform to (through incorporation of provisions hereof by reference in the applicable Stock Award Agreement or otherwise) the substance of each of the following provisions:</w:t>
      </w:r>
    </w:p>
    <w:p>
      <w:pPr>
        <w:spacing w:after="0" w:line="90" w:lineRule="exact"/>
        <w:rPr>
          <w:sz w:val="20"/>
          <w:szCs w:val="20"/>
          <w:color w:val="auto"/>
        </w:rPr>
      </w:pPr>
    </w:p>
    <w:p>
      <w:pPr>
        <w:ind w:left="964" w:right="580" w:hanging="532"/>
        <w:spacing w:after="0" w:line="286" w:lineRule="auto"/>
        <w:tabs>
          <w:tab w:leader="none" w:pos="9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or SAR will be exercisable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ten (10) years from the date of its grant or such shorter period specified in the Stock Award Agreement.</w:t>
      </w:r>
    </w:p>
    <w:p>
      <w:pPr>
        <w:spacing w:after="0" w:line="60" w:lineRule="exact"/>
        <w:rPr>
          <w:rFonts w:ascii="Times New Roman" w:cs="Times New Roman" w:eastAsia="Times New Roman" w:hAnsi="Times New Roman"/>
          <w:sz w:val="18"/>
          <w:szCs w:val="18"/>
          <w:b w:val="1"/>
          <w:bCs w:val="1"/>
          <w:color w:val="auto"/>
        </w:rPr>
      </w:pPr>
    </w:p>
    <w:p>
      <w:pPr>
        <w:ind w:left="964" w:right="20" w:hanging="532"/>
        <w:spacing w:after="0" w:line="256" w:lineRule="auto"/>
        <w:tabs>
          <w:tab w:leader="none" w:pos="9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4(b) regarding Ten Percent Stockholders, the exercise or strike price of each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88" w:lineRule="exact"/>
        <w:rPr>
          <w:rFonts w:ascii="Times New Roman" w:cs="Times New Roman" w:eastAsia="Times New Roman" w:hAnsi="Times New Roman"/>
          <w:sz w:val="18"/>
          <w:szCs w:val="18"/>
          <w:b w:val="1"/>
          <w:bCs w:val="1"/>
          <w:color w:val="auto"/>
        </w:rPr>
      </w:pPr>
    </w:p>
    <w:p>
      <w:pPr>
        <w:ind w:left="964" w:hanging="532"/>
        <w:spacing w:after="0" w:line="259" w:lineRule="auto"/>
        <w:tabs>
          <w:tab w:leader="none" w:pos="9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 exercise of an Option may be paid,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pacing w:after="0" w:line="88"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check, bank draft or money order payable to the Company;</w:t>
      </w:r>
    </w:p>
    <w:p>
      <w:pPr>
        <w:spacing w:after="0" w:line="130" w:lineRule="exact"/>
        <w:rPr>
          <w:rFonts w:ascii="Times New Roman" w:cs="Times New Roman" w:eastAsia="Times New Roman" w:hAnsi="Times New Roman"/>
          <w:sz w:val="18"/>
          <w:szCs w:val="18"/>
          <w:color w:val="auto"/>
        </w:rPr>
      </w:pPr>
    </w:p>
    <w:p>
      <w:pPr>
        <w:ind w:left="1424" w:right="140" w:hanging="439"/>
        <w:spacing w:after="0" w:line="266" w:lineRule="auto"/>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130" w:lineRule="exact"/>
        <w:rPr>
          <w:rFonts w:ascii="Times New Roman" w:cs="Times New Roman" w:eastAsia="Times New Roman" w:hAnsi="Times New Roman"/>
          <w:sz w:val="18"/>
          <w:szCs w:val="18"/>
          <w:color w:val="auto"/>
        </w:rPr>
      </w:pPr>
    </w:p>
    <w:p>
      <w:pPr>
        <w:ind w:left="1424" w:right="20" w:hanging="439"/>
        <w:spacing w:after="0" w:line="269" w:lineRule="auto"/>
        <w:tabs>
          <w:tab w:leader="none" w:pos="142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w:t>
      </w:r>
    </w:p>
    <w:p>
      <w:pPr>
        <w:spacing w:after="0" w:line="2" w:lineRule="exact"/>
        <w:rPr>
          <w:rFonts w:ascii="Times New Roman" w:cs="Times New Roman" w:eastAsia="Times New Roman" w:hAnsi="Times New Roman"/>
          <w:sz w:val="17"/>
          <w:szCs w:val="17"/>
          <w:color w:val="auto"/>
        </w:rPr>
      </w:pPr>
    </w:p>
    <w:p>
      <w:pPr>
        <w:ind w:left="1424"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shares issuable upon exercise are used to pay the exercise price pursuant to the “net exercise,” (B) shares are delivered to the Participant as a result of such exercise, and (C) shares are withheld to satisfy tax withholding obligations; or</w:t>
      </w:r>
    </w:p>
    <w:p>
      <w:pPr>
        <w:sectPr>
          <w:pgSz w:w="11900" w:h="16838" w:orient="portrait"/>
          <w:cols w:equalWidth="0" w:num="1">
            <w:col w:w="11024"/>
          </w:cols>
          <w:pgMar w:left="436" w:top="270" w:right="439" w:bottom="1440" w:gutter="0" w:footer="0" w:header="0"/>
        </w:sectPr>
      </w:pPr>
    </w:p>
    <w:bookmarkStart w:id="9" w:name="page10"/>
    <w:bookmarkEnd w:id="9"/>
    <w:p>
      <w:pPr>
        <w:ind w:left="992" w:hanging="439"/>
        <w:spacing w:after="0"/>
        <w:tabs>
          <w:tab w:leader="none" w:pos="9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other form of legal consideration that may be acceptable to the Board and specified in the applicable Stock Award Agreement.</w:t>
      </w:r>
    </w:p>
    <w:p>
      <w:pPr>
        <w:spacing w:after="0" w:line="126" w:lineRule="exact"/>
        <w:rPr>
          <w:rFonts w:ascii="Times New Roman" w:cs="Times New Roman" w:eastAsia="Times New Roman" w:hAnsi="Times New Roman"/>
          <w:sz w:val="18"/>
          <w:szCs w:val="18"/>
          <w:color w:val="auto"/>
        </w:rPr>
      </w:pPr>
    </w:p>
    <w:p>
      <w:pPr>
        <w:ind w:left="532" w:right="60" w:hanging="532"/>
        <w:spacing w:after="0" w:line="255" w:lineRule="auto"/>
        <w:tabs>
          <w:tab w:leader="none" w:pos="53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compliance with the provisions of the Stock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90" w:lineRule="exact"/>
        <w:rPr>
          <w:rFonts w:ascii="Times New Roman" w:cs="Times New Roman" w:eastAsia="Times New Roman" w:hAnsi="Times New Roman"/>
          <w:sz w:val="18"/>
          <w:szCs w:val="18"/>
          <w:b w:val="1"/>
          <w:bCs w:val="1"/>
          <w:color w:val="auto"/>
        </w:rPr>
      </w:pPr>
    </w:p>
    <w:p>
      <w:pPr>
        <w:ind w:left="532" w:right="20" w:hanging="532"/>
        <w:spacing w:after="0" w:line="262" w:lineRule="auto"/>
        <w:tabs>
          <w:tab w:leader="none" w:pos="53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as the Board may determine. In the absence of such a determination by the Board to the contrary, the restrictions set forth in this Section 5(e) on the transferability of Options and SARs will apply. Notwithstanding the foregoing or anything in the Plan or a Stock Award Agreement to the contrary, no Option or SAR may be transferred to any financial institution without prior stockholder approval.</w:t>
      </w:r>
    </w:p>
    <w:p>
      <w:pPr>
        <w:spacing w:after="0" w:line="81" w:lineRule="exact"/>
        <w:rPr>
          <w:rFonts w:ascii="Times New Roman" w:cs="Times New Roman" w:eastAsia="Times New Roman" w:hAnsi="Times New Roman"/>
          <w:sz w:val="18"/>
          <w:szCs w:val="18"/>
          <w:b w:val="1"/>
          <w:bCs w:val="1"/>
          <w:color w:val="auto"/>
        </w:rPr>
      </w:pPr>
    </w:p>
    <w:p>
      <w:pPr>
        <w:ind w:left="992" w:right="40" w:hanging="439"/>
        <w:spacing w:after="0" w:line="259" w:lineRule="auto"/>
        <w:tabs>
          <w:tab w:leader="none" w:pos="992"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Sections 5(e)(ii) and 5(e)(iii) below) and will be exercisable during the lifetime of the Participant only by the Participant. Subject to the foregoing paragraph, the Board may permit transfer of the Option or SAR in a manner that is not prohibited by applicable tax and securities laws. Except as explicitly provided in the Plan, neither an Option nor a SAR may be transferred for consideration.</w:t>
      </w:r>
    </w:p>
    <w:p>
      <w:pPr>
        <w:spacing w:after="0" w:line="85" w:lineRule="exact"/>
        <w:rPr>
          <w:sz w:val="20"/>
          <w:szCs w:val="20"/>
          <w:color w:val="auto"/>
        </w:rPr>
      </w:pPr>
    </w:p>
    <w:p>
      <w:pPr>
        <w:ind w:left="992" w:hanging="439"/>
        <w:spacing w:after="0" w:line="262" w:lineRule="auto"/>
        <w:tabs>
          <w:tab w:leader="none" w:pos="992"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Subject to the approval of the Board or a duly authorized Officer, an Option or SAR may be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81" w:lineRule="exact"/>
        <w:rPr>
          <w:rFonts w:ascii="Times New Roman" w:cs="Times New Roman" w:eastAsia="Times New Roman" w:hAnsi="Times New Roman"/>
          <w:sz w:val="18"/>
          <w:szCs w:val="18"/>
          <w:b w:val="1"/>
          <w:bCs w:val="1"/>
          <w:color w:val="auto"/>
        </w:rPr>
      </w:pPr>
    </w:p>
    <w:p>
      <w:pPr>
        <w:ind w:left="992" w:right="40" w:hanging="439"/>
        <w:spacing w:after="0" w:line="256" w:lineRule="auto"/>
        <w:tabs>
          <w:tab w:leader="none" w:pos="992"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Subject to the approval of the Board or a duly authorized Officer, a Participant may, by delivering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88" w:lineRule="exact"/>
        <w:rPr>
          <w:rFonts w:ascii="Times New Roman" w:cs="Times New Roman" w:eastAsia="Times New Roman" w:hAnsi="Times New Roman"/>
          <w:sz w:val="18"/>
          <w:szCs w:val="18"/>
          <w:b w:val="1"/>
          <w:bCs w:val="1"/>
          <w:color w:val="auto"/>
        </w:rPr>
      </w:pPr>
    </w:p>
    <w:p>
      <w:pPr>
        <w:ind w:left="532" w:right="200" w:hanging="532"/>
        <w:spacing w:after="0" w:line="257" w:lineRule="auto"/>
        <w:tabs>
          <w:tab w:leader="none" w:pos="53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shares of Common Stock subject to an Option or SAR may vest and become exercisable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87" w:lineRule="exact"/>
        <w:rPr>
          <w:rFonts w:ascii="Times New Roman" w:cs="Times New Roman" w:eastAsia="Times New Roman" w:hAnsi="Times New Roman"/>
          <w:sz w:val="18"/>
          <w:szCs w:val="18"/>
          <w:b w:val="1"/>
          <w:bCs w:val="1"/>
          <w:color w:val="auto"/>
        </w:rPr>
      </w:pPr>
    </w:p>
    <w:p>
      <w:pPr>
        <w:ind w:left="532" w:right="60" w:hanging="532"/>
        <w:spacing w:after="0" w:line="255" w:lineRule="auto"/>
        <w:tabs>
          <w:tab w:leader="none" w:pos="53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Stock Award Agreement or other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three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ectPr>
          <w:pgSz w:w="11900" w:h="16838" w:orient="portrait"/>
          <w:cols w:equalWidth="0" w:num="1">
            <w:col w:w="10592"/>
          </w:cols>
          <w:pgMar w:left="868" w:top="270" w:right="439" w:bottom="1440" w:gutter="0" w:footer="0" w:header="0"/>
        </w:sectPr>
      </w:pPr>
    </w:p>
    <w:bookmarkStart w:id="10" w:name="page11"/>
    <w:bookmarkEnd w:id="10"/>
    <w:p>
      <w:pPr>
        <w:ind w:left="532" w:hanging="532"/>
        <w:spacing w:after="0" w:line="253" w:lineRule="auto"/>
        <w:tabs>
          <w:tab w:leader="none" w:pos="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Extension of Termination Date. </w:t>
      </w:r>
      <w:r>
        <w:rPr>
          <w:rFonts w:ascii="Times New Roman" w:cs="Times New Roman" w:eastAsia="Times New Roman" w:hAnsi="Times New Roman"/>
          <w:sz w:val="18"/>
          <w:szCs w:val="18"/>
          <w:color w:val="auto"/>
        </w:rPr>
        <w:t>Except as otherwise provided in the applicable Stock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90" w:lineRule="exact"/>
        <w:rPr>
          <w:rFonts w:ascii="Times New Roman" w:cs="Times New Roman" w:eastAsia="Times New Roman" w:hAnsi="Times New Roman"/>
          <w:sz w:val="18"/>
          <w:szCs w:val="18"/>
          <w:b w:val="1"/>
          <w:bCs w:val="1"/>
          <w:color w:val="auto"/>
        </w:rPr>
      </w:pPr>
    </w:p>
    <w:p>
      <w:pPr>
        <w:ind w:left="532" w:right="80" w:hanging="532"/>
        <w:spacing w:after="0" w:line="255" w:lineRule="auto"/>
        <w:tabs>
          <w:tab w:leader="none" w:pos="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Stock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24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90" w:lineRule="exact"/>
        <w:rPr>
          <w:rFonts w:ascii="Times New Roman" w:cs="Times New Roman" w:eastAsia="Times New Roman" w:hAnsi="Times New Roman"/>
          <w:sz w:val="18"/>
          <w:szCs w:val="18"/>
          <w:b w:val="1"/>
          <w:bCs w:val="1"/>
          <w:color w:val="auto"/>
        </w:rPr>
      </w:pPr>
    </w:p>
    <w:p>
      <w:pPr>
        <w:ind w:left="532" w:right="20" w:hanging="532"/>
        <w:spacing w:after="0" w:line="254" w:lineRule="auto"/>
        <w:tabs>
          <w:tab w:leader="none" w:pos="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Participant. </w:t>
      </w:r>
      <w:r>
        <w:rPr>
          <w:rFonts w:ascii="Times New Roman" w:cs="Times New Roman" w:eastAsia="Times New Roman" w:hAnsi="Times New Roman"/>
          <w:sz w:val="18"/>
          <w:szCs w:val="18"/>
          <w:color w:val="auto"/>
        </w:rPr>
        <w:t>Except as otherwise provided in the applicable Stock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or an Affiliate,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24 months following the date of death (or such longer or shorter period specified in the Stock Award Agreement), and (ii) the expiration of the term of such Option or SAR as set forth in the Stock Award Agreement. If, after the Participant’s death, the Option or SAR (as applicable) is not exercised within the applicable time frame, the Option or SAR (as applicable) will terminate.</w:t>
      </w:r>
    </w:p>
    <w:p>
      <w:pPr>
        <w:spacing w:after="0" w:line="90" w:lineRule="exact"/>
        <w:rPr>
          <w:rFonts w:ascii="Times New Roman" w:cs="Times New Roman" w:eastAsia="Times New Roman" w:hAnsi="Times New Roman"/>
          <w:sz w:val="18"/>
          <w:szCs w:val="18"/>
          <w:b w:val="1"/>
          <w:bCs w:val="1"/>
          <w:color w:val="auto"/>
        </w:rPr>
      </w:pPr>
    </w:p>
    <w:p>
      <w:pPr>
        <w:ind w:left="532" w:right="320" w:hanging="532"/>
        <w:spacing w:after="0" w:line="262" w:lineRule="auto"/>
        <w:tabs>
          <w:tab w:leader="none" w:pos="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Stock Award Agreement or other individual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spacing w:after="0" w:line="81" w:lineRule="exact"/>
        <w:rPr>
          <w:rFonts w:ascii="Times New Roman" w:cs="Times New Roman" w:eastAsia="Times New Roman" w:hAnsi="Times New Roman"/>
          <w:sz w:val="18"/>
          <w:szCs w:val="18"/>
          <w:b w:val="1"/>
          <w:bCs w:val="1"/>
          <w:color w:val="auto"/>
        </w:rPr>
      </w:pPr>
    </w:p>
    <w:p>
      <w:pPr>
        <w:ind w:left="532" w:hanging="532"/>
        <w:spacing w:after="0" w:line="269" w:lineRule="auto"/>
        <w:tabs>
          <w:tab w:leader="none" w:pos="532"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Non-Exempt Employees. </w:t>
      </w:r>
      <w:r>
        <w:rPr>
          <w:rFonts w:ascii="Times New Roman" w:cs="Times New Roman" w:eastAsia="Times New Roman" w:hAnsi="Times New Roman"/>
          <w:sz w:val="17"/>
          <w:szCs w:val="17"/>
          <w:color w:val="auto"/>
        </w:rPr>
        <w:t>If an Option or SAR is granted to an Employee who is a non-exempt employee for purposes of the Fair Labor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ectPr>
          <w:pgSz w:w="11900" w:h="16838" w:orient="portrait"/>
          <w:cols w:equalWidth="0" w:num="1">
            <w:col w:w="10532"/>
          </w:cols>
          <w:pgMar w:left="868" w:top="266" w:right="499" w:bottom="1440" w:gutter="0" w:footer="0" w:header="0"/>
        </w:sectPr>
      </w:pPr>
    </w:p>
    <w:bookmarkStart w:id="11" w:name="page12"/>
    <w:bookmarkEnd w:id="1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w:t>
      </w:r>
      <w:r>
        <w:rPr>
          <w:sz w:val="20"/>
          <w:szCs w:val="20"/>
          <w:color w:val="auto"/>
        </w:rPr>
        <w:tab/>
      </w:r>
      <w:r>
        <w:rPr>
          <w:rFonts w:ascii="Times New Roman" w:cs="Times New Roman" w:eastAsia="Times New Roman" w:hAnsi="Times New Roman"/>
          <w:sz w:val="17"/>
          <w:szCs w:val="17"/>
          <w:b w:val="1"/>
          <w:bCs w:val="1"/>
          <w:color w:val="auto"/>
        </w:rPr>
        <w:t>PROVISIONS OF STOCK AWARDS OTHER THAN OPTIONS AND SARS.</w:t>
      </w:r>
    </w:p>
    <w:p>
      <w:pPr>
        <w:spacing w:after="0" w:line="131" w:lineRule="exact"/>
        <w:rPr>
          <w:sz w:val="20"/>
          <w:szCs w:val="20"/>
          <w:color w:val="auto"/>
        </w:rPr>
      </w:pPr>
    </w:p>
    <w:p>
      <w:pPr>
        <w:ind w:left="960" w:hanging="532"/>
        <w:spacing w:after="0" w:line="255" w:lineRule="auto"/>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90" w:lineRule="exact"/>
        <w:rPr>
          <w:rFonts w:ascii="Times New Roman" w:cs="Times New Roman" w:eastAsia="Times New Roman" w:hAnsi="Times New Roman"/>
          <w:sz w:val="18"/>
          <w:szCs w:val="18"/>
          <w:b w:val="1"/>
          <w:bCs w:val="1"/>
          <w:color w:val="auto"/>
        </w:rPr>
      </w:pPr>
    </w:p>
    <w:p>
      <w:pPr>
        <w:ind w:left="1420" w:right="80" w:hanging="439"/>
        <w:spacing w:after="0" w:line="268"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(B) past services to the Company or an Affiliate, or (C) any other form of legal consideration (including future services) that may be acceptable to the Board, in its sole discretion, and permissible under applicable law.</w:t>
      </w:r>
    </w:p>
    <w:p>
      <w:pPr>
        <w:spacing w:after="0" w:line="76" w:lineRule="exact"/>
        <w:rPr>
          <w:rFonts w:ascii="Times New Roman" w:cs="Times New Roman" w:eastAsia="Times New Roman" w:hAnsi="Times New Roman"/>
          <w:sz w:val="18"/>
          <w:szCs w:val="18"/>
          <w:b w:val="1"/>
          <w:bCs w:val="1"/>
          <w:color w:val="auto"/>
        </w:rPr>
      </w:pPr>
    </w:p>
    <w:p>
      <w:pPr>
        <w:ind w:left="1420" w:right="620" w:hanging="439"/>
        <w:spacing w:after="0" w:line="286"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Shares of Common Stock awarded under the Restricted Stock Award Agreement may be subject to forfeiture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accordance with a vesting schedule to be determined by the Board.</w:t>
      </w:r>
    </w:p>
    <w:p>
      <w:pPr>
        <w:spacing w:after="0" w:line="60" w:lineRule="exact"/>
        <w:rPr>
          <w:rFonts w:ascii="Times New Roman" w:cs="Times New Roman" w:eastAsia="Times New Roman" w:hAnsi="Times New Roman"/>
          <w:sz w:val="18"/>
          <w:szCs w:val="18"/>
          <w:b w:val="1"/>
          <w:bCs w:val="1"/>
          <w:color w:val="auto"/>
        </w:rPr>
      </w:pPr>
    </w:p>
    <w:p>
      <w:pPr>
        <w:ind w:left="1420" w:hanging="439"/>
        <w:spacing w:after="0" w:line="268"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shares of Common Stock held by the Participant as of the date of termination of Continuous Service under the terms of the Restricted Stock Award Agreement.</w:t>
      </w:r>
    </w:p>
    <w:p>
      <w:pPr>
        <w:spacing w:after="0" w:line="76" w:lineRule="exact"/>
        <w:rPr>
          <w:rFonts w:ascii="Times New Roman" w:cs="Times New Roman" w:eastAsia="Times New Roman" w:hAnsi="Times New Roman"/>
          <w:sz w:val="18"/>
          <w:szCs w:val="18"/>
          <w:b w:val="1"/>
          <w:bCs w:val="1"/>
          <w:color w:val="auto"/>
        </w:rPr>
      </w:pPr>
    </w:p>
    <w:p>
      <w:pPr>
        <w:ind w:left="1420" w:hanging="439"/>
        <w:spacing w:after="0" w:line="257"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shares of Common Stock under the Restricted Stock Award Agreement will be transferable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spacing w:after="0" w:line="87" w:lineRule="exact"/>
        <w:rPr>
          <w:rFonts w:ascii="Times New Roman" w:cs="Times New Roman" w:eastAsia="Times New Roman" w:hAnsi="Times New Roman"/>
          <w:sz w:val="18"/>
          <w:szCs w:val="18"/>
          <w:b w:val="1"/>
          <w:bCs w:val="1"/>
          <w:color w:val="auto"/>
        </w:rPr>
      </w:pPr>
    </w:p>
    <w:p>
      <w:pPr>
        <w:ind w:left="960" w:right="140" w:hanging="532"/>
        <w:spacing w:after="0" w:line="259" w:lineRule="auto"/>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will be in such form and will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84" w:lineRule="exact"/>
        <w:rPr>
          <w:rFonts w:ascii="Times New Roman" w:cs="Times New Roman" w:eastAsia="Times New Roman" w:hAnsi="Times New Roman"/>
          <w:sz w:val="18"/>
          <w:szCs w:val="18"/>
          <w:b w:val="1"/>
          <w:bCs w:val="1"/>
          <w:color w:val="auto"/>
        </w:rPr>
      </w:pPr>
    </w:p>
    <w:p>
      <w:pPr>
        <w:ind w:left="1420" w:hanging="439"/>
        <w:spacing w:after="0" w:line="262"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81" w:lineRule="exact"/>
        <w:rPr>
          <w:rFonts w:ascii="Times New Roman" w:cs="Times New Roman" w:eastAsia="Times New Roman" w:hAnsi="Times New Roman"/>
          <w:sz w:val="18"/>
          <w:szCs w:val="18"/>
          <w:b w:val="1"/>
          <w:bCs w:val="1"/>
          <w:color w:val="auto"/>
        </w:rPr>
      </w:pPr>
    </w:p>
    <w:p>
      <w:pPr>
        <w:ind w:left="1420" w:right="200" w:hanging="439"/>
        <w:spacing w:after="0" w:line="286"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the Restricted Stock Unit Award as it, in its sole discretion, deems appropriate.</w:t>
      </w:r>
    </w:p>
    <w:p>
      <w:pPr>
        <w:spacing w:after="0" w:line="60" w:lineRule="exact"/>
        <w:rPr>
          <w:rFonts w:ascii="Times New Roman" w:cs="Times New Roman" w:eastAsia="Times New Roman" w:hAnsi="Times New Roman"/>
          <w:sz w:val="18"/>
          <w:szCs w:val="18"/>
          <w:b w:val="1"/>
          <w:bCs w:val="1"/>
          <w:color w:val="auto"/>
        </w:rPr>
      </w:pPr>
    </w:p>
    <w:p>
      <w:pPr>
        <w:ind w:left="1420" w:right="240" w:hanging="439"/>
        <w:spacing w:after="0" w:line="268"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w:t>
      </w:r>
      <w:r>
        <w:rPr>
          <w:rFonts w:ascii="Times New Roman" w:cs="Times New Roman" w:eastAsia="Times New Roman" w:hAnsi="Times New Roman"/>
          <w:sz w:val="18"/>
          <w:szCs w:val="18"/>
          <w:color w:val="auto"/>
        </w:rPr>
        <w:t>A Restricted Stock Unit Award may be settled by the delivery of shares of Common Stock, their cash equivalent,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consideration, as determined by the Board and contained in the Restricted Stock Unit Award Agreement.</w:t>
      </w:r>
    </w:p>
    <w:p>
      <w:pPr>
        <w:spacing w:after="0" w:line="76" w:lineRule="exact"/>
        <w:rPr>
          <w:rFonts w:ascii="Times New Roman" w:cs="Times New Roman" w:eastAsia="Times New Roman" w:hAnsi="Times New Roman"/>
          <w:sz w:val="18"/>
          <w:szCs w:val="18"/>
          <w:b w:val="1"/>
          <w:bCs w:val="1"/>
          <w:color w:val="auto"/>
        </w:rPr>
      </w:pPr>
    </w:p>
    <w:p>
      <w:pPr>
        <w:ind w:left="1420" w:right="60" w:hanging="439"/>
        <w:spacing w:after="0" w:line="268"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76" w:lineRule="exact"/>
        <w:rPr>
          <w:rFonts w:ascii="Times New Roman" w:cs="Times New Roman" w:eastAsia="Times New Roman" w:hAnsi="Times New Roman"/>
          <w:sz w:val="18"/>
          <w:szCs w:val="18"/>
          <w:b w:val="1"/>
          <w:bCs w:val="1"/>
          <w:color w:val="auto"/>
        </w:rPr>
      </w:pPr>
    </w:p>
    <w:p>
      <w:pPr>
        <w:ind w:left="1420" w:right="140" w:hanging="439"/>
        <w:spacing w:after="0" w:line="268" w:lineRule="auto"/>
        <w:tabs>
          <w:tab w:leader="none" w:pos="14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Stock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portion of the Restricted Stock Unit Award that has not vested will be forfeited upon the Participant’s termination of Continuous Service.</w:t>
      </w:r>
    </w:p>
    <w:p>
      <w:pPr>
        <w:sectPr>
          <w:pgSz w:w="11900" w:h="16838" w:orient="portrait"/>
          <w:cols w:equalWidth="0" w:num="1">
            <w:col w:w="10980"/>
          </w:cols>
          <w:pgMar w:left="440" w:top="266" w:right="479" w:bottom="1440" w:gutter="0" w:footer="0" w:header="0"/>
        </w:sectPr>
      </w:pPr>
    </w:p>
    <w:bookmarkStart w:id="12" w:name="page13"/>
    <w:bookmarkEnd w:id="12"/>
    <w:p>
      <w:pPr>
        <w:ind w:left="1180" w:hanging="644"/>
        <w:spacing w:after="0"/>
        <w:tabs>
          <w:tab w:leader="none" w:pos="118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Stock Awards.</w:t>
      </w:r>
    </w:p>
    <w:p>
      <w:pPr>
        <w:spacing w:after="0" w:line="130" w:lineRule="exact"/>
        <w:rPr>
          <w:rFonts w:ascii="Times New Roman" w:cs="Times New Roman" w:eastAsia="Times New Roman" w:hAnsi="Times New Roman"/>
          <w:sz w:val="18"/>
          <w:szCs w:val="18"/>
          <w:b w:val="1"/>
          <w:bCs w:val="1"/>
          <w:color w:val="auto"/>
        </w:rPr>
      </w:pPr>
    </w:p>
    <w:p>
      <w:pPr>
        <w:ind w:left="1420" w:right="100" w:hanging="439"/>
        <w:spacing w:after="0" w:line="256" w:lineRule="auto"/>
        <w:tabs>
          <w:tab w:leader="none" w:pos="1420"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Stock Awards. </w:t>
      </w:r>
      <w:r>
        <w:rPr>
          <w:rFonts w:ascii="Times New Roman" w:cs="Times New Roman" w:eastAsia="Times New Roman" w:hAnsi="Times New Roman"/>
          <w:sz w:val="18"/>
          <w:szCs w:val="18"/>
          <w:color w:val="auto"/>
        </w:rPr>
        <w:t>A Performance Stock Award is a Stock Award that is payable (including that may be granted, vest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Stock Award Agreement, the Board may determine that cash may be used in payment of Performance Stock Awards.</w:t>
      </w:r>
    </w:p>
    <w:p>
      <w:pPr>
        <w:spacing w:after="0" w:line="88" w:lineRule="exact"/>
        <w:rPr>
          <w:rFonts w:ascii="Times New Roman" w:cs="Times New Roman" w:eastAsia="Times New Roman" w:hAnsi="Times New Roman"/>
          <w:sz w:val="18"/>
          <w:szCs w:val="18"/>
          <w:b w:val="1"/>
          <w:bCs w:val="1"/>
          <w:color w:val="auto"/>
        </w:rPr>
      </w:pPr>
    </w:p>
    <w:p>
      <w:pPr>
        <w:ind w:left="1420" w:right="500" w:hanging="439"/>
        <w:spacing w:after="0" w:line="268" w:lineRule="auto"/>
        <w:tabs>
          <w:tab w:leader="none" w:pos="1420"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Board Discretion. </w:t>
      </w:r>
      <w:r>
        <w:rPr>
          <w:rFonts w:ascii="Times New Roman" w:cs="Times New Roman" w:eastAsia="Times New Roman" w:hAnsi="Times New Roman"/>
          <w:sz w:val="18"/>
          <w:szCs w:val="18"/>
          <w:color w:val="auto"/>
        </w:rPr>
        <w:t>The Board retains the discretion to reduce or eliminate the compensation or economic benefit due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attainment of any Performance Goals and to define the manner of calculating the Performance Criteria it selects to use for a Performance Period.</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line="256" w:lineRule="auto"/>
        <w:tabs>
          <w:tab w:leader="none" w:pos="9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Stock Awards. </w:t>
      </w:r>
      <w:r>
        <w:rPr>
          <w:rFonts w:ascii="Times New Roman" w:cs="Times New Roman" w:eastAsia="Times New Roman" w:hAnsi="Times New Roman"/>
          <w:sz w:val="18"/>
          <w:szCs w:val="18"/>
          <w:color w:val="auto"/>
        </w:rPr>
        <w:t>Other forms of Stock Awards valued in whole or in part by reference to, or otherwise based on,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options or stock appreciation rights with an exercise price or strike price less than 100% of the Fair Market Value of the Common Stock at the time of grant) may be granted either alone or in addition to Stock Awards granted under Section 5 and this Section 6. Subject to the provisions of the Plan (including, but not limited to, Section 2(g)),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COVENANTS OF THE COMPANY.</w:t>
      </w:r>
    </w:p>
    <w:p>
      <w:pPr>
        <w:spacing w:after="0" w:line="131" w:lineRule="exact"/>
        <w:rPr>
          <w:sz w:val="20"/>
          <w:szCs w:val="20"/>
          <w:color w:val="auto"/>
        </w:rPr>
      </w:pPr>
    </w:p>
    <w:p>
      <w:pPr>
        <w:ind w:left="960" w:right="460" w:hanging="532"/>
        <w:spacing w:after="0" w:line="286" w:lineRule="auto"/>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shares of Common Stock reasonably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then-outstanding Stock Awards.</w:t>
      </w:r>
    </w:p>
    <w:p>
      <w:pPr>
        <w:spacing w:after="0" w:line="60" w:lineRule="exact"/>
        <w:rPr>
          <w:rFonts w:ascii="Times New Roman" w:cs="Times New Roman" w:eastAsia="Times New Roman" w:hAnsi="Times New Roman"/>
          <w:sz w:val="18"/>
          <w:szCs w:val="18"/>
          <w:b w:val="1"/>
          <w:bCs w:val="1"/>
          <w:color w:val="auto"/>
        </w:rPr>
      </w:pPr>
    </w:p>
    <w:p>
      <w:pPr>
        <w:ind w:left="960" w:right="20" w:hanging="532"/>
        <w:spacing w:after="0" w:line="254" w:lineRule="auto"/>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the authority required to grant Stock Awards and to issue and sell shares of Common Stock upon exercise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the Plan, any Stock Award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93" w:lineRule="exact"/>
        <w:rPr>
          <w:rFonts w:ascii="Times New Roman" w:cs="Times New Roman" w:eastAsia="Times New Roman" w:hAnsi="Times New Roman"/>
          <w:sz w:val="18"/>
          <w:szCs w:val="18"/>
          <w:b w:val="1"/>
          <w:bCs w:val="1"/>
          <w:color w:val="auto"/>
        </w:rPr>
      </w:pPr>
    </w:p>
    <w:p>
      <w:pPr>
        <w:ind w:left="960" w:right="120" w:hanging="532"/>
        <w:spacing w:after="0" w:line="282" w:lineRule="auto"/>
        <w:tabs>
          <w:tab w:leader="none" w:pos="96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Obligation to Notify or Minimize Taxes. </w:t>
      </w:r>
      <w:r>
        <w:rPr>
          <w:rFonts w:ascii="Times New Roman" w:cs="Times New Roman" w:eastAsia="Times New Roman" w:hAnsi="Times New Roman"/>
          <w:sz w:val="17"/>
          <w:szCs w:val="17"/>
          <w:color w:val="auto"/>
        </w:rPr>
        <w:t>The Company will have no duty or obligation to any Participant to advise such holder as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time or manner of exercising a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MISCELLANEOUS.</w:t>
      </w:r>
    </w:p>
    <w:p>
      <w:pPr>
        <w:spacing w:after="0" w:line="131" w:lineRule="exact"/>
        <w:rPr>
          <w:sz w:val="20"/>
          <w:szCs w:val="20"/>
          <w:color w:val="auto"/>
        </w:rPr>
      </w:pPr>
    </w:p>
    <w:p>
      <w:pPr>
        <w:ind w:left="960" w:right="60" w:hanging="532"/>
        <w:spacing w:after="0" w:line="286"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issued pursuant to Stock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60" w:lineRule="exact"/>
        <w:rPr>
          <w:rFonts w:ascii="Times New Roman" w:cs="Times New Roman" w:eastAsia="Times New Roman" w:hAnsi="Times New Roman"/>
          <w:sz w:val="18"/>
          <w:szCs w:val="18"/>
          <w:b w:val="1"/>
          <w:bCs w:val="1"/>
          <w:color w:val="auto"/>
        </w:rPr>
      </w:pPr>
    </w:p>
    <w:p>
      <w:pPr>
        <w:ind w:left="960" w:right="20" w:hanging="532"/>
        <w:spacing w:after="0" w:line="255"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Stock Awards. </w:t>
      </w:r>
      <w:r>
        <w:rPr>
          <w:rFonts w:ascii="Times New Roman" w:cs="Times New Roman" w:eastAsia="Times New Roman" w:hAnsi="Times New Roman"/>
          <w:sz w:val="18"/>
          <w:szCs w:val="18"/>
          <w:color w:val="auto"/>
        </w:rPr>
        <w:t>Corporate action constituting a grant by the Company of a Stock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Board consents, resolutions or minutes) documenting the corporate action constituting the grant contain terms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exercise price, vesting schedule or number of shares) that are inconsistent with those in the Stock Award Agreement or related grant documents as a result of a clerical error in the preparation of the Stock Award Agreement or related grant documents, the corporate records will control and the Participant will have no legally binding right to the incorrect terms in the Stock Award Agreement or related grant documents.</w:t>
      </w:r>
    </w:p>
    <w:p>
      <w:pPr>
        <w:spacing w:after="0" w:line="90" w:lineRule="exact"/>
        <w:rPr>
          <w:rFonts w:ascii="Times New Roman" w:cs="Times New Roman" w:eastAsia="Times New Roman" w:hAnsi="Times New Roman"/>
          <w:sz w:val="18"/>
          <w:szCs w:val="18"/>
          <w:b w:val="1"/>
          <w:bCs w:val="1"/>
          <w:color w:val="auto"/>
        </w:rPr>
      </w:pPr>
    </w:p>
    <w:p>
      <w:pPr>
        <w:ind w:left="960" w:right="120" w:hanging="532"/>
        <w:spacing w:after="0" w:line="262"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ectPr>
          <w:pgSz w:w="11900" w:h="16838" w:orient="portrait"/>
          <w:cols w:equalWidth="0" w:num="1">
            <w:col w:w="11000"/>
          </w:cols>
          <w:pgMar w:left="440" w:top="266" w:right="459" w:bottom="1440" w:gutter="0" w:footer="0" w:header="0"/>
        </w:sectPr>
      </w:pPr>
    </w:p>
    <w:bookmarkStart w:id="13" w:name="page14"/>
    <w:bookmarkEnd w:id="13"/>
    <w:p>
      <w:pPr>
        <w:ind w:left="532" w:right="20" w:hanging="532"/>
        <w:spacing w:after="0" w:line="256" w:lineRule="auto"/>
        <w:tabs>
          <w:tab w:leader="none" w:pos="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Employment or Other Service Rights. </w:t>
      </w:r>
      <w:r>
        <w:rPr>
          <w:rFonts w:ascii="Times New Roman" w:cs="Times New Roman" w:eastAsia="Times New Roman" w:hAnsi="Times New Roman"/>
          <w:sz w:val="18"/>
          <w:szCs w:val="18"/>
          <w:color w:val="auto"/>
        </w:rPr>
        <w:t>Nothing in the Plan, any Stock Award Agreement or any other instrument executed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88" w:lineRule="exact"/>
        <w:rPr>
          <w:rFonts w:ascii="Times New Roman" w:cs="Times New Roman" w:eastAsia="Times New Roman" w:hAnsi="Times New Roman"/>
          <w:sz w:val="18"/>
          <w:szCs w:val="18"/>
          <w:b w:val="1"/>
          <w:bCs w:val="1"/>
          <w:color w:val="auto"/>
        </w:rPr>
      </w:pPr>
    </w:p>
    <w:p>
      <w:pPr>
        <w:ind w:left="532" w:right="60" w:hanging="532"/>
        <w:spacing w:after="0" w:line="255" w:lineRule="auto"/>
        <w:tabs>
          <w:tab w:leader="none" w:pos="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Affiliate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90" w:lineRule="exact"/>
        <w:rPr>
          <w:rFonts w:ascii="Times New Roman" w:cs="Times New Roman" w:eastAsia="Times New Roman" w:hAnsi="Times New Roman"/>
          <w:sz w:val="18"/>
          <w:szCs w:val="18"/>
          <w:b w:val="1"/>
          <w:bCs w:val="1"/>
          <w:color w:val="auto"/>
        </w:rPr>
      </w:pPr>
    </w:p>
    <w:p>
      <w:pPr>
        <w:ind w:left="532" w:hanging="532"/>
        <w:spacing w:after="0" w:line="257" w:lineRule="auto"/>
        <w:tabs>
          <w:tab w:leader="none" w:pos="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Limitations. </w:t>
      </w:r>
      <w:r>
        <w:rPr>
          <w:rFonts w:ascii="Times New Roman" w:cs="Times New Roman" w:eastAsia="Times New Roman" w:hAnsi="Times New Roman"/>
          <w:sz w:val="18"/>
          <w:szCs w:val="18"/>
          <w:color w:val="auto"/>
        </w:rPr>
        <w:t>To the extent that the aggregate Fair Market Value (determined at the time of grant)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87" w:lineRule="exact"/>
        <w:rPr>
          <w:rFonts w:ascii="Times New Roman" w:cs="Times New Roman" w:eastAsia="Times New Roman" w:hAnsi="Times New Roman"/>
          <w:sz w:val="18"/>
          <w:szCs w:val="18"/>
          <w:b w:val="1"/>
          <w:bCs w:val="1"/>
          <w:color w:val="auto"/>
        </w:rPr>
      </w:pPr>
    </w:p>
    <w:p>
      <w:pPr>
        <w:ind w:left="532" w:right="40" w:hanging="532"/>
        <w:spacing w:after="0" w:line="253" w:lineRule="auto"/>
        <w:tabs>
          <w:tab w:leader="none" w:pos="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Stock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they are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92" w:lineRule="exact"/>
        <w:rPr>
          <w:rFonts w:ascii="Times New Roman" w:cs="Times New Roman" w:eastAsia="Times New Roman" w:hAnsi="Times New Roman"/>
          <w:sz w:val="18"/>
          <w:szCs w:val="18"/>
          <w:b w:val="1"/>
          <w:bCs w:val="1"/>
          <w:color w:val="auto"/>
        </w:rPr>
      </w:pPr>
    </w:p>
    <w:p>
      <w:pPr>
        <w:ind w:left="532" w:hanging="532"/>
        <w:spacing w:after="0" w:line="255" w:lineRule="auto"/>
        <w:tabs>
          <w:tab w:leader="none" w:pos="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 Stock Award Agreement, the Company may, in its sole discretion,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shares of Common Stock are withheld with a value exceeding the maximum amount of tax that may be required to be withheld by law (or such other amount as may be permitted while still avoiding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90" w:lineRule="exact"/>
        <w:rPr>
          <w:rFonts w:ascii="Times New Roman" w:cs="Times New Roman" w:eastAsia="Times New Roman" w:hAnsi="Times New Roman"/>
          <w:sz w:val="18"/>
          <w:szCs w:val="18"/>
          <w:b w:val="1"/>
          <w:bCs w:val="1"/>
          <w:color w:val="auto"/>
        </w:rPr>
      </w:pPr>
    </w:p>
    <w:p>
      <w:pPr>
        <w:jc w:val="both"/>
        <w:ind w:left="532" w:right="480" w:hanging="532"/>
        <w:spacing w:after="0" w:line="268" w:lineRule="auto"/>
        <w:tabs>
          <w:tab w:leader="none" w:pos="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w:t>
      </w:r>
      <w:r>
        <w:rPr>
          <w:rFonts w:ascii="Times New Roman" w:cs="Times New Roman" w:eastAsia="Times New Roman" w:hAnsi="Times New Roman"/>
          <w:sz w:val="18"/>
          <w:szCs w:val="18"/>
          <w:color w:val="auto"/>
        </w:rPr>
        <w:t>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ectPr>
          <w:pgSz w:w="11900" w:h="16838" w:orient="portrait"/>
          <w:cols w:equalWidth="0" w:num="1">
            <w:col w:w="10572"/>
          </w:cols>
          <w:pgMar w:left="868" w:top="266" w:right="459" w:bottom="1440" w:gutter="0" w:footer="0" w:header="0"/>
        </w:sectPr>
      </w:pPr>
    </w:p>
    <w:bookmarkStart w:id="14" w:name="page15"/>
    <w:bookmarkEnd w:id="14"/>
    <w:p>
      <w:pPr>
        <w:ind w:left="960" w:hanging="532"/>
        <w:spacing w:after="0" w:line="255" w:lineRule="auto"/>
        <w:tabs>
          <w:tab w:leader="none" w:pos="9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90" w:lineRule="exact"/>
        <w:rPr>
          <w:rFonts w:ascii="Times New Roman" w:cs="Times New Roman" w:eastAsia="Times New Roman" w:hAnsi="Times New Roman"/>
          <w:sz w:val="18"/>
          <w:szCs w:val="18"/>
          <w:b w:val="1"/>
          <w:bCs w:val="1"/>
          <w:color w:val="auto"/>
        </w:rPr>
      </w:pPr>
    </w:p>
    <w:p>
      <w:pPr>
        <w:ind w:left="960" w:right="20" w:hanging="532"/>
        <w:spacing w:after="0" w:line="253" w:lineRule="auto"/>
        <w:tabs>
          <w:tab w:leader="none" w:pos="9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Unless otherwise expressly provided for in a Stock Award Agreement, the Plan and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Agreements will be interpreted to the greatest extent possible in a manner that makes the Plan and the Stock Awards granted hereunder exempt from Section 409A of the Code, and, to the extent not so exempt, in compliance with Section 409A of the Code. To the extent that the Board determines that any Stock Award granted hereunder is not exempt from and is therefore subject to Section 409A of the Code, the Stock Award Agreement evidencing such Stock Award will incorporate the terms and conditions necessary to avoid the consequences specified in Section 409A(a)(1) of the Code, and, to the extent applicable, the Plan and Stock Award Agreements will be interpreted in accordance with the requirements of Section 409A of the Code. Notwithstanding anything to the contrary in this Plan (and unless the Stock Award Agreement specifically provides otherwise), if the shares of Common Stock are publicly traded and a Participant holding a Stock Award that constitutes “deferred compensation” under Section 409A of the Code is a “specified employee” for purposes of Section 409A of the Code, no distribution or payment of any amount will be made upon a “separation from service” before a date that is six months following the date of such Participant’s “separation from service” (as defined in Section 409A of the Code without regard to alternative definitions thereunder) or, if earlier, the date of the Participant’s death.</w:t>
      </w:r>
    </w:p>
    <w:p>
      <w:pPr>
        <w:spacing w:after="0" w:line="95" w:lineRule="exact"/>
        <w:rPr>
          <w:rFonts w:ascii="Times New Roman" w:cs="Times New Roman" w:eastAsia="Times New Roman" w:hAnsi="Times New Roman"/>
          <w:sz w:val="18"/>
          <w:szCs w:val="18"/>
          <w:b w:val="1"/>
          <w:bCs w:val="1"/>
          <w:color w:val="auto"/>
        </w:rPr>
      </w:pPr>
    </w:p>
    <w:p>
      <w:pPr>
        <w:ind w:left="960" w:right="40" w:hanging="532"/>
        <w:spacing w:after="0" w:line="272" w:lineRule="auto"/>
        <w:tabs>
          <w:tab w:leader="none" w:pos="96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Clawback/Recovery. </w:t>
      </w:r>
      <w:r>
        <w:rPr>
          <w:rFonts w:ascii="Times New Roman" w:cs="Times New Roman" w:eastAsia="Times New Roman" w:hAnsi="Times New Roman"/>
          <w:sz w:val="17"/>
          <w:szCs w:val="17"/>
          <w:color w:val="auto"/>
        </w:rPr>
        <w:t>All Stock Awards granted under the Plan will be subject to recoupment in accordance with any clawback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 Participant’s employment agreement or other agreement with the Company or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 Stock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ADJUSTMENTS UPON CHANGES IN COMMON STOCK; OTHER CORPORATE EVENTS.</w:t>
      </w:r>
    </w:p>
    <w:p>
      <w:pPr>
        <w:spacing w:after="0" w:line="131" w:lineRule="exact"/>
        <w:rPr>
          <w:sz w:val="20"/>
          <w:szCs w:val="20"/>
          <w:color w:val="auto"/>
        </w:rPr>
      </w:pPr>
    </w:p>
    <w:p>
      <w:pPr>
        <w:ind w:left="960" w:right="140" w:hanging="532"/>
        <w:spacing w:after="0" w:line="259"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84" w:lineRule="exact"/>
        <w:rPr>
          <w:rFonts w:ascii="Times New Roman" w:cs="Times New Roman" w:eastAsia="Times New Roman" w:hAnsi="Times New Roman"/>
          <w:sz w:val="18"/>
          <w:szCs w:val="18"/>
          <w:b w:val="1"/>
          <w:bCs w:val="1"/>
          <w:color w:val="auto"/>
        </w:rPr>
      </w:pPr>
    </w:p>
    <w:p>
      <w:pPr>
        <w:ind w:left="960" w:right="60" w:hanging="532"/>
        <w:spacing w:after="0" w:line="255"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Stock Award Agreement, in the event of a dissolution or liquidation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90" w:lineRule="exact"/>
        <w:rPr>
          <w:rFonts w:ascii="Times New Roman" w:cs="Times New Roman" w:eastAsia="Times New Roman" w:hAnsi="Times New Roman"/>
          <w:sz w:val="18"/>
          <w:szCs w:val="18"/>
          <w:b w:val="1"/>
          <w:bCs w:val="1"/>
          <w:color w:val="auto"/>
        </w:rPr>
      </w:pPr>
    </w:p>
    <w:p>
      <w:pPr>
        <w:ind w:left="960" w:right="240" w:hanging="532"/>
        <w:spacing w:after="0" w:line="259"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Stock Awards in the event of a Corporate Transaction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Stock Award Agreement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88" w:lineRule="exact"/>
        <w:rPr>
          <w:rFonts w:ascii="Times New Roman" w:cs="Times New Roman" w:eastAsia="Times New Roman" w:hAnsi="Times New Roman"/>
          <w:sz w:val="18"/>
          <w:szCs w:val="18"/>
          <w:b w:val="1"/>
          <w:bCs w:val="1"/>
          <w:color w:val="auto"/>
        </w:rPr>
      </w:pPr>
    </w:p>
    <w:p>
      <w:pPr>
        <w:ind w:left="1420" w:right="400" w:hanging="439"/>
        <w:spacing w:after="0" w:line="266" w:lineRule="auto"/>
        <w:tabs>
          <w:tab w:leader="none" w:pos="142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ectPr>
          <w:pgSz w:w="11900" w:h="16838" w:orient="portrait"/>
          <w:cols w:equalWidth="0" w:num="1">
            <w:col w:w="11000"/>
          </w:cols>
          <w:pgMar w:left="440" w:top="266" w:right="459" w:bottom="1440" w:gutter="0" w:footer="0" w:header="0"/>
        </w:sectPr>
      </w:pPr>
    </w:p>
    <w:bookmarkStart w:id="15" w:name="page16"/>
    <w:bookmarkEnd w:id="15"/>
    <w:p>
      <w:pPr>
        <w:ind w:left="1424" w:hanging="439"/>
        <w:spacing w:after="0" w:line="266" w:lineRule="auto"/>
        <w:tabs>
          <w:tab w:leader="none" w:pos="1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81" w:lineRule="exact"/>
        <w:rPr>
          <w:rFonts w:ascii="Times New Roman" w:cs="Times New Roman" w:eastAsia="Times New Roman" w:hAnsi="Times New Roman"/>
          <w:sz w:val="18"/>
          <w:szCs w:val="18"/>
          <w:b w:val="1"/>
          <w:bCs w:val="1"/>
          <w:color w:val="auto"/>
        </w:rPr>
      </w:pPr>
    </w:p>
    <w:p>
      <w:pPr>
        <w:ind w:left="1424" w:right="160" w:hanging="439"/>
        <w:spacing w:after="0" w:line="256" w:lineRule="auto"/>
        <w:tabs>
          <w:tab w:leader="none" w:pos="1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(5) days prior to the effective date of the Corporate Transaction), with such Stock Award terminating if not exercised (if applicable) at or prior to the effective time of the Corporate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require Participants to complete and deliver to the Company a notice of exercise before the effective date of a Corporate Transaction, which exercise is contingent upon the effectiveness of such Corporate Transaction;</w:t>
      </w:r>
    </w:p>
    <w:p>
      <w:pPr>
        <w:spacing w:after="0" w:line="92" w:lineRule="exact"/>
        <w:rPr>
          <w:rFonts w:ascii="Times New Roman" w:cs="Times New Roman" w:eastAsia="Times New Roman" w:hAnsi="Times New Roman"/>
          <w:sz w:val="18"/>
          <w:szCs w:val="18"/>
          <w:b w:val="1"/>
          <w:bCs w:val="1"/>
          <w:color w:val="auto"/>
        </w:rPr>
      </w:pPr>
    </w:p>
    <w:p>
      <w:pPr>
        <w:ind w:left="1424" w:right="240" w:hanging="439"/>
        <w:spacing w:after="0" w:line="282" w:lineRule="auto"/>
        <w:tabs>
          <w:tab w:leader="none" w:pos="1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 Award;</w:t>
      </w:r>
    </w:p>
    <w:p>
      <w:pPr>
        <w:spacing w:after="0" w:line="67" w:lineRule="exact"/>
        <w:rPr>
          <w:rFonts w:ascii="Times New Roman" w:cs="Times New Roman" w:eastAsia="Times New Roman" w:hAnsi="Times New Roman"/>
          <w:sz w:val="18"/>
          <w:szCs w:val="18"/>
          <w:b w:val="1"/>
          <w:bCs w:val="1"/>
          <w:color w:val="auto"/>
        </w:rPr>
      </w:pPr>
    </w:p>
    <w:p>
      <w:pPr>
        <w:ind w:left="1424" w:hanging="439"/>
        <w:spacing w:after="0" w:line="266" w:lineRule="auto"/>
        <w:tabs>
          <w:tab w:leader="none" w:pos="1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81" w:lineRule="exact"/>
        <w:rPr>
          <w:rFonts w:ascii="Times New Roman" w:cs="Times New Roman" w:eastAsia="Times New Roman" w:hAnsi="Times New Roman"/>
          <w:sz w:val="18"/>
          <w:szCs w:val="18"/>
          <w:b w:val="1"/>
          <w:bCs w:val="1"/>
          <w:color w:val="auto"/>
        </w:rPr>
      </w:pPr>
    </w:p>
    <w:p>
      <w:pPr>
        <w:ind w:left="1424" w:right="80" w:hanging="439"/>
        <w:spacing w:after="0" w:line="256" w:lineRule="auto"/>
        <w:tabs>
          <w:tab w:leader="none" w:pos="1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187"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63" w:lineRule="exact"/>
        <w:rPr>
          <w:sz w:val="20"/>
          <w:szCs w:val="20"/>
          <w:color w:val="auto"/>
        </w:rPr>
      </w:pPr>
    </w:p>
    <w:p>
      <w:pPr>
        <w:ind w:left="964" w:right="220" w:hanging="532"/>
        <w:spacing w:after="0" w:line="291" w:lineRule="auto"/>
        <w:tabs>
          <w:tab w:leader="none" w:pos="964" w:val="left"/>
        </w:tabs>
        <w:numPr>
          <w:ilvl w:val="1"/>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Change in Control. </w:t>
      </w:r>
      <w:r>
        <w:rPr>
          <w:rFonts w:ascii="Times New Roman" w:cs="Times New Roman" w:eastAsia="Times New Roman" w:hAnsi="Times New Roman"/>
          <w:sz w:val="17"/>
          <w:szCs w:val="17"/>
          <w:color w:val="auto"/>
        </w:rPr>
        <w:t>A Stock Award may be subject to additional acceleration of vesting and exercisability upon or after a Change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301" w:lineRule="exact"/>
        <w:rPr>
          <w:rFonts w:ascii="Times New Roman" w:cs="Times New Roman" w:eastAsia="Times New Roman" w:hAnsi="Times New Roman"/>
          <w:sz w:val="17"/>
          <w:szCs w:val="17"/>
          <w:b w:val="1"/>
          <w:bCs w:val="1"/>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OR SUSPENSION OF THE PLAN.</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line="268" w:lineRule="auto"/>
        <w:tabs>
          <w:tab w:leader="none" w:pos="964"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Board may suspend or terminate the Plan at any time. </w:t>
      </w:r>
      <w:r>
        <w:rPr>
          <w:rFonts w:ascii="Times New Roman" w:cs="Times New Roman" w:eastAsia="Times New Roman" w:hAnsi="Times New Roman"/>
          <w:sz w:val="18"/>
          <w:szCs w:val="18"/>
          <w:color w:val="auto"/>
        </w:rPr>
        <w:t>No Incentive Stock Option will be granted after the tenth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of (i) the date the Plan is adopted by the Board, or (ii) the date the Plan is approved by the stockholders of the Company. No Stock Awards may be granted under the Plan while the Plan is suspended or after it is terminated.</w:t>
      </w:r>
    </w:p>
    <w:p>
      <w:pPr>
        <w:spacing w:after="0" w:line="76" w:lineRule="exact"/>
        <w:rPr>
          <w:rFonts w:ascii="Times New Roman" w:cs="Times New Roman" w:eastAsia="Times New Roman" w:hAnsi="Times New Roman"/>
          <w:sz w:val="18"/>
          <w:szCs w:val="18"/>
          <w:b w:val="1"/>
          <w:bCs w:val="1"/>
          <w:color w:val="auto"/>
        </w:rPr>
      </w:pPr>
    </w:p>
    <w:p>
      <w:pPr>
        <w:ind w:left="964" w:right="20" w:hanging="532"/>
        <w:spacing w:after="0" w:line="286" w:lineRule="auto"/>
        <w:tabs>
          <w:tab w:leader="none" w:pos="964"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Impairment of Rights. </w:t>
      </w:r>
      <w:r>
        <w:rPr>
          <w:rFonts w:ascii="Times New Roman" w:cs="Times New Roman" w:eastAsia="Times New Roman" w:hAnsi="Times New Roman"/>
          <w:sz w:val="18"/>
          <w:szCs w:val="18"/>
          <w:color w:val="auto"/>
        </w:rPr>
        <w:t>Suspension or termination of the Plan will not materially impair rights and obligations under any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while the Plan is in effect except with the written consent of the affected Participant or as otherwise permitted in the Plan.</w:t>
      </w:r>
    </w:p>
    <w:p>
      <w:pPr>
        <w:spacing w:after="0" w:line="30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7"/>
          <w:szCs w:val="17"/>
          <w:b w:val="1"/>
          <w:bCs w:val="1"/>
          <w:color w:val="auto"/>
        </w:rPr>
        <w:t>EFFECTIVE DATE OF PLAN.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Plan will become effective on the Effective Date.</w:t>
      </w: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XII. CHOICE OF LAW.</w:t>
      </w:r>
    </w:p>
    <w:p>
      <w:pPr>
        <w:spacing w:after="0" w:line="22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laws of the State of Delaware will govern all questions concerning the construction, validity and interpretation of this Plan, without regard to that state’s conflict of laws rules.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31" w:lineRule="exact"/>
        <w:rPr>
          <w:sz w:val="20"/>
          <w:szCs w:val="20"/>
          <w:color w:val="auto"/>
        </w:rPr>
      </w:pPr>
    </w:p>
    <w:p>
      <w:pPr>
        <w:ind w:left="964" w:right="160" w:hanging="532"/>
        <w:spacing w:after="0" w:line="268" w:lineRule="auto"/>
        <w:tabs>
          <w:tab w:leader="none" w:pos="96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76"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ectPr>
          <w:pgSz w:w="11900" w:h="16838" w:orient="portrait"/>
          <w:cols w:equalWidth="0" w:num="1">
            <w:col w:w="10964"/>
          </w:cols>
          <w:pgMar w:left="436" w:top="270" w:right="499" w:bottom="1440" w:gutter="0" w:footer="0" w:header="0"/>
        </w:sectPr>
      </w:pPr>
    </w:p>
    <w:bookmarkStart w:id="16" w:name="page17"/>
    <w:bookmarkEnd w:id="16"/>
    <w:p>
      <w:pPr>
        <w:ind w:left="960" w:right="60" w:hanging="532"/>
        <w:spacing w:after="0" w:line="256" w:lineRule="auto"/>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88" w:lineRule="exact"/>
        <w:rPr>
          <w:rFonts w:ascii="Times New Roman" w:cs="Times New Roman" w:eastAsia="Times New Roman" w:hAnsi="Times New Roman"/>
          <w:sz w:val="18"/>
          <w:szCs w:val="18"/>
          <w:b w:val="1"/>
          <w:bCs w:val="1"/>
          <w:color w:val="auto"/>
        </w:rPr>
      </w:pPr>
    </w:p>
    <w:p>
      <w:pPr>
        <w:ind w:left="960" w:right="100" w:hanging="532"/>
        <w:spacing w:after="0" w:line="253" w:lineRule="auto"/>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Participant and the Company or an Affiliate defining such term and, in the absence of such agreement, such term will mean, with respect to a Participant and for purposes of the application of this Plan, the occurrence of any of the following events: (i) such Participant’s conviction of, or plea of no contest with respect to, any crime involving fraud, dishonesty or moral turpitude; (ii) such Participant’s attempted commission of or participation in a fraud or act of dishonesty against the Company or an Affiliate that results in (or might have reasonably resulted in) material harm to the business of the Company or an Affiliate; (iii) such Participant’s intentional, material violation of any contract or agreement between the Participant and the Company or an Affiliate, or any statutory duty the Participant owes to the Company or an Affiliate; or (iv) such Participant’s conduct that constitutes gross misconduct, insubordination, incompetence or habitual neglect of duties and that results in (or might have reasonably resulted in) material harm to the business of the Company or an Affiliate.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an Affiliate or such Participant for any other purpose.</w:t>
      </w:r>
    </w:p>
    <w:p>
      <w:pPr>
        <w:spacing w:after="0" w:line="92"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will be deemed to have occurred upon the first to occur of an event set forth in any one of the following paragraphs:</w:t>
      </w:r>
    </w:p>
    <w:p>
      <w:pPr>
        <w:spacing w:after="0" w:line="134" w:lineRule="exact"/>
        <w:rPr>
          <w:rFonts w:ascii="Times New Roman" w:cs="Times New Roman" w:eastAsia="Times New Roman" w:hAnsi="Times New Roman"/>
          <w:sz w:val="18"/>
          <w:szCs w:val="18"/>
          <w:b w:val="1"/>
          <w:bCs w:val="1"/>
          <w:color w:val="auto"/>
        </w:rPr>
      </w:pPr>
    </w:p>
    <w:p>
      <w:pPr>
        <w:ind w:left="1420" w:right="220" w:hanging="439"/>
        <w:spacing w:after="0" w:line="261"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any merger or consolidation, the voting securities of the Company outstanding immediately prior thereto represent (either by remaining outstanding or by being converted into voting securities of the surviving or acquiring entity) less than 49% of the combined voting power of the voting securities of the Company or such surviving or acquiring entity outstanding immediately after such merger or consolidation;</w:t>
      </w:r>
    </w:p>
    <w:p>
      <w:pPr>
        <w:spacing w:after="0" w:line="85" w:lineRule="exact"/>
        <w:rPr>
          <w:rFonts w:ascii="Times New Roman" w:cs="Times New Roman" w:eastAsia="Times New Roman" w:hAnsi="Times New Roman"/>
          <w:sz w:val="18"/>
          <w:szCs w:val="18"/>
          <w:color w:val="auto"/>
        </w:rPr>
      </w:pPr>
    </w:p>
    <w:p>
      <w:pPr>
        <w:ind w:left="1420" w:hanging="439"/>
        <w:spacing w:after="0" w:line="258"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calendar months, the individuals who at the beginning of such period constitute the Board, and any new directors whose election by such Board or nomination for election by stockholders was approved by a vote of at least two-thirds of the members of such Board who were either directors on such Board at the beginning of the period or whose election or nomination for election as directors was previously so approved, for any reason cease to constitute at least a majority of the members thereof;</w:t>
      </w:r>
    </w:p>
    <w:p>
      <w:pPr>
        <w:spacing w:after="0" w:line="88" w:lineRule="exact"/>
        <w:rPr>
          <w:rFonts w:ascii="Times New Roman" w:cs="Times New Roman" w:eastAsia="Times New Roman" w:hAnsi="Times New Roman"/>
          <w:sz w:val="18"/>
          <w:szCs w:val="18"/>
          <w:color w:val="auto"/>
        </w:rPr>
      </w:pPr>
    </w:p>
    <w:p>
      <w:pPr>
        <w:jc w:val="both"/>
        <w:ind w:left="1420" w:right="60" w:hanging="439"/>
        <w:spacing w:after="0" w:line="266"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entity or group (within the meaning of Section 13(d)(3) or 14(d)(2) of the Exchange Act) shall become the beneficial owner (within the meaning of Rule 13d-3 promulgated under the Exchange Act) of more than 20% of the then outstanding shares of Common Stock of the Company;</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Stock Award which provides for the deferral of compensation and is subject to Section 409A of the Code, the transaction or event with respect to such Stock Award must also constitute a “change in control event,” as defined in Treasury Regulation §1.409A-3(i)(5) to the extent required by Section 409A.</w:t>
      </w:r>
    </w:p>
    <w:p>
      <w:pPr>
        <w:spacing w:after="0" w:line="17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be deemed to occur solely because the threshold voting power of the Company’s then outstanding securities in Section 13(e)(i) or (iii) is acquired by (A) a trustee or other fiduciary holding securities under one or more employee benefit plans maintained by the Company or any of its subsidiaries or (B) any corporation which, immediately prior to such acquisition, is owned directly or indirectly by the stockholders of the Company in the same proportion as their ownership of stock in the Company immediately prior to such acquisition.</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the term Change in Control shall not include a sale of assets, merger or other transaction effected exclusively for the purpose of changing the domicile of the Company.</w:t>
      </w:r>
    </w:p>
    <w:p>
      <w:pPr>
        <w:sectPr>
          <w:pgSz w:w="11900" w:h="16838" w:orient="portrait"/>
          <w:cols w:equalWidth="0" w:num="1">
            <w:col w:w="11020"/>
          </w:cols>
          <w:pgMar w:left="440" w:top="266" w:right="439" w:bottom="1440" w:gutter="0" w:footer="0" w:header="0"/>
        </w:sectPr>
      </w:pPr>
    </w:p>
    <w:bookmarkStart w:id="17" w:name="page18"/>
    <w:bookmarkEnd w:id="1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or any other provision of this Plan, the definition of Change in Control (or any analogous term) in an individual written agreement between the Company or any Affiliate and the Participant shall supersede the foregoing definition with respect to Stock Awards subject to such agreement; provided, however, that if no definition of Change in Control or any analogous term is set forth in such an individual written agreement, the foregoing definition shall apply.</w:t>
      </w:r>
    </w:p>
    <w:p>
      <w:pPr>
        <w:spacing w:after="0" w:line="81" w:lineRule="exact"/>
        <w:rPr>
          <w:sz w:val="20"/>
          <w:szCs w:val="20"/>
          <w:color w:val="auto"/>
        </w:rPr>
      </w:pPr>
    </w:p>
    <w:p>
      <w:pPr>
        <w:ind w:left="960" w:hanging="532"/>
        <w:spacing w:after="0"/>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30" w:lineRule="exact"/>
        <w:rPr>
          <w:rFonts w:ascii="Times New Roman" w:cs="Times New Roman" w:eastAsia="Times New Roman" w:hAnsi="Times New Roman"/>
          <w:sz w:val="18"/>
          <w:szCs w:val="18"/>
          <w:b w:val="1"/>
          <w:bCs w:val="1"/>
          <w:color w:val="auto"/>
        </w:rPr>
      </w:pPr>
    </w:p>
    <w:p>
      <w:pPr>
        <w:ind w:left="960" w:right="660" w:hanging="532"/>
        <w:spacing w:after="0" w:line="286"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 Section 2(c).</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Geron Corporation, a Delaware corporation.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line="257"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87" w:lineRule="exact"/>
        <w:rPr>
          <w:rFonts w:ascii="Times New Roman" w:cs="Times New Roman" w:eastAsia="Times New Roman" w:hAnsi="Times New Roman"/>
          <w:sz w:val="18"/>
          <w:szCs w:val="18"/>
          <w:b w:val="1"/>
          <w:bCs w:val="1"/>
          <w:color w:val="auto"/>
        </w:rPr>
      </w:pPr>
    </w:p>
    <w:p>
      <w:pPr>
        <w:ind w:left="960" w:hanging="532"/>
        <w:spacing w:after="0" w:line="253"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or Affiliate’s leave of absence policy, in the written terms of any leave of absence agreement or policy applicable to the Participant, or as otherwise required by law.</w:t>
      </w:r>
    </w:p>
    <w:p>
      <w:pPr>
        <w:spacing w:after="0" w:line="90" w:lineRule="exact"/>
        <w:rPr>
          <w:rFonts w:ascii="Times New Roman" w:cs="Times New Roman" w:eastAsia="Times New Roman" w:hAnsi="Times New Roman"/>
          <w:sz w:val="18"/>
          <w:szCs w:val="18"/>
          <w:b w:val="1"/>
          <w:bCs w:val="1"/>
          <w:color w:val="auto"/>
        </w:rPr>
      </w:pPr>
    </w:p>
    <w:p>
      <w:pPr>
        <w:ind w:left="960" w:right="140" w:hanging="532"/>
        <w:spacing w:after="0" w:line="286"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6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lease or other disposition of all or substantially all of the assets of the Company;</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ninety percent (90%) of the outstanding securities of the Company;</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in which the Company is not the surviving corporation; or</w:t>
      </w:r>
    </w:p>
    <w:p>
      <w:pPr>
        <w:spacing w:after="0" w:line="130" w:lineRule="exact"/>
        <w:rPr>
          <w:rFonts w:ascii="Times New Roman" w:cs="Times New Roman" w:eastAsia="Times New Roman" w:hAnsi="Times New Roman"/>
          <w:sz w:val="18"/>
          <w:szCs w:val="18"/>
          <w:b w:val="1"/>
          <w:bCs w:val="1"/>
          <w:color w:val="auto"/>
        </w:rPr>
      </w:pPr>
    </w:p>
    <w:p>
      <w:pPr>
        <w:ind w:left="1420" w:right="120" w:hanging="439"/>
        <w:spacing w:after="0" w:line="266" w:lineRule="auto"/>
        <w:tabs>
          <w:tab w:leader="none" w:pos="142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reverse merger, consolidation or similar transaction in which the Company is the 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definition or any other provision of this Plan, the term Corporate Transaction will not include a sale of assets, merger or other transaction effected exclusively for the purpose of changing the domicile of the Company.</w:t>
      </w:r>
    </w:p>
    <w:p>
      <w:pPr>
        <w:spacing w:after="0" w:line="63" w:lineRule="exact"/>
        <w:rPr>
          <w:sz w:val="20"/>
          <w:szCs w:val="20"/>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30" w:lineRule="exact"/>
        <w:rPr>
          <w:rFonts w:ascii="Times New Roman" w:cs="Times New Roman" w:eastAsia="Times New Roman" w:hAnsi="Times New Roman"/>
          <w:sz w:val="18"/>
          <w:szCs w:val="18"/>
          <w:b w:val="1"/>
          <w:bCs w:val="1"/>
          <w:color w:val="auto"/>
        </w:rPr>
      </w:pPr>
    </w:p>
    <w:p>
      <w:pPr>
        <w:ind w:left="960" w:right="100" w:hanging="532"/>
        <w:spacing w:after="0" w:line="262"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ectPr>
          <w:pgSz w:w="11900" w:h="16838" w:orient="portrait"/>
          <w:cols w:equalWidth="0" w:num="1">
            <w:col w:w="11000"/>
          </w:cols>
          <w:pgMar w:left="440" w:top="270" w:right="459" w:bottom="1440" w:gutter="0" w:footer="0" w:header="0"/>
        </w:sectPr>
      </w:pPr>
    </w:p>
    <w:bookmarkStart w:id="18" w:name="page19"/>
    <w:bookmarkEnd w:id="18"/>
    <w:p>
      <w:pPr>
        <w:ind w:left="532" w:right="140" w:hanging="532"/>
        <w:spacing w:after="0" w:line="286" w:lineRule="auto"/>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document, which is the date of the annual meeting of stockholders of the Company held in 2018, provided this Plan is approved by the Company’s stockholders at such meeting.</w:t>
      </w:r>
    </w:p>
    <w:p>
      <w:pPr>
        <w:spacing w:after="0" w:line="60" w:lineRule="exact"/>
        <w:rPr>
          <w:rFonts w:ascii="Times New Roman" w:cs="Times New Roman" w:eastAsia="Times New Roman" w:hAnsi="Times New Roman"/>
          <w:sz w:val="18"/>
          <w:szCs w:val="18"/>
          <w:b w:val="1"/>
          <w:bCs w:val="1"/>
          <w:color w:val="auto"/>
        </w:rPr>
      </w:pPr>
    </w:p>
    <w:p>
      <w:pPr>
        <w:ind w:left="532" w:right="220" w:hanging="532"/>
        <w:spacing w:after="0" w:line="286" w:lineRule="auto"/>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domestic or foreign entity.</w:t>
      </w:r>
    </w:p>
    <w:p>
      <w:pPr>
        <w:spacing w:after="0" w:line="13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3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34" w:lineRule="exact"/>
        <w:rPr>
          <w:rFonts w:ascii="Times New Roman" w:cs="Times New Roman" w:eastAsia="Times New Roman" w:hAnsi="Times New Roman"/>
          <w:sz w:val="18"/>
          <w:szCs w:val="18"/>
          <w:b w:val="1"/>
          <w:bCs w:val="1"/>
          <w:color w:val="auto"/>
        </w:rPr>
      </w:pPr>
    </w:p>
    <w:p>
      <w:pPr>
        <w:ind w:left="992" w:right="120" w:hanging="439"/>
        <w:spacing w:after="0" w:line="261" w:lineRule="auto"/>
        <w:tabs>
          <w:tab w:leader="none" w:pos="99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85" w:lineRule="exact"/>
        <w:rPr>
          <w:rFonts w:ascii="Times New Roman" w:cs="Times New Roman" w:eastAsia="Times New Roman" w:hAnsi="Times New Roman"/>
          <w:sz w:val="18"/>
          <w:szCs w:val="18"/>
          <w:b w:val="1"/>
          <w:bCs w:val="1"/>
          <w:color w:val="auto"/>
        </w:rPr>
      </w:pPr>
    </w:p>
    <w:p>
      <w:pPr>
        <w:ind w:left="992" w:right="160" w:hanging="439"/>
        <w:spacing w:after="0" w:line="282" w:lineRule="auto"/>
        <w:tabs>
          <w:tab w:leader="none" w:pos="99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67" w:lineRule="exact"/>
        <w:rPr>
          <w:rFonts w:ascii="Times New Roman" w:cs="Times New Roman" w:eastAsia="Times New Roman" w:hAnsi="Times New Roman"/>
          <w:sz w:val="18"/>
          <w:szCs w:val="18"/>
          <w:b w:val="1"/>
          <w:bCs w:val="1"/>
          <w:color w:val="auto"/>
        </w:rPr>
      </w:pPr>
    </w:p>
    <w:p>
      <w:pPr>
        <w:ind w:left="992" w:right="60" w:hanging="439"/>
        <w:spacing w:after="0" w:line="282" w:lineRule="auto"/>
        <w:tabs>
          <w:tab w:leader="none" w:pos="99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and in a manner that complies with Sections 409A and 422 of the Code.</w:t>
      </w:r>
    </w:p>
    <w:p>
      <w:pPr>
        <w:spacing w:after="0" w:line="63" w:lineRule="exact"/>
        <w:rPr>
          <w:rFonts w:ascii="Times New Roman" w:cs="Times New Roman" w:eastAsia="Times New Roman" w:hAnsi="Times New Roman"/>
          <w:sz w:val="18"/>
          <w:szCs w:val="18"/>
          <w:b w:val="1"/>
          <w:bCs w:val="1"/>
          <w:color w:val="auto"/>
        </w:rPr>
      </w:pPr>
    </w:p>
    <w:p>
      <w:pPr>
        <w:ind w:left="532" w:right="200" w:hanging="532"/>
        <w:spacing w:after="0" w:line="286" w:lineRule="auto"/>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 means any Stock Award granted under this Plan, other than an Option or SAR that has a per share exercise or strike price that is at least 100% of the Fair Market Value of the Common Stock on its original date of grant.</w:t>
      </w:r>
    </w:p>
    <w:p>
      <w:pPr>
        <w:spacing w:after="0" w:line="60" w:lineRule="exact"/>
        <w:rPr>
          <w:rFonts w:ascii="Times New Roman" w:cs="Times New Roman" w:eastAsia="Times New Roman" w:hAnsi="Times New Roman"/>
          <w:sz w:val="18"/>
          <w:szCs w:val="18"/>
          <w:b w:val="1"/>
          <w:bCs w:val="1"/>
          <w:color w:val="auto"/>
        </w:rPr>
      </w:pPr>
    </w:p>
    <w:p>
      <w:pPr>
        <w:ind w:left="532" w:right="240" w:hanging="532"/>
        <w:spacing w:after="0" w:line="286" w:lineRule="auto"/>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that is intended to be, and that qualifies as, an “incentive stock option” within the meaning of Section 422 of the Code.</w:t>
      </w:r>
    </w:p>
    <w:p>
      <w:pPr>
        <w:spacing w:after="0" w:line="60" w:lineRule="exact"/>
        <w:rPr>
          <w:rFonts w:ascii="Times New Roman" w:cs="Times New Roman" w:eastAsia="Times New Roman" w:hAnsi="Times New Roman"/>
          <w:sz w:val="18"/>
          <w:szCs w:val="18"/>
          <w:b w:val="1"/>
          <w:bCs w:val="1"/>
          <w:color w:val="auto"/>
        </w:rPr>
      </w:pPr>
    </w:p>
    <w:p>
      <w:pPr>
        <w:ind w:left="532" w:right="60" w:hanging="532"/>
        <w:spacing w:after="0" w:line="257" w:lineRule="auto"/>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87"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that does not qualify as an Incentive Stock Option.</w:t>
      </w:r>
    </w:p>
    <w:p>
      <w:pPr>
        <w:spacing w:after="0" w:line="13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30" w:lineRule="exact"/>
        <w:rPr>
          <w:rFonts w:ascii="Times New Roman" w:cs="Times New Roman" w:eastAsia="Times New Roman" w:hAnsi="Times New Roman"/>
          <w:sz w:val="18"/>
          <w:szCs w:val="18"/>
          <w:b w:val="1"/>
          <w:bCs w:val="1"/>
          <w:color w:val="auto"/>
        </w:rPr>
      </w:pPr>
    </w:p>
    <w:p>
      <w:pPr>
        <w:ind w:left="532" w:right="180" w:hanging="532"/>
        <w:spacing w:after="0" w:line="286" w:lineRule="auto"/>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60" w:lineRule="exact"/>
        <w:rPr>
          <w:rFonts w:ascii="Times New Roman" w:cs="Times New Roman" w:eastAsia="Times New Roman" w:hAnsi="Times New Roman"/>
          <w:sz w:val="18"/>
          <w:szCs w:val="18"/>
          <w:b w:val="1"/>
          <w:bCs w:val="1"/>
          <w:color w:val="auto"/>
        </w:rPr>
      </w:pPr>
    </w:p>
    <w:p>
      <w:pPr>
        <w:ind w:left="532" w:right="280" w:hanging="532"/>
        <w:spacing w:after="0" w:line="286" w:lineRule="auto"/>
        <w:tabs>
          <w:tab w:leader="none" w:pos="5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60" w:lineRule="exact"/>
        <w:rPr>
          <w:sz w:val="20"/>
          <w:szCs w:val="20"/>
          <w:color w:val="auto"/>
        </w:rPr>
      </w:pPr>
    </w:p>
    <w:p>
      <w:pPr>
        <w:ind w:left="532" w:right="500" w:hanging="532"/>
        <w:spacing w:after="0" w:line="286" w:lineRule="auto"/>
        <w:tabs>
          <w:tab w:leader="none" w:pos="53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60" w:lineRule="exact"/>
        <w:rPr>
          <w:rFonts w:ascii="Times New Roman" w:cs="Times New Roman" w:eastAsia="Times New Roman" w:hAnsi="Times New Roman"/>
          <w:sz w:val="18"/>
          <w:szCs w:val="18"/>
          <w:b w:val="1"/>
          <w:bCs w:val="1"/>
          <w:color w:val="auto"/>
        </w:rPr>
      </w:pPr>
    </w:p>
    <w:p>
      <w:pPr>
        <w:ind w:left="532" w:right="60" w:hanging="532"/>
        <w:spacing w:after="0" w:line="286" w:lineRule="auto"/>
        <w:tabs>
          <w:tab w:leader="none" w:pos="53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60" w:lineRule="exact"/>
        <w:rPr>
          <w:rFonts w:ascii="Times New Roman" w:cs="Times New Roman" w:eastAsia="Times New Roman" w:hAnsi="Times New Roman"/>
          <w:sz w:val="18"/>
          <w:szCs w:val="18"/>
          <w:b w:val="1"/>
          <w:bCs w:val="1"/>
          <w:color w:val="auto"/>
        </w:rPr>
      </w:pPr>
    </w:p>
    <w:p>
      <w:pPr>
        <w:ind w:left="532" w:hanging="532"/>
        <w:spacing w:after="0" w:line="268" w:lineRule="auto"/>
        <w:tabs>
          <w:tab w:leader="none" w:pos="53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ectPr>
          <w:pgSz w:w="11900" w:h="16838" w:orient="portrait"/>
          <w:cols w:equalWidth="0" w:num="1">
            <w:col w:w="10552"/>
          </w:cols>
          <w:pgMar w:left="868" w:top="266" w:right="479" w:bottom="1440" w:gutter="0" w:footer="0" w:header="0"/>
        </w:sectPr>
      </w:pPr>
    </w:p>
    <w:bookmarkStart w:id="19" w:name="page20"/>
    <w:bookmarkEnd w:id="19"/>
    <w:p>
      <w:pPr>
        <w:ind w:left="532" w:right="40" w:hanging="532"/>
        <w:spacing w:after="0" w:line="262" w:lineRule="auto"/>
        <w:tabs>
          <w:tab w:leader="none" w:pos="53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81" w:lineRule="exact"/>
        <w:rPr>
          <w:rFonts w:ascii="Times New Roman" w:cs="Times New Roman" w:eastAsia="Times New Roman" w:hAnsi="Times New Roman"/>
          <w:sz w:val="18"/>
          <w:szCs w:val="18"/>
          <w:b w:val="1"/>
          <w:bCs w:val="1"/>
          <w:color w:val="auto"/>
        </w:rPr>
      </w:pPr>
    </w:p>
    <w:p>
      <w:pPr>
        <w:ind w:left="532" w:right="320" w:hanging="532"/>
        <w:spacing w:after="0" w:line="286" w:lineRule="auto"/>
        <w:tabs>
          <w:tab w:leader="none" w:pos="53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 Stock Award is granted pursuant to the Plan or, if applicable, such other person who holds an outstanding Stock Award.</w:t>
      </w:r>
    </w:p>
    <w:p>
      <w:pPr>
        <w:spacing w:after="0" w:line="60" w:lineRule="exact"/>
        <w:rPr>
          <w:rFonts w:ascii="Times New Roman" w:cs="Times New Roman" w:eastAsia="Times New Roman" w:hAnsi="Times New Roman"/>
          <w:sz w:val="18"/>
          <w:szCs w:val="18"/>
          <w:b w:val="1"/>
          <w:bCs w:val="1"/>
          <w:color w:val="auto"/>
        </w:rPr>
      </w:pPr>
    </w:p>
    <w:p>
      <w:pPr>
        <w:ind w:left="532" w:hanging="532"/>
        <w:spacing w:after="0" w:line="256" w:lineRule="auto"/>
        <w:tabs>
          <w:tab w:leader="none" w:pos="53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shall select for purposes of establishing the Performance Goals for a Performance Period. The Performance Criteria that shall be used to establish such Performance Goals may be based on any one of, or combination of, the following: (i) net earnings (either before or after one or more of the following: (A) interest, (B) taxes, (C) depreciation and (D) amortization); (ii) gross or net sales or revenue; (iii) net income (either before or after taxes); (iv) adjusted net income;</w:t>
      </w:r>
    </w:p>
    <w:p>
      <w:pPr>
        <w:spacing w:after="0" w:line="3" w:lineRule="exact"/>
        <w:rPr>
          <w:rFonts w:ascii="Times New Roman" w:cs="Times New Roman" w:eastAsia="Times New Roman" w:hAnsi="Times New Roman"/>
          <w:sz w:val="18"/>
          <w:szCs w:val="18"/>
          <w:b w:val="1"/>
          <w:bCs w:val="1"/>
          <w:color w:val="auto"/>
        </w:rPr>
      </w:pPr>
    </w:p>
    <w:p>
      <w:pPr>
        <w:ind w:left="792" w:hanging="252"/>
        <w:spacing w:after="0"/>
        <w:tabs>
          <w:tab w:leader="none" w:pos="7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earnings or profit; (vi) cash flow (including, but not limited to, operating cash flow and free cash flow); (vii) return on assets;</w:t>
      </w:r>
    </w:p>
    <w:p>
      <w:pPr>
        <w:spacing w:after="0" w:line="9" w:lineRule="exact"/>
        <w:rPr>
          <w:rFonts w:ascii="Times New Roman" w:cs="Times New Roman" w:eastAsia="Times New Roman" w:hAnsi="Times New Roman"/>
          <w:sz w:val="18"/>
          <w:szCs w:val="18"/>
          <w:color w:val="auto"/>
        </w:rPr>
      </w:pPr>
    </w:p>
    <w:p>
      <w:pPr>
        <w:ind w:left="532" w:right="100" w:firstLine="8"/>
        <w:spacing w:after="0" w:line="250" w:lineRule="auto"/>
        <w:tabs>
          <w:tab w:leader="none" w:pos="93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 (ix) return on stockholders’ equity; (x) total stockholder return; (xi) return on sales; (xii) gross or net profit or operating margin; (xiii) costs; (xiv) funds from operations; (xv) expenses; (xvi) working capital; (xvii) earnings per share; (xviii) adjusted earnings per share; (xix) price per Share; (xx) regulatory body approval for commercialization of a product; (xxi) positive results from clinical trials; (xxii) initiation of clinical trials; (xxiii) implementation, completion or maintenance of critical projects or relationships;</w:t>
      </w:r>
    </w:p>
    <w:p>
      <w:pPr>
        <w:spacing w:after="0" w:line="1" w:lineRule="exact"/>
        <w:rPr>
          <w:rFonts w:ascii="Times New Roman" w:cs="Times New Roman" w:eastAsia="Times New Roman" w:hAnsi="Times New Roman"/>
          <w:sz w:val="18"/>
          <w:szCs w:val="18"/>
          <w:color w:val="auto"/>
        </w:rPr>
      </w:pPr>
    </w:p>
    <w:p>
      <w:pPr>
        <w:ind w:left="1032" w:hanging="492"/>
        <w:spacing w:after="0"/>
        <w:tabs>
          <w:tab w:leader="none" w:pos="103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significant financing; (xxv) execution or completion of strategic initiatives; (xxvi) market share; (xxvii) economic value;</w:t>
      </w:r>
    </w:p>
    <w:p>
      <w:pPr>
        <w:spacing w:after="0" w:line="9" w:lineRule="exact"/>
        <w:rPr>
          <w:rFonts w:ascii="Times New Roman" w:cs="Times New Roman" w:eastAsia="Times New Roman" w:hAnsi="Times New Roman"/>
          <w:sz w:val="18"/>
          <w:szCs w:val="18"/>
          <w:color w:val="auto"/>
        </w:rPr>
      </w:pPr>
    </w:p>
    <w:p>
      <w:pPr>
        <w:ind w:left="532" w:right="80" w:firstLine="8"/>
        <w:spacing w:after="0" w:line="253" w:lineRule="auto"/>
        <w:tabs>
          <w:tab w:leader="none" w:pos="111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return on capital; (xxix) return on net assets; and (xxx) other measures of performance selected by the Board. Partial achievement of the specified criteria may result in the payment or vesting corresponding to the degree of achievement as specified in the Stock Award Agreement. The Board shall, in its sole discretion, define the manner of calculating the Performance Criteria it selects to use for such Performance Period.</w:t>
      </w:r>
    </w:p>
    <w:p>
      <w:pPr>
        <w:spacing w:after="0" w:line="90" w:lineRule="exact"/>
        <w:rPr>
          <w:rFonts w:ascii="Times New Roman" w:cs="Times New Roman" w:eastAsia="Times New Roman" w:hAnsi="Times New Roman"/>
          <w:sz w:val="18"/>
          <w:szCs w:val="18"/>
          <w:color w:val="auto"/>
        </w:rPr>
      </w:pPr>
    </w:p>
    <w:p>
      <w:pPr>
        <w:ind w:left="532" w:hanging="532"/>
        <w:spacing w:after="0" w:line="252" w:lineRule="auto"/>
        <w:tabs>
          <w:tab w:leader="none" w:pos="5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w:t>
      </w:r>
    </w:p>
    <w:p>
      <w:pPr>
        <w:spacing w:after="0" w:line="6" w:lineRule="exact"/>
        <w:rPr>
          <w:rFonts w:ascii="Times New Roman" w:cs="Times New Roman" w:eastAsia="Times New Roman" w:hAnsi="Times New Roman"/>
          <w:sz w:val="18"/>
          <w:szCs w:val="18"/>
          <w:b w:val="1"/>
          <w:bCs w:val="1"/>
          <w:color w:val="auto"/>
        </w:rPr>
      </w:pPr>
    </w:p>
    <w:p>
      <w:pPr>
        <w:ind w:left="952" w:hanging="412"/>
        <w:spacing w:after="0"/>
        <w:tabs>
          <w:tab w:leader="none" w:pos="9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that are outside the scope of the Company’s core, on-going business activities; (xiv) items related to acquired in-process</w:t>
      </w:r>
    </w:p>
    <w:p>
      <w:pPr>
        <w:spacing w:after="0" w:line="9" w:lineRule="exact"/>
        <w:rPr>
          <w:rFonts w:ascii="Times New Roman" w:cs="Times New Roman" w:eastAsia="Times New Roman" w:hAnsi="Times New Roman"/>
          <w:sz w:val="18"/>
          <w:szCs w:val="18"/>
          <w:color w:val="auto"/>
        </w:rPr>
      </w:pPr>
    </w:p>
    <w:p>
      <w:pPr>
        <w:ind w:left="5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(xv) items relating to changes in tax laws; (xvi) items relating to major licensing or partnership arrangements;</w:t>
      </w:r>
    </w:p>
    <w:p>
      <w:pPr>
        <w:spacing w:after="0" w:line="9" w:lineRule="exact"/>
        <w:rPr>
          <w:rFonts w:ascii="Times New Roman" w:cs="Times New Roman" w:eastAsia="Times New Roman" w:hAnsi="Times New Roman"/>
          <w:sz w:val="18"/>
          <w:szCs w:val="18"/>
          <w:color w:val="auto"/>
        </w:rPr>
      </w:pPr>
    </w:p>
    <w:p>
      <w:pPr>
        <w:ind w:left="532" w:right="560" w:firstLine="8"/>
        <w:spacing w:after="0" w:line="255" w:lineRule="auto"/>
        <w:tabs>
          <w:tab w:leader="none" w:pos="9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any other items selected by the Board.</w:t>
      </w:r>
    </w:p>
    <w:p>
      <w:pPr>
        <w:spacing w:after="0" w:line="87" w:lineRule="exact"/>
        <w:rPr>
          <w:rFonts w:ascii="Times New Roman" w:cs="Times New Roman" w:eastAsia="Times New Roman" w:hAnsi="Times New Roman"/>
          <w:sz w:val="18"/>
          <w:szCs w:val="18"/>
          <w:color w:val="auto"/>
        </w:rPr>
      </w:pPr>
    </w:p>
    <w:p>
      <w:pPr>
        <w:jc w:val="both"/>
        <w:ind w:left="532" w:right="140" w:hanging="532"/>
        <w:spacing w:after="0" w:line="268" w:lineRule="auto"/>
        <w:tabs>
          <w:tab w:leader="none" w:pos="53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and the payment of a Performance Stock Award. Performance Periods may be of varying and overlapping duration, at the sole discretion of the Board.</w:t>
      </w:r>
    </w:p>
    <w:p>
      <w:pPr>
        <w:spacing w:after="0" w:line="76"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13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Geron Corporation 2018 Equity Incentive Plan.</w:t>
      </w:r>
    </w:p>
    <w:p>
      <w:pPr>
        <w:spacing w:after="0" w:line="130" w:lineRule="exact"/>
        <w:rPr>
          <w:rFonts w:ascii="Times New Roman" w:cs="Times New Roman" w:eastAsia="Times New Roman" w:hAnsi="Times New Roman"/>
          <w:sz w:val="18"/>
          <w:szCs w:val="18"/>
          <w:b w:val="1"/>
          <w:bCs w:val="1"/>
          <w:color w:val="auto"/>
        </w:rPr>
      </w:pPr>
    </w:p>
    <w:p>
      <w:pPr>
        <w:ind w:left="532" w:right="800" w:hanging="532"/>
        <w:spacing w:after="0" w:line="286" w:lineRule="auto"/>
        <w:tabs>
          <w:tab w:leader="none" w:pos="53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 Section 6(a).</w:t>
      </w:r>
    </w:p>
    <w:p>
      <w:pPr>
        <w:spacing w:after="0" w:line="60" w:lineRule="exact"/>
        <w:rPr>
          <w:sz w:val="20"/>
          <w:szCs w:val="20"/>
          <w:color w:val="auto"/>
        </w:rPr>
      </w:pPr>
    </w:p>
    <w:p>
      <w:pPr>
        <w:ind w:left="532" w:right="340" w:hanging="539"/>
        <w:spacing w:after="0" w:line="268" w:lineRule="auto"/>
        <w:tabs>
          <w:tab w:leader="none" w:pos="511" w:val="left"/>
        </w:tabs>
        <w:rPr>
          <w:sz w:val="20"/>
          <w:szCs w:val="20"/>
          <w:color w:val="auto"/>
        </w:rPr>
      </w:pPr>
      <w:r>
        <w:rPr>
          <w:rFonts w:ascii="Times New Roman" w:cs="Times New Roman" w:eastAsia="Times New Roman" w:hAnsi="Times New Roman"/>
          <w:sz w:val="18"/>
          <w:szCs w:val="18"/>
          <w:b w:val="1"/>
          <w:bCs w:val="1"/>
          <w:color w:val="auto"/>
        </w:rPr>
        <w:t>(lI)</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76" w:lineRule="exact"/>
        <w:rPr>
          <w:sz w:val="20"/>
          <w:szCs w:val="20"/>
          <w:color w:val="auto"/>
        </w:rPr>
      </w:pPr>
    </w:p>
    <w:p>
      <w:pPr>
        <w:ind w:left="532" w:right="60" w:hanging="532"/>
        <w:spacing w:after="0" w:line="286" w:lineRule="auto"/>
        <w:tabs>
          <w:tab w:leader="none" w:pos="53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 Section 6(b).</w:t>
      </w:r>
    </w:p>
    <w:p>
      <w:pPr>
        <w:sectPr>
          <w:pgSz w:w="11900" w:h="16838" w:orient="portrait"/>
          <w:cols w:equalWidth="0" w:num="1">
            <w:col w:w="10552"/>
          </w:cols>
          <w:pgMar w:left="868" w:top="266" w:right="479" w:bottom="1440" w:gutter="0" w:footer="0" w:header="0"/>
        </w:sectPr>
      </w:pPr>
    </w:p>
    <w:bookmarkStart w:id="20" w:name="page21"/>
    <w:bookmarkEnd w:id="20"/>
    <w:p>
      <w:pPr>
        <w:ind w:left="532" w:right="20" w:hanging="532"/>
        <w:spacing w:after="0" w:line="268" w:lineRule="auto"/>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76"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3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3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30" w:lineRule="exact"/>
        <w:rPr>
          <w:rFonts w:ascii="Times New Roman" w:cs="Times New Roman" w:eastAsia="Times New Roman" w:hAnsi="Times New Roman"/>
          <w:sz w:val="18"/>
          <w:szCs w:val="18"/>
          <w:b w:val="1"/>
          <w:bCs w:val="1"/>
          <w:color w:val="auto"/>
        </w:rPr>
      </w:pPr>
    </w:p>
    <w:p>
      <w:pPr>
        <w:ind w:left="532" w:right="180" w:hanging="532"/>
        <w:spacing w:after="0" w:line="286" w:lineRule="auto"/>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60" w:lineRule="exact"/>
        <w:rPr>
          <w:rFonts w:ascii="Times New Roman" w:cs="Times New Roman" w:eastAsia="Times New Roman" w:hAnsi="Times New Roman"/>
          <w:sz w:val="18"/>
          <w:szCs w:val="18"/>
          <w:b w:val="1"/>
          <w:bCs w:val="1"/>
          <w:color w:val="auto"/>
        </w:rPr>
      </w:pPr>
    </w:p>
    <w:p>
      <w:pPr>
        <w:ind w:left="532" w:hanging="532"/>
        <w:spacing w:after="0" w:line="268" w:lineRule="auto"/>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76" w:lineRule="exact"/>
        <w:rPr>
          <w:rFonts w:ascii="Times New Roman" w:cs="Times New Roman" w:eastAsia="Times New Roman" w:hAnsi="Times New Roman"/>
          <w:sz w:val="18"/>
          <w:szCs w:val="18"/>
          <w:b w:val="1"/>
          <w:bCs w:val="1"/>
          <w:color w:val="auto"/>
        </w:rPr>
      </w:pPr>
    </w:p>
    <w:p>
      <w:pPr>
        <w:ind w:left="532" w:right="120" w:hanging="532"/>
        <w:spacing w:after="0" w:line="268" w:lineRule="auto"/>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Incentive Stock Option, a Nonstatutory Stock Option, a Stock Appreciation Right, a Restricted Stock Award, a Restricted Stock Unit Award, a Performance Stock Award or any Other Stock Award.</w:t>
      </w:r>
    </w:p>
    <w:p>
      <w:pPr>
        <w:spacing w:after="0" w:line="76" w:lineRule="exact"/>
        <w:rPr>
          <w:rFonts w:ascii="Times New Roman" w:cs="Times New Roman" w:eastAsia="Times New Roman" w:hAnsi="Times New Roman"/>
          <w:sz w:val="18"/>
          <w:szCs w:val="18"/>
          <w:b w:val="1"/>
          <w:bCs w:val="1"/>
          <w:color w:val="auto"/>
        </w:rPr>
      </w:pPr>
    </w:p>
    <w:p>
      <w:pPr>
        <w:ind w:left="532" w:right="140" w:hanging="532"/>
        <w:spacing w:after="0" w:line="286" w:lineRule="auto"/>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60" w:lineRule="exact"/>
        <w:rPr>
          <w:rFonts w:ascii="Times New Roman" w:cs="Times New Roman" w:eastAsia="Times New Roman" w:hAnsi="Times New Roman"/>
          <w:sz w:val="18"/>
          <w:szCs w:val="18"/>
          <w:b w:val="1"/>
          <w:bCs w:val="1"/>
          <w:color w:val="auto"/>
        </w:rPr>
      </w:pPr>
    </w:p>
    <w:p>
      <w:pPr>
        <w:ind w:left="532" w:right="140" w:hanging="532"/>
        <w:spacing w:after="0" w:line="257" w:lineRule="auto"/>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87" w:lineRule="exact"/>
        <w:rPr>
          <w:rFonts w:ascii="Times New Roman" w:cs="Times New Roman" w:eastAsia="Times New Roman" w:hAnsi="Times New Roman"/>
          <w:sz w:val="18"/>
          <w:szCs w:val="18"/>
          <w:b w:val="1"/>
          <w:bCs w:val="1"/>
          <w:color w:val="auto"/>
        </w:rPr>
      </w:pPr>
    </w:p>
    <w:p>
      <w:pPr>
        <w:ind w:left="532" w:right="220" w:hanging="532"/>
        <w:spacing w:after="0" w:line="286" w:lineRule="auto"/>
        <w:tabs>
          <w:tab w:leader="none" w:pos="53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sectPr>
      <w:pgSz w:w="11900" w:h="16838" w:orient="portrait"/>
      <w:cols w:equalWidth="0" w:num="1">
        <w:col w:w="10472"/>
      </w:cols>
      <w:pgMar w:left="868"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decimal"/>
      <w:start w:val="3"/>
    </w:lvl>
  </w:abstractNum>
  <w:abstractNum w:abstractNumId="4">
    <w:nsid w:val="8138641"/>
    <w:multiLevelType w:val="hybridMultilevel"/>
    <w:lvl w:ilvl="0">
      <w:lvlJc w:val="left"/>
      <w:lvlText w:val="%1."/>
      <w:numFmt w:val="decimal"/>
      <w:start w:val="4"/>
    </w:lvl>
  </w:abstractNum>
  <w:abstractNum w:abstractNumId="5">
    <w:nsid w:val="1E7FF521"/>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9"/>
    </w:lvl>
  </w:abstractNum>
  <w:abstractNum w:abstractNumId="6">
    <w:nsid w:val="7C3DBD3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7">
    <w:nsid w:val="737B8DDC"/>
    <w:multiLevelType w:val="hybridMultilevel"/>
    <w:lvl w:ilvl="0">
      <w:lvlJc w:val="left"/>
      <w:lvlText w:val="%1"/>
      <w:numFmt w:val="upperLetter"/>
      <w:start w:val="1"/>
    </w:lvl>
    <w:lvl w:ilvl="1">
      <w:lvlJc w:val="left"/>
      <w:lvlText w:val="(%2)"/>
      <w:numFmt w:val="lowerLetter"/>
      <w:start w:val="4"/>
    </w:lvl>
  </w:abstractNum>
  <w:abstractNum w:abstractNumId="8">
    <w:nsid w:val="6CEAF087"/>
    <w:multiLevelType w:val="hybridMultilevel"/>
    <w:lvl w:ilvl="0">
      <w:lvlJc w:val="left"/>
      <w:lvlText w:val="%1."/>
      <w:numFmt w:val="upperLetter"/>
      <w:start w:val="35"/>
    </w:lvl>
    <w:lvl w:ilvl="1">
      <w:lvlJc w:val="left"/>
      <w:lvlText w:val="(%2)"/>
      <w:numFmt w:val="lowerLetter"/>
      <w:start w:val="1"/>
    </w:lvl>
  </w:abstractNum>
  <w:abstractNum w:abstractNumId="9">
    <w:nsid w:val="22221A70"/>
    <w:multiLevelType w:val="hybridMultilevel"/>
    <w:lvl w:ilvl="0">
      <w:lvlJc w:val="left"/>
      <w:lvlText w:val="(%1)"/>
      <w:numFmt w:val="lowerLetter"/>
      <w:start w:val="2"/>
    </w:lvl>
    <w:lvl w:ilvl="1">
      <w:lvlJc w:val="left"/>
      <w:lvlText w:val="(%2)"/>
      <w:numFmt w:val="lowerRoman"/>
      <w:start w:val="1"/>
    </w:lvl>
  </w:abstractNum>
  <w:abstractNum w:abstractNumId="10">
    <w:nsid w:val="4516DDE9"/>
    <w:multiLevelType w:val="hybridMultilevel"/>
    <w:lvl w:ilvl="0">
      <w:lvlJc w:val="left"/>
      <w:lvlText w:val="%1"/>
      <w:numFmt w:val="lowerLetter"/>
      <w:start w:val="1"/>
    </w:lvl>
    <w:lvl w:ilvl="1">
      <w:lvlJc w:val="left"/>
      <w:lvlText w:val="(%2)"/>
      <w:numFmt w:val="lowerLetter"/>
      <w:start w:val="24"/>
    </w:lvl>
  </w:abstractNum>
  <w:abstractNum w:abstractNumId="11">
    <w:nsid w:val="3006C83E"/>
    <w:multiLevelType w:val="hybridMultilevel"/>
    <w:lvl w:ilvl="0">
      <w:lvlJc w:val="left"/>
      <w:lvlText w:val="(%1)"/>
      <w:numFmt w:val="lowerLetter"/>
      <w:start w:val="3"/>
    </w:lvl>
    <w:lvl w:ilvl="1">
      <w:lvlJc w:val="left"/>
      <w:lvlText w:val="(%2)"/>
      <w:numFmt w:val="lowerLetter"/>
      <w:start w:val="9"/>
    </w:lvl>
  </w:abstractNum>
  <w:abstractNum w:abstractNumId="12">
    <w:nsid w:val="614FD4A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13">
    <w:nsid w:val="419AC241"/>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14">
    <w:nsid w:val="5577F8E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15">
    <w:nsid w:val="440BADF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16">
    <w:nsid w:val="507236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17">
    <w:nsid w:val="3804823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8">
    <w:nsid w:val="77465F0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9">
    <w:nsid w:val="7724C67E"/>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upperLetter"/>
      <w:start w:val="1"/>
    </w:lvl>
    <w:lvl w:ilvl="1">
      <w:lvlJc w:val="left"/>
      <w:lvlText w:val="(%2)"/>
      <w:numFmt w:val="lowerLetter"/>
      <w:start w:val="2"/>
    </w:lvl>
  </w:abstractNum>
  <w:abstractNum w:abstractNumId="22">
    <w:nsid w:val="5E884ADC"/>
    <w:multiLevelType w:val="hybridMultilevel"/>
    <w:lvl w:ilvl="0">
      <w:lvlJc w:val="left"/>
      <w:lvlText w:val="%1."/>
      <w:numFmt w:val="upperLetter"/>
      <w:start w:val="22"/>
    </w:lvl>
    <w:lvl w:ilvl="1">
      <w:lvlJc w:val="left"/>
      <w:lvlText w:val="%2"/>
      <w:numFmt w:val="lowerLetter"/>
      <w:start w:val="1"/>
    </w:lvl>
  </w:abstractNum>
  <w:abstractNum w:abstractNumId="23">
    <w:nsid w:val="51EAD36B"/>
    <w:multiLevelType w:val="hybridMultilevel"/>
    <w:lvl w:ilvl="0">
      <w:lvlJc w:val="left"/>
      <w:lvlText w:val="(%1)"/>
      <w:numFmt w:val="lowerLetter"/>
      <w:start w:val="1"/>
    </w:lvl>
    <w:lvl w:ilvl="1">
      <w:lvlJc w:val="left"/>
      <w:lvlText w:val="(%2)"/>
      <w:numFmt w:val="lowerRoman"/>
      <w:start w:val="1"/>
    </w:lvl>
  </w:abstractNum>
  <w:abstractNum w:abstractNumId="24">
    <w:nsid w:val="2D517796"/>
    <w:multiLevelType w:val="hybridMultilevel"/>
    <w:lvl w:ilvl="0">
      <w:lvlJc w:val="left"/>
      <w:lvlText w:val="%1"/>
      <w:numFmt w:val="lowerLetter"/>
      <w:start w:val="1"/>
    </w:lvl>
    <w:lvl w:ilvl="1">
      <w:lvlJc w:val="left"/>
      <w:lvlText w:val="(%2)"/>
      <w:numFmt w:val="lowerLetter"/>
      <w:start w:val="22"/>
    </w:lvl>
  </w:abstractNum>
  <w:abstractNum w:abstractNumId="25">
    <w:nsid w:val="580BD78F"/>
    <w:multiLevelType w:val="hybridMultilevel"/>
    <w:lvl w:ilvl="0">
      <w:lvlJc w:val="left"/>
      <w:lvlText w:val="(%1)"/>
      <w:numFmt w:val="lowerLetter"/>
      <w:start w:val="4"/>
    </w:lvl>
    <w:lvl w:ilvl="1">
      <w:lvlJc w:val="left"/>
      <w:lvlText w:val="(%2)"/>
      <w:numFmt w:val="lowerLetter"/>
      <w:start w:val="9"/>
    </w:lvl>
  </w:abstractNum>
  <w:abstractNum w:abstractNumId="26">
    <w:nsid w:val="153EA438"/>
    <w:multiLevelType w:val="hybridMultilevel"/>
    <w:lvl w:ilvl="0">
      <w:lvlJc w:val="left"/>
      <w:lvlText w:val="%1"/>
      <w:numFmt w:val="lowerLetter"/>
      <w:start w:val="1"/>
    </w:lvl>
    <w:lvl w:ilvl="1">
      <w:lvlJc w:val="left"/>
      <w:lvlText w:val="(%2)"/>
      <w:numFmt w:val="lowerRoman"/>
      <w:start w:val="2"/>
    </w:lvl>
  </w:abstractNum>
  <w:abstractNum w:abstractNumId="27">
    <w:nsid w:val="3855585C"/>
    <w:multiLevelType w:val="hybridMultilevel"/>
    <w:lvl w:ilvl="0">
      <w:lvlJc w:val="left"/>
      <w:lvlText w:val="(%1)"/>
      <w:numFmt w:val="lowerLetter"/>
      <w:start w:val="6"/>
    </w:lvl>
    <w:lvl w:ilvl="1">
      <w:lvlJc w:val="left"/>
      <w:lvlText w:val="%2"/>
      <w:numFmt w:val="lowerRoman"/>
      <w:start w:val="1"/>
    </w:lvl>
  </w:abstractNum>
  <w:abstractNum w:abstractNumId="28">
    <w:nsid w:val="70A64E2A"/>
    <w:multiLevelType w:val="hybridMultilevel"/>
    <w:lvl w:ilvl="0">
      <w:lvlJc w:val="left"/>
      <w:lvlText w:val="(%1)"/>
      <w:numFmt w:val="lowerLetter"/>
      <w:start w:val="8"/>
    </w:lvl>
  </w:abstractNum>
  <w:abstractNum w:abstractNumId="29">
    <w:nsid w:val="6A2342EC"/>
    <w:multiLevelType w:val="hybridMultilevel"/>
    <w:lvl w:ilvl="0">
      <w:lvlJc w:val="left"/>
      <w:lvlText w:val="(%1)"/>
      <w:numFmt w:val="lowerLetter"/>
      <w:start w:val="1"/>
    </w:lvl>
    <w:lvl w:ilvl="1">
      <w:lvlJc w:val="left"/>
      <w:lvlText w:val="(%2)"/>
      <w:numFmt w:val="lowerRoman"/>
      <w:start w:val="1"/>
    </w:lvl>
  </w:abstractNum>
  <w:abstractNum w:abstractNumId="30">
    <w:nsid w:val="2A487CB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1">
    <w:nsid w:val="1D4ED43B"/>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4"/>
    </w:lvl>
  </w:abstractNum>
  <w:abstractNum w:abstractNumId="35">
    <w:nsid w:val="7A6D8D3C"/>
    <w:multiLevelType w:val="hybridMultilevel"/>
    <w:lvl w:ilvl="0">
      <w:lvlJc w:val="left"/>
      <w:lvlText w:val="(%1)"/>
      <w:numFmt w:val="lowerLetter"/>
      <w:start w:val="10"/>
    </w:lvl>
  </w:abstractNum>
  <w:abstractNum w:abstractNumId="36">
    <w:nsid w:val="4B588F54"/>
    <w:multiLevelType w:val="hybridMultilevel"/>
    <w:lvl w:ilvl="0">
      <w:lvlJc w:val="left"/>
      <w:lvlText w:val="(%1)"/>
      <w:numFmt w:val="lowerLetter"/>
      <w:start w:val="1"/>
    </w:lvl>
    <w:lvl w:ilvl="1">
      <w:lvlJc w:val="left"/>
      <w:lvlText w:val="(%2)"/>
      <w:numFmt w:val="lowerRoman"/>
      <w:start w:val="1"/>
    </w:lvl>
  </w:abstractNum>
  <w:abstractNum w:abstractNumId="37">
    <w:nsid w:val="542289EC"/>
    <w:multiLevelType w:val="hybridMultilevel"/>
    <w:lvl w:ilvl="0">
      <w:lvlJc w:val="left"/>
      <w:lvlText w:val="(%1)"/>
      <w:numFmt w:val="lowerRoman"/>
      <w:start w:val="2"/>
    </w:lvl>
  </w:abstractNum>
  <w:abstractNum w:abstractNumId="38">
    <w:nsid w:val="6DE91B18"/>
    <w:multiLevelType w:val="hybridMultilevel"/>
    <w:lvl w:ilvl="0">
      <w:lvlJc w:val="left"/>
      <w:lvlText w:val="%1"/>
      <w:numFmt w:val="upperLetter"/>
      <w:start w:val="1"/>
    </w:lvl>
    <w:lvl w:ilvl="1">
      <w:lvlJc w:val="left"/>
      <w:lvlText w:val="(%2)"/>
      <w:numFmt w:val="lowerLetter"/>
      <w:start w:val="4"/>
    </w:lvl>
  </w:abstractNum>
  <w:abstractNum w:abstractNumId="39">
    <w:nsid w:val="38437FDB"/>
    <w:multiLevelType w:val="hybridMultilevel"/>
    <w:lvl w:ilvl="0">
      <w:lvlJc w:val="left"/>
      <w:lvlText w:val="%1."/>
      <w:numFmt w:val="upperLetter"/>
      <w:start w:val="24"/>
    </w:lvl>
    <w:lvl w:ilvl="1">
      <w:lvlJc w:val="left"/>
      <w:lvlText w:val="(%2)"/>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3"/>
    </w:lvl>
    <w:lvl w:ilvl="1">
      <w:lvlJc w:val="left"/>
      <w:lvlText w:val="(%2)"/>
      <w:numFmt w:val="lowerRoman"/>
      <w:start w:val="1"/>
    </w:lvl>
  </w:abstractNum>
  <w:abstractNum w:abstractNumId="42">
    <w:nsid w:val="684A481A"/>
    <w:multiLevelType w:val="hybridMultilevel"/>
    <w:lvl w:ilvl="0">
      <w:lvlJc w:val="left"/>
      <w:lvlText w:val="(%1)"/>
      <w:numFmt w:val="lowerLetter"/>
      <w:start w:val="6"/>
    </w:lvl>
    <w:lvl w:ilvl="1">
      <w:lvlJc w:val="left"/>
      <w:lvlText w:val="(%2)"/>
      <w:numFmt w:val="lowerRoman"/>
      <w:start w:val="1"/>
    </w:lvl>
  </w:abstractNum>
  <w:abstractNum w:abstractNumId="43">
    <w:nsid w:val="579478FE"/>
    <w:multiLevelType w:val="hybridMultilevel"/>
    <w:lvl w:ilvl="0">
      <w:lvlJc w:val="left"/>
      <w:lvlText w:val="(%1)"/>
      <w:numFmt w:val="lowerLetter"/>
      <w:start w:val="13"/>
    </w:lvl>
  </w:abstractNum>
  <w:abstractNum w:abstractNumId="44">
    <w:nsid w:val="749ABB43"/>
    <w:multiLevelType w:val="hybridMultilevel"/>
    <w:lvl w:ilvl="0">
      <w:lvlJc w:val="left"/>
      <w:lvlText w:val="(%1)"/>
      <w:numFmt w:val="lowerLetter"/>
      <w:start w:val="15"/>
    </w:lvl>
    <w:lvl w:ilvl="1">
      <w:lvlJc w:val="left"/>
      <w:lvlText w:val="(%2)"/>
      <w:numFmt w:val="lowerRoman"/>
      <w:start w:val="1"/>
    </w:lvl>
  </w:abstractNum>
  <w:abstractNum w:abstractNumId="45">
    <w:nsid w:val="3DC240FB"/>
    <w:multiLevelType w:val="hybridMultilevel"/>
    <w:lvl w:ilvl="0">
      <w:lvlJc w:val="left"/>
      <w:lvlText w:val="(%1)"/>
      <w:numFmt w:val="lowerLetter"/>
      <w:start w:val="27"/>
    </w:lvl>
  </w:abstractNum>
  <w:abstractNum w:abstractNumId="46">
    <w:nsid w:val="1BA026FA"/>
    <w:multiLevelType w:val="hybridMultilevel"/>
    <w:lvl w:ilvl="0">
      <w:lvlJc w:val="left"/>
      <w:lvlText w:val="(%1)"/>
      <w:numFmt w:val="lowerLetter"/>
      <w:start w:val="30"/>
    </w:lvl>
    <w:lvl w:ilvl="1">
      <w:lvlJc w:val="left"/>
      <w:lvlText w:val="(%2)"/>
      <w:numFmt w:val="lowerRoman"/>
      <w:start w:val="5"/>
    </w:lvl>
  </w:abstractNum>
  <w:abstractNum w:abstractNumId="47">
    <w:nsid w:val="79A1DEAA"/>
    <w:multiLevelType w:val="hybridMultilevel"/>
    <w:lvl w:ilvl="0">
      <w:lvlJc w:val="left"/>
      <w:lvlText w:val="%1"/>
      <w:numFmt w:val="lowerLetter"/>
      <w:start w:val="1"/>
    </w:lvl>
    <w:lvl w:ilvl="1">
      <w:lvlJc w:val="left"/>
      <w:lvlText w:val="(%2)"/>
      <w:numFmt w:val="lowerRoman"/>
      <w:start w:val="8"/>
    </w:lvl>
  </w:abstractNum>
  <w:abstractNum w:abstractNumId="48">
    <w:nsid w:val="75C6C33A"/>
    <w:multiLevelType w:val="hybridMultilevel"/>
    <w:lvl w:ilvl="0">
      <w:lvlJc w:val="left"/>
      <w:lvlText w:val="%1"/>
      <w:numFmt w:val="lowerLetter"/>
      <w:start w:val="1"/>
    </w:lvl>
    <w:lvl w:ilvl="1">
      <w:lvlJc w:val="left"/>
      <w:lvlText w:val="(%2)"/>
      <w:numFmt w:val="lowerRoman"/>
      <w:start w:val="24"/>
    </w:lvl>
  </w:abstractNum>
  <w:abstractNum w:abstractNumId="49">
    <w:nsid w:val="12E685FB"/>
    <w:multiLevelType w:val="hybridMultilevel"/>
    <w:lvl w:ilvl="0">
      <w:lvlJc w:val="left"/>
      <w:lvlText w:val="%1"/>
      <w:numFmt w:val="lowerLetter"/>
      <w:start w:val="1"/>
    </w:lvl>
    <w:lvl w:ilvl="1">
      <w:lvlJc w:val="left"/>
      <w:lvlText w:val="(%2)"/>
      <w:numFmt w:val="lowerRoman"/>
      <w:start w:val="28"/>
    </w:lvl>
  </w:abstractNum>
  <w:abstractNum w:abstractNumId="50">
    <w:nsid w:val="70C6A529"/>
    <w:multiLevelType w:val="hybridMultilevel"/>
    <w:lvl w:ilvl="0">
      <w:lvlJc w:val="left"/>
      <w:lvlText w:val="(%1)"/>
      <w:numFmt w:val="lowerLetter"/>
      <w:start w:val="33"/>
    </w:lvl>
    <w:lvl w:ilvl="1">
      <w:lvlJc w:val="left"/>
      <w:lvlText w:val="(%2)"/>
      <w:numFmt w:val="lowerRoman"/>
      <w:start w:val="13"/>
    </w:lvl>
  </w:abstractNum>
  <w:abstractNum w:abstractNumId="51">
    <w:nsid w:val="520EEDD1"/>
    <w:multiLevelType w:val="hybridMultilevel"/>
    <w:lvl w:ilvl="0">
      <w:lvlJc w:val="left"/>
      <w:lvlText w:val="%1"/>
      <w:numFmt w:val="lowerLetter"/>
      <w:start w:val="1"/>
    </w:lvl>
    <w:lvl w:ilvl="1">
      <w:lvlJc w:val="left"/>
      <w:lvlText w:val="(%2)"/>
      <w:numFmt w:val="lowerRoman"/>
      <w:start w:val="17"/>
    </w:lvl>
  </w:abstractNum>
  <w:abstractNum w:abstractNumId="52">
    <w:nsid w:val="374A3FE6"/>
    <w:multiLevelType w:val="hybridMultilevel"/>
    <w:lvl w:ilvl="0">
      <w:lvlJc w:val="left"/>
      <w:lvlText w:val="(%1)"/>
      <w:numFmt w:val="lowerLetter"/>
      <w:start w:val="34"/>
    </w:lvl>
    <w:lvl w:ilvl="1">
      <w:lvlJc w:val="left"/>
      <w:lvlText w:val="%2"/>
      <w:numFmt w:val="lowerRoman"/>
      <w:start w:val="1"/>
    </w:lvl>
  </w:abstractNum>
  <w:abstractNum w:abstractNumId="53">
    <w:nsid w:val="4F4EF005"/>
    <w:multiLevelType w:val="hybridMultilevel"/>
    <w:lvl w:ilvl="0">
      <w:lvlJc w:val="left"/>
      <w:lvlText w:val="(%1)"/>
      <w:numFmt w:val="lowerLetter"/>
      <w:start w:val="39"/>
    </w:lvl>
  </w:abstractNum>
  <w:abstractNum w:abstractNumId="54">
    <w:nsid w:val="23F9C13C"/>
    <w:multiLevelType w:val="hybridMultilevel"/>
    <w:lvl w:ilvl="0">
      <w:lvlJc w:val="left"/>
      <w:lvlText w:val="(%1)"/>
      <w:numFmt w:val="low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2026-05-27T15:04:15Z</dcterms:created>
  <dcterms:modified xsi:type="dcterms:W3CDTF">2026-05-27T15:04:15Z</dcterms:modified>
</cp:coreProperties>
</file>