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5" w:lineRule="exact"/>
        <w:rPr>
          <w:rFonts w:ascii="MS PGothic" w:cs="MS PGothic" w:eastAsia="MS PGothic" w:hAnsi="MS PGothic"/>
          <w:sz w:val="17"/>
          <w:szCs w:val="17"/>
          <w:color w:val="auto"/>
          <w:highlight w:val="black"/>
        </w:rPr>
      </w:pPr>
    </w:p>
    <w:p>
      <w:pPr>
        <w:ind w:left="388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June 30, 2024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312" w:right="339" w:bottom="1440" w:gutter="0" w:footer="0" w:header="0"/>
        </w:sectPr>
      </w:pPr>
    </w:p>
    <w:p>
      <w:pPr>
        <w:spacing w:after="0" w:line="9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6040" w:space="440"/>
            <w:col w:w="120" w:space="420"/>
            <w:col w:w="4220"/>
          </w:cols>
          <w:pgMar w:left="320" w:top="131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000-20859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GERON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12" w:right="339" w:bottom="1440" w:gutter="0" w:footer="0" w:header="0"/>
          <w:type w:val="continuous"/>
        </w:sectPr>
      </w:pPr>
    </w:p>
    <w:p>
      <w:pPr>
        <w:spacing w:after="0" w:line="7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5"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75-2287752</w:t>
      </w:r>
    </w:p>
    <w:p>
      <w:pPr>
        <w:spacing w:after="0" w:line="29"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8" w:lineRule="exact"/>
        <w:rPr>
          <w:sz w:val="24"/>
          <w:szCs w:val="24"/>
          <w:color w:val="auto"/>
        </w:rPr>
      </w:pPr>
    </w:p>
    <w:p>
      <w:pPr>
        <w:sectPr>
          <w:pgSz w:w="11900" w:h="16838" w:orient="portrait"/>
          <w:cols w:equalWidth="0" w:num="2">
            <w:col w:w="7440" w:space="720"/>
            <w:col w:w="3080"/>
          </w:cols>
          <w:pgMar w:left="320" w:top="1312" w:right="339" w:bottom="1440" w:gutter="0" w:footer="0" w:header="0"/>
          <w:type w:val="continuous"/>
        </w:sect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919 EAST HILLSDALE BOULEVARD, SUITE 250, FOSTER CITY, CA</w:t>
      </w:r>
    </w:p>
    <w:p>
      <w:pPr>
        <w:spacing w:after="0" w:line="2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94404</w:t>
      </w:r>
    </w:p>
    <w:p>
      <w:pPr>
        <w:spacing w:after="0" w:line="2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6" w:lineRule="exact"/>
        <w:rPr>
          <w:sz w:val="24"/>
          <w:szCs w:val="24"/>
          <w:color w:val="auto"/>
        </w:rPr>
      </w:pPr>
    </w:p>
    <w:p>
      <w:pPr>
        <w:sectPr>
          <w:pgSz w:w="11900" w:h="16838" w:orient="portrait"/>
          <w:cols w:equalWidth="0" w:num="2">
            <w:col w:w="7660" w:space="720"/>
            <w:col w:w="2860"/>
          </w:cols>
          <w:pgMar w:left="320" w:top="131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473-7700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240"/>
          </w:cols>
          <w:pgMar w:left="320" w:top="1312"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3800" w:space="720"/>
            <w:col w:w="1700" w:space="720"/>
            <w:col w:w="4300"/>
          </w:cols>
          <w:pgMar w:left="320" w:top="1312"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6"/>
          <w:szCs w:val="16"/>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GERN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136" w:lineRule="exact"/>
        <w:rPr>
          <w:sz w:val="24"/>
          <w:szCs w:val="24"/>
          <w:color w:val="auto"/>
        </w:rPr>
      </w:pPr>
    </w:p>
    <w:p>
      <w:pPr>
        <w:sectPr>
          <w:pgSz w:w="11900" w:h="16838" w:orient="portrait"/>
          <w:cols w:equalWidth="0" w:num="3">
            <w:col w:w="4180" w:space="720"/>
            <w:col w:w="1640" w:space="720"/>
            <w:col w:w="3980"/>
          </w:cols>
          <w:pgMar w:left="320" w:top="1312" w:right="339" w:bottom="1440" w:gutter="0" w:footer="0" w:header="0"/>
          <w:type w:val="continuous"/>
        </w:sect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380" w:type="dxa"/>
        <w:tblCellMar>
          <w:top w:w="0" w:type="dxa"/>
          <w:left w:w="0" w:type="dxa"/>
          <w:bottom w:w="0" w:type="dxa"/>
          <w:right w:w="0" w:type="dxa"/>
        </w:tblCellMar>
      </w:tblP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1"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2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August 5, 2024:</w:t>
            </w:r>
          </w:p>
        </w:tc>
      </w:tr>
      <w:tr>
        <w:trPr>
          <w:trHeight w:val="204"/>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602,795,563 shares</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1195"/>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tcBorders>
              <w:bottom w:val="single" w:sz="8" w:color="auto"/>
            </w:tcBorders>
            <w:gridSpan w:val="8"/>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8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6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372"/>
        </w:trPr>
        <w:tc>
          <w:tcPr>
            <w:tcW w:w="1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000" w:type="dxa"/>
            <w:vAlign w:val="bottom"/>
          </w:tcPr>
          <w:p>
            <w:pPr>
              <w:spacing w:after="0"/>
              <w:rPr>
                <w:sz w:val="24"/>
                <w:szCs w:val="24"/>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60" w:type="dxa"/>
            <w:vAlign w:val="bottom"/>
            <w:tcBorders>
              <w:top w:val="single" w:sz="8" w:color="auto"/>
            </w:tcBorders>
            <w:gridSpan w:val="5"/>
          </w:tcPr>
          <w:p>
            <w:pPr>
              <w:spacing w:after="0"/>
              <w:rPr>
                <w:sz w:val="24"/>
                <w:szCs w:val="24"/>
                <w:color w:val="auto"/>
              </w:rPr>
            </w:pPr>
          </w:p>
        </w:tc>
        <w:tc>
          <w:tcPr>
            <w:tcW w:w="324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w:t>
            </w:r>
            <w:r>
              <w:rPr>
                <w:rFonts w:ascii="Times New Roman" w:cs="Times New Roman" w:eastAsia="Times New Roman" w:hAnsi="Times New Roman"/>
                <w:sz w:val="18"/>
                <w:szCs w:val="18"/>
                <w:color w:val="000000"/>
              </w:rPr>
              <w: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760" w:type="dxa"/>
            <w:vAlign w:val="bottom"/>
            <w:gridSpan w:val="1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6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263,676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341,348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20"/>
                <w:szCs w:val="20"/>
                <w:color w:val="auto"/>
              </w:rPr>
            </w:pPr>
          </w:p>
        </w:tc>
      </w:tr>
      <w:tr>
        <w:trPr>
          <w:trHeight w:val="277"/>
        </w:trPr>
        <w:tc>
          <w:tcPr>
            <w:tcW w:w="77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449,399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6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debt</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2,027,173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1,844,988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(1,720,542 )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(1,597,769 )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(537 )</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r>
      <w:tr>
        <w:trPr>
          <w:trHeight w:val="237"/>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306,695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449,399</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-3950970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-3007995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-2990850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-1748155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9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(69,333 )</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(51,951 )</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(125,467 )</w:t>
            </w: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(92,043 )</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(3,319 )</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(2,003 )</w:t>
            </w:r>
          </w:p>
        </w:tc>
        <w:tc>
          <w:tcPr>
            <w:tcW w:w="3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(6,752 )</w:t>
            </w: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(3,925 )</w:t>
            </w: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(63 )</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(125 )</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(67,383 )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(49,227 )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(122,773 )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(87,349 )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(0.09 )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w:t>
            </w: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653,904,978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547,280,946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628,699,214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553,772,809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-2553970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-2553970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-2553970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-1602740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-1602740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-1602740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-976630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-976630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-976630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-633730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-633730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7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(67,383 )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(49,227 )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(122,773 )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(87,349 )</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(243 )</w:t>
            </w:r>
          </w:p>
        </w:tc>
        <w:tc>
          <w:tcPr>
            <w:tcW w:w="3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(786 )</w:t>
            </w: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(691 )</w:t>
            </w:r>
          </w:p>
        </w:tc>
        <w:tc>
          <w:tcPr>
            <w:tcW w:w="3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(21 )</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3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4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(67,647 )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(50,012 )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(123,495 )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(88,075 )</w:t>
            </w:r>
          </w:p>
        </w:tc>
      </w:tr>
      <w:tr>
        <w:trPr>
          <w:trHeight w:val="20"/>
        </w:trPr>
        <w:tc>
          <w:tcPr>
            <w:tcW w:w="4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-187960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44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544,912,215</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1,844,988</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(1,597,769 )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247,949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(55,390 )</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(55,390 )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(448 )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(448 )</w:t>
            </w: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and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41,999,998</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140,958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$9,000</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37,640</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4,211,493</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 to</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issuances of common stock and</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 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591,163,808</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1,997,709</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(1,653,159 )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(67,383 )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(67,383 )</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(243 )</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(243 )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(21 )</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(271 )</w:t>
            </w: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(271 )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 in</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281,211</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issuances of common stock</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Issuances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9,400,121</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16,364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201,052</w:t>
            </w: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601,048,108</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2,027,173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(1,720,542 )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(537 )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-2117090</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-2117090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-2117090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-2117090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-2117090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-145415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-145415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-145415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-145415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8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390,262,524</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1,493,469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(1,413,642 )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(38,122 )</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(38,122 )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68,007,741</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213,269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$14,507</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44,983,193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 of common stock</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5,469,028</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508,731,846</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(1,451,764 )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(49,227 )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(49,227 )</w:t>
            </w: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(786 )</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(786 )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12,842,857</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issuances of common stock</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361,074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521,942,104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1,799,841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(1,500,991 )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(945 )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-1885315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-1885315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-1885315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-1885315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-1885315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-145415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-145415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-145415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-145415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(122,773 )</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(87,349 )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on investments, net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(4,893 )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(4,963 )</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costs/debt discounts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services by non-employees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employees and directors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(774 )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(874 )</w:t>
            </w:r>
          </w:p>
        </w:tc>
        <w:tc>
          <w:tcPr>
            <w:tcW w:w="6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interest receivable and other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(1,309 )</w:t>
            </w: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(4,913 )</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(115,731 )</w:t>
            </w:r>
          </w:p>
        </w:tc>
        <w:tc>
          <w:tcPr>
            <w:tcW w:w="6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(75,966 )</w:t>
            </w: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(821 )</w:t>
            </w:r>
          </w:p>
        </w:tc>
        <w:tc>
          <w:tcPr>
            <w:tcW w:w="6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(226,333 )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(355,718 )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225,215</w:t>
            </w:r>
          </w:p>
        </w:tc>
        <w:tc>
          <w:tcPr>
            <w:tcW w:w="2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(1,939 )</w:t>
            </w:r>
          </w:p>
        </w:tc>
        <w:tc>
          <w:tcPr>
            <w:tcW w:w="6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(223,177 )</w:t>
            </w:r>
          </w:p>
        </w:tc>
      </w:tr>
      <w:tr>
        <w:trPr>
          <w:trHeight w:val="243"/>
        </w:trPr>
        <w:tc>
          <w:tcPr>
            <w:tcW w:w="7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issuances of common stock from equity plans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from offering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213,337</w:t>
            </w: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pre-funded warrant, net of paid issuance costs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77,602</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164,631</w:t>
            </w: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299,387</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(31 )</w:t>
            </w:r>
          </w:p>
        </w:tc>
        <w:tc>
          <w:tcPr>
            <w:tcW w:w="6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46,930</w:t>
            </w:r>
          </w:p>
        </w:tc>
        <w:tc>
          <w:tcPr>
            <w:tcW w:w="280" w:type="dxa"/>
            <w:vAlign w:val="bottom"/>
            <w:tcBorders>
              <w:top w:val="single" w:sz="8" w:color="CFF0F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2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118,068</w:t>
            </w:r>
          </w:p>
        </w:tc>
        <w:tc>
          <w:tcPr>
            <w:tcW w:w="280" w:type="dxa"/>
            <w:vAlign w:val="bottom"/>
          </w:tcPr>
          <w:p>
            <w:pPr>
              <w:spacing w:after="0"/>
              <w:rPr>
                <w:sz w:val="20"/>
                <w:szCs w:val="20"/>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-822325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-504825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ind w:right="636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and six months ended June 30, 2024 are not necessarily indicative of the results that may be expected for the year ending December 31, 2024 or any other period. These unaudited condensed consolidated financial statements and notes should be read in conjunction with the audited financial statements for each of the three years ended December 31, 2023, included in our Annual Report on Form 10-K for the year ended December 31, 2023, or the 2023 Form 10-K. The accompanying condensed consolidated balance sheet as of December 31, 2023 has been derived from audited financial statements at that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These pre-funded warrants are exercisable immediately at an exercise price of $0.001 per share each, and as of June 30, 2024, none of these pre-funded warrants have been exercised. These pre-funded warrants, which represent an aggregate of 59,433,145 shares of common stock, have been included in the computation of basic net loss per share, since their exercise price is negligible and they may be exercised at any time.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six months ended June 30, 2024 and 2023, the diluted net loss per share calculation excludes potential dilutive securities of 78,759,286 and 97,584,078 respectively, related to outstanding stock options and warrants as their effect would have been anti-dilutive.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Accounts receivable are stated net of an allowance that reflects our current estimate of credit losses expected to occur over the life of the receivable. In developing our allowance for expected credit losses, we use assumptions to capture the risk of loss, even if remote, based on a number of factors including existing contractual payment terms, individual customer circumstances, historical payment patterns of our customers, a review of the local economic environment and its potential impact on expected future customer payment patterns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The payment terms on our trade receivables are relatively short. As a result, our collection risk is mitigated to a certain extent by the fact that sales are collected in a relatively short period of time, allowing for the ability to reduce exposure on defaults if collection issues are identified</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update our allowance as necessary to reflect expected credit losses over the remaining lives of the accounts receivable for outstanding trade receivables that are past due, have known disputes or have experienced any negative credit events that may result in future collectability issues. We do not currently expect our current or future exposures to credit losses to have a significant impact on us. The estimated allowance for expected credit losses was not material as of June 30, 2024, nor were the changes to the allowance during any of the periods 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Inventory</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Inventory is recorded at the lower of cost or net realized value, with cost determined under the weighted average method. Inventory costs include third-party contract manufacturing, third-party packaging services, freight, salaries, wages and stock-based compensation for personnel involved in the manufacturing process, and indirect overhead costs. We periodically review our inventories to identify obsolete, slow moving, excess or otherwise unsaleable items. If obsolete, slow moving, excess or unsaleable items are observed and there are no alternate uses for the inventory, we record a write-down to net realizable value. The determination of net realizable value requires judgment including consideration of many factors, such as estimates of future product demand, product net selling prices, current and future market conditions and potential product obsolescence, among others. Prior to regulatory approval, we expense costs associated with the manufacture a product candidate to research and development expense unless we are reasonably certain such costs have future commercial use and net realizable value. Since we consider attaining regulatory approval of a product candidate to be highly uncertain and difficult to predict, we expect only in rare instances that pre-launch inventory will be capitalized, if at all.</w:t>
      </w:r>
    </w:p>
    <w:p>
      <w:pPr>
        <w:spacing w:after="0" w:line="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began capitalizing inventory related to RYTELO in the quarter ended June 30, 2024, as we received approval of RYTELO on June 6, 2024, and the related costs were expected to be recoverable through the commercialization of RYTELO.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Cost of Goods Sold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 during the respective period, including salary related and stock-based compensation expense for employees involved with production and distribution, freight, and indirect overhead costs. Cost of goods sold may also include costs related to excess or obsolete inventory adjustment charges, abnormal costs, unabsorbed manufacturing and overhead costs, and manufacturing variances. For the three and six months ended June 30, 2024, other than packaging costs, substantially all of our RYTELO inventory sold had a zero-cost basis as it was recorded as research and development expenses prior to the FDA’s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government-sponsored enterprise securities, commercial paper and corporate notes.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2 on Fair Value Measurements.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8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based on whether they are capable of being distinct and distinct in the context of the agreement; (iii) determine the transaction price, including the constraint on variable consideration; (iv) allocate the transaction price to the performance obligations based on stand-alone selling prices; and (v) recognize revenue when (or as) we satisfy each performance obligation. We recognize shipping and handling costs as an expense in cost of goods sold when we transfer control to a customer.</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 using an income approach model and include the following key assumptions, judgments and estimates: the development timeline, revenue forecast, commercialization expenses, discount rate and probabilities of technical and regulatory success.</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distribute RYTELO in the U.S. through third party distributors and specialty pharmacies who are our customers. The third party distributors subsequently resell our product through their related specialty pharmacy providers to patients and health care providers. Separately, we have or may enter into payment arrangements with various third-party payers including pharmacy benefit managers, private healthcare insurers and government healthcare programs who provide coverage and reimbursement for our product that have been prescribed to a patient.</w:t>
      </w:r>
    </w:p>
    <w:p>
      <w:pPr>
        <w:spacing w:after="0" w:line="18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principal activities from which we generate revenue. License fees and royalty revenue primarily represent amounts earned under agreements that out-license our technology to various companies. To date, our only source of product revenue has been from the U.S. sales of RYTELO, which we began shipping to our customers in June 2024. See Note 2 Revenue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Revenues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net product revenues are recognized, net of variable consideration related to certain allowances and accruals, at the time our customers obtain control of our product, which is generally upon delivery to our customers. We use the expected value method, which</w:t>
      </w:r>
    </w:p>
    <w:p>
      <w:pPr>
        <w:sectPr>
          <w:pgSz w:w="11900" w:h="16838" w:orient="portrait"/>
          <w:cols w:equalWidth="0" w:num="1">
            <w:col w:w="11220"/>
          </w:cols>
          <w:pgMar w:left="320" w:top="765"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1" w:name="page12"/>
    <w:bookmarkEnd w:id="1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is the sum of probability-weighted amounts in a range of possible consideration amounts to estimate variable consideration and consideration payable to parties other than our customers related to our product sales.</w:t>
      </w:r>
    </w:p>
    <w:p>
      <w:pPr>
        <w:spacing w:after="0" w:line="5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record reserves, based on contractual terms, for components related to product sold during the reporting period, as well as our estimate of product that remains in the distribution channel inventory at the end of the reporting period that we expect will be sold to qualified healthcare providers. On a quarterly basis, we update our estimates and record any needed adjustments in the period we identify the adjustments.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sell RYTELO to our customers at wholesale acquisition cost, and calculate product revenue from RYTELO sales, net of variable consideration and consideration payable to parties other than our customers. Variable consideration and consideration payable to parties other than our customers consists of estimates related to the following categories: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Allowances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pay fees for distribution services, such as fees for certain data that customers provide to us. We estimate our customers will earn these fees and deduct these fees from gross product revenues and accounts receivable at the time we recognize the related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Discounts for Prompt Payment</w:t>
      </w:r>
    </w:p>
    <w:p>
      <w:pPr>
        <w:spacing w:after="0" w:line="22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provide for prompt payment discounts to our customers, which are recorded as a reduction in gross product revenue in the same period that the related product revenue is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right="80" w:firstLine="545"/>
        <w:spacing w:after="0" w:line="261" w:lineRule="auto"/>
        <w:rPr>
          <w:sz w:val="20"/>
          <w:szCs w:val="20"/>
          <w:color w:val="auto"/>
        </w:rPr>
      </w:pPr>
      <w:r>
        <w:rPr>
          <w:rFonts w:ascii="Times New Roman" w:cs="Times New Roman" w:eastAsia="Times New Roman" w:hAnsi="Times New Roman"/>
          <w:sz w:val="18"/>
          <w:szCs w:val="18"/>
          <w:color w:val="auto"/>
        </w:rPr>
        <w:t>We offer customers the right to return products if they are damaged, defective, or expired, as defined in customer agreements. We estimate product returns considering experience from similar products in the market, historical return patterns, sales data, and inventory levels in the distribution channel. These estimates are recorded as a reduction in gross product revenue at the time of sale. Once products are returned, they are destroyed; we do not record a right of return asset.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Chargebacks occur when our contracted customers, mainly federal agencies that can purchase off the Federal Supply Schedule and Public Health Service 340B covered entities, buy directly from our distributors and wholesalers at discounted prices. The distributors and wholesalers then charge us the difference between their purchase price and the discounted price. We estimate chargebacks considering the terms of the applicable arrangement and our visibility regarding utilization. These chargebacks are recorded in the same period as the related revenue, reducing our net product revenue and receivables. We typically issue credits for these amounts within a few weeks of notification.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are subject to discount obligations under government programs. Reserves for rebates payable under these government programs are recorded in the same period as gross product revenue, reducing our gross product revenue and creating a liability in accrued liabilities. Major rebates include those from the Medicare and Medicaid programs. Estimates for rebates are made considering statutory discount rates and expected utilization. These estimates are updated each period with actual claims and other current information, taking into account historical data, comparable products and other considerations.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offer co-payment assistance to patients with commercial insurance that have coverage and reside in states that allow co-payment assistance. We estimate the average co-payment assistance amounts for our products based on expected customer demographics and record any such amounts within accrued expenses and a reduction to product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22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For agreements with sales-based royalties, including milestone payments based on the level of sales, where the license is deemed to be the 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80"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Our current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adjustments to research and development expenses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included in operating expenses on our condensed consolidated statements of operations related to stock options and employee stock purchases for the three and six months ended June 30, 2024 and 2023, which was allocated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8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of $0.1 million was capitalized to inventory for the three and six months ended June 30, 2024.</w:t>
      </w:r>
    </w:p>
    <w:p>
      <w:pPr>
        <w:spacing w:after="0" w:line="266" w:lineRule="exact"/>
        <w:rPr>
          <w:sz w:val="20"/>
          <w:szCs w:val="20"/>
          <w:color w:val="auto"/>
        </w:rPr>
      </w:pPr>
    </w:p>
    <w:p>
      <w:pPr>
        <w:ind w:right="20" w:firstLine="562"/>
        <w:spacing w:after="0" w:line="256" w:lineRule="auto"/>
        <w:rPr>
          <w:sz w:val="20"/>
          <w:szCs w:val="20"/>
          <w:color w:val="auto"/>
        </w:rPr>
      </w:pPr>
      <w:r>
        <w:rPr>
          <w:rFonts w:ascii="Times New Roman" w:cs="Times New Roman" w:eastAsia="Times New Roman" w:hAnsi="Times New Roman"/>
          <w:sz w:val="18"/>
          <w:szCs w:val="18"/>
          <w:color w:val="auto"/>
        </w:rPr>
        <w:t>As stock-based compensation expense recognized in our condensed consolidated statements of operations for the three and six months ended June 30, 2024 and 2023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have recognized stock-based compensation expense for the achievement of a milestone achieved upon FDA approval of RYTELO on our condensed consolidated statements of operations for the three and six months ended June 30,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six months ended June 30, 2024 and 2023 has been estimated at the date of grant using the Black- Scholes option-pricing model with the following assumptions: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82.94% to 86.68%</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81.53% to 81.94%</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4.05% to 4.62%</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3.42% to 4.10%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employees’ stock purchase rights during the six months ended June 30, 2024 and 2023 has been estimated using the Black-Scholes option-pricing model with the following assumptions: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59.46% to 79.05%</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61.04% to 81.08%</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4.79% to 5.40%</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0.1% to 4.76%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months to 12 months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months to 12 months</w:t>
            </w:r>
          </w:p>
        </w:tc>
      </w:tr>
    </w:tbl>
    <w:p>
      <w:pPr>
        <w:spacing w:after="0" w:line="247"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Stock-Based Awards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adopted ASU 2020-06 as of January 1, 2024 and it did not have a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119"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Accounting for Application of Profits Interest and Similar Awards</w:t>
      </w:r>
      <w:r>
        <w:rPr>
          <w:rFonts w:ascii="Times New Roman" w:cs="Times New Roman" w:eastAsia="Times New Roman" w:hAnsi="Times New Roman"/>
          <w:sz w:val="18"/>
          <w:szCs w:val="18"/>
          <w:color w:val="auto"/>
        </w:rPr>
        <w:t>, or ASU 2024-01. The key elements of ASU 2024-01 aim to account for profit interest awards as compensation to employees or nonemployees in return for goods and services effective for annual periods beginning after December 15, 2024 and interim periods with those annual periods. We do not expect the adoption of this standard to have a material impact on our condensed consolidated financial statements.</w:t>
      </w:r>
    </w:p>
    <w:p>
      <w:pPr>
        <w:spacing w:after="0" w:line="18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did not or are not believed by management to have a material impact on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RECOGNITON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our only source of product revenue has been from the U.S. sales of RYTELO, which we began shipping to our customers in June 2024. The reconciliation of gross product sales to net product sales by each significant category of gross-to-net adjustments was as follows for the three and six months ended June 30, 2024 (in thousands):</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Gross-to-net adjustments: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Chargebacks and distributor service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Government rebates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returns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Total gross-to-net adjustments </w:t>
      </w: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product revenue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p>
      <w:pPr>
        <w:spacing w:after="0" w:line="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890</w:t>
      </w:r>
    </w:p>
    <w:p>
      <w:pPr>
        <w:spacing w:after="0" w:line="2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(97 )</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(11 )</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(2 )</w:t>
      </w:r>
    </w:p>
    <w:p>
      <w:pPr>
        <w:spacing w:after="0" w:line="5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40640</wp:posOffset>
            </wp:positionV>
            <wp:extent cx="15430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53"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780</w:t>
      </w:r>
    </w:p>
    <w:p>
      <w:pPr>
        <w:spacing w:after="0" w:line="213" w:lineRule="exact"/>
        <w:rPr>
          <w:sz w:val="20"/>
          <w:szCs w:val="20"/>
          <w:color w:val="auto"/>
        </w:rPr>
      </w:pPr>
    </w:p>
    <w:p>
      <w:pPr>
        <w:sectPr>
          <w:pgSz w:w="11900" w:h="16838" w:orient="portrait"/>
          <w:cols w:equalWidth="0" w:num="2">
            <w:col w:w="8000" w:space="720"/>
            <w:col w:w="2500"/>
          </w:cols>
          <w:pgMar w:left="320" w:top="765" w:right="359" w:bottom="1440" w:gutter="0" w:footer="0" w:header="0"/>
          <w:type w:val="continuous"/>
        </w:sectPr>
      </w:pPr>
    </w:p>
    <w:p>
      <w:pPr>
        <w:spacing w:after="0" w:line="210" w:lineRule="exact"/>
        <w:rPr>
          <w:sz w:val="20"/>
          <w:szCs w:val="20"/>
          <w:color w:val="auto"/>
        </w:rPr>
      </w:pPr>
    </w:p>
    <w:p>
      <w:pPr>
        <w:ind w:left="520" w:right="300" w:hanging="512"/>
        <w:spacing w:after="0" w:line="261"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2024 approximately $0.1 million of estimated gross-to-net accruals have been recorded within accounts payable and accrued expenses on the condensed consolidated balance sheets.</w:t>
      </w:r>
    </w:p>
    <w:p>
      <w:pPr>
        <w:sectPr>
          <w:pgSz w:w="11900" w:h="16838" w:orient="portrait"/>
          <w:cols w:equalWidth="0" w:num="1">
            <w:col w:w="11220"/>
          </w:cols>
          <w:pgMar w:left="320" w:top="765" w:right="359" w:bottom="1440" w:gutter="0" w:footer="0" w:header="0"/>
          <w:type w:val="continuous"/>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5" w:name="page16"/>
    <w:bookmarkEnd w:id="15"/>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our inventories are related to the manufacturing of RYTELO. The following table presents our inventory as of June 30, 2024 (in thousands):</w:t>
      </w:r>
    </w:p>
    <w:p>
      <w:pPr>
        <w:spacing w:after="0" w:line="232"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3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r>
      <w:tr>
        <w:trPr>
          <w:trHeight w:val="20"/>
        </w:trPr>
        <w:tc>
          <w:tcPr>
            <w:tcW w:w="8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June 30,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74,801</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0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8"/>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6"/>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312,794</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312,294</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9"/>
        </w:trPr>
        <w:tc>
          <w:tcPr>
            <w:tcW w:w="580" w:type="dxa"/>
            <w:vAlign w:val="bottom"/>
          </w:tcPr>
          <w:p>
            <w:pPr>
              <w:spacing w:after="0"/>
              <w:rPr>
                <w:sz w:val="24"/>
                <w:szCs w:val="24"/>
                <w:color w:val="auto"/>
              </w:rPr>
            </w:pPr>
          </w:p>
        </w:tc>
        <w:tc>
          <w:tcPr>
            <w:tcW w:w="40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-3839845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-3822700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-3839845</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-3822700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-3839845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-3822700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-3839845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-3822700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-3196590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-3196590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-3196590</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-3196590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-1045210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-1062355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-1045210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-1062355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-1045210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-1045210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0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 than one year)</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26,752</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one to two years)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306,784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-4131310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-4114165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-4131310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-4114165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-4131310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-4114165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-4131310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-4114165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-3488055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-3488055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-3488055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-3488055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-1224915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-1224915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-1224915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with unrealized losses that have been in a continuous unrealized loss position for less than 12 months and 12 months or longer at June 30, 2024 and December 31,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US Treasury Securities (due in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 (due in less than 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30,562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(19 )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13,928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(25 )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44,490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securities (due in one to two years)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110,209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(192 )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110,209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(192 )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 one to</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61,514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(121 )</w:t>
            </w: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61,514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(121 )</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two years)</w:t>
            </w: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287,946</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(447 )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312,294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 (due in less than one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less than 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(63 )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(23 )</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to two years)</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(211 )</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-1757045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-1757045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-1757045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-1757045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-1757045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gross unrealized losses related to U.S. Treasury securities, municipal securities, government-sponsored enterprise securities, commercial paper and corporate notes as of June 30, 2024 and December 31, 2023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six months ended June 30, 2024 and 2023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pacing w:after="0" w:line="81" w:lineRule="exact"/>
        <w:rPr>
          <w:sz w:val="20"/>
          <w:szCs w:val="20"/>
          <w:color w:val="auto"/>
        </w:rPr>
      </w:pPr>
    </w:p>
    <w:p>
      <w:pPr>
        <w:ind w:left="1380" w:right="260" w:hanging="112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Level 1</w:t>
        <w:tab/>
        <w:t>— 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p>
      <w:pPr>
        <w:spacing w:after="0" w:line="95" w:lineRule="exact"/>
        <w:rPr>
          <w:sz w:val="20"/>
          <w:szCs w:val="20"/>
          <w:color w:val="auto"/>
        </w:rPr>
      </w:pPr>
    </w:p>
    <w:p>
      <w:pPr>
        <w:ind w:left="1380" w:right="42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2</w:t>
        <w:tab/>
        <w:t>—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1" w:lineRule="exact"/>
        <w:rPr>
          <w:sz w:val="20"/>
          <w:szCs w:val="20"/>
          <w:color w:val="auto"/>
        </w:rPr>
      </w:pPr>
    </w:p>
    <w:p>
      <w:pPr>
        <w:ind w:left="1380" w:right="8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 Inputs reflect management’s best estimate of what market participants would use in pricing the asset or liability at the measurement date. Consideration is given to the risk inherent in the valuation technique and the risk inherent in the inputs to the model.</w:t>
      </w:r>
    </w:p>
    <w:p>
      <w:pPr>
        <w:sectPr>
          <w:pgSz w:w="11900" w:h="16838" w:orient="portrait"/>
          <w:cols w:equalWidth="0" w:num="1">
            <w:col w:w="11240"/>
          </w:cols>
          <w:pgMar w:left="320" w:top="765"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as of June 30, 2024 and December 31, 2023 and indicates the fair value category assigned.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4"/>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75,651</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49,481</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75,924</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312,293</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-1688465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-1688465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-1688465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-1688465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-282575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-282575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-282575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-282575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restricted cash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marketable securities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marketable securities on our condensed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June 30, 2024 and December 31, 2023:</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 and clinical trial costs</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80" w:type="dxa"/>
            <w:vAlign w:val="bottom"/>
            <w:shd w:val="clear" w:color="auto" w:fill="CFF0FC"/>
          </w:tcPr>
          <w:p>
            <w:pPr>
              <w:spacing w:after="0"/>
              <w:rPr>
                <w:sz w:val="20"/>
                <w:szCs w:val="20"/>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activities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legal and accounting fees</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9" w:name="page20"/>
    <w:bookmarkEnd w:id="1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September 30, 2020, we, Hercules Capital, Inc., or Hercules, and Silicon Valley Bank, a Division of First-Citizens Bank &amp; Trust Company (successor by purchase to the Federal Deposit Insurance Corporation as receiver for Silicon Valley Bridge Bank, N.A. (as successor to Silicon Valley Bank)), or SVB, entered into a term loan facility, or the Original Loan Agreement, consisting of up to $75.0 million aggregate principal amount available to us, as amended in August 2021. On June 30, 2022, or the Effective Date, we entered into a second amendment to the Original Loan Agreement, or as amended, the Loan Agreement. Under the second amendment, the aggregate principal amount available to us increased from $75.0 million to $125.0 million, with such principal being available in a series of tranches, subject to certain terms and conditions. On December 14, 2023, we entered into a third amendment to the Original Loan Agreement, or as amended, the Loan Agreement. As of June 30, 2024, a total of $80.0 million has been drawn under the Loan Agreement.</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the effective date of the second amendment, we paid $100,000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second amendment, which we recognized as debt issuance costs and are amortizing such cost to interest expense over the life of the loan using the effective interest rate method.</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third amendment, the aggregate principal amount drawn down and remaining available to us under the Loan Agreement remains at $125.0 million, with such principal being available in a series of tranches, subject to certain terms and conditions. The third amendment also provides that (i) the fourth tranche of the Loan Agreement was increased from $10.0 million to $30.0 million, (ii) the commitment period for the fifth tranche of the Loan Agreement of $20.0 million, which was made available due to achievement of a regulatory milestone and satisfaction of certain capitalization requirements and was extended through December 15, 2024, (iii) the variable annual interest rate on the outstanding loans has been decreased to the greater of: (x) 9.0%, or (y) the sum of (A) the Prime Rate (as reported in The Wall Street Journal) minus 4.5%, plus (B) 9.0%; and (iv) the interest only period of the Loan Agreement has been extended from June 30, 2024 through December 31, 2024, due to regulatory approval of RYTELO and satisfaction of certain financial and capitalization requirements. In connection with the third amendment, on the third amendment effective date, we borrowed and received the entire fourth tranche of the Loan Agreement in the amount of $30.0 million. After giving effect to such borrowing, the outstanding principal amount under the Loan Agreement is $80.0 million. On the effective date of the third amendment, we paid $300,000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third amendment, which we recognize as debt issuance costs and amortize such cost to interest expense over the life of the loan using the effective interest rate method. The third amendment of the Loan Agreement is not substantially different as compared to the Original Loan Agreement, and accordingly, we treated the amendment as a modification of the debt in accordance with ASC 470. On September 15, 2023, the third tranche of $20.0 million of the Loan Agreement expired and is no longer available for us, but was added to the fourth tranche as part of the third amendment to the Loan Agreement.</w:t>
      </w:r>
    </w:p>
    <w:p>
      <w:pPr>
        <w:spacing w:after="0" w:line="19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Loan Agreement as amended, the Loan Agreement matures on October 1, 2025, or the Loan Maturity Date, which was extended from April 1, 2025 upon regulatory approval of RYTELO. The Loan Agreement bears interest at a floating rate per annum equal to the greater of either (i) 9.0% or (ii) the sum of (A) the Prime Rate (as reported in The Wall Street Journal) minus 4.5%, plus (B) 9.0% (8.5% as of December 31, 2023). The interest only period of the Loan Agreement has been extended from June 30, 2024 through December 31, 2024. due to regulatory approval of RYTELO and satisfaction of certain financial and capitalization requirements. Following the expiration of the interest-only period, we are required to repay the Loan Agreement in equal monthly amortization payments of principal and interest until the Loan Maturity Date. Upon full repayment of the Loan Agreement, we are also obligated to pay an end of term charge in an amount equal to 6.55% of the amount of the Loan Agreement actually borrowed. Such end of term charge is being accrued to interest expense over the term of the Loan Agreement using the effective interest rate method. At our option, upon at least five business days’ prior written notice to Hercules, we may prepay all or any portion greater than or equal to $5.0 million of the outstanding loan by paying the entire principal balance (or portion thereof) and all accrued and unpaid interest. There is no prepayment charge for prepayments of drawdowns under Tranche 1 or Tranche 2. Prepayments of drawdowns under Tranche 3, Tranche 4, Tranche 5 or Tranche 6 are subject to a prepayment charge of 1.5% of the prepayment amount, if the prepayment is made prior to June 30, 2025. Thereafter, any prepayment of Tranche 3, Tranche 4, Tranche 5 or Tranche 6 is not subject to a prepayment charge. We are in compliance with the covenants under the Loan Agreement as of June 30, 2024.</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the net carrying value of the debt under the Loan Agreement was $83.4 million, which includes the principal amount of $80.0 million less net unamortized debt discounts and issuance costs of $331,000 plus accrued end of term charge of $3.8 million. The carrying value of the debt approximates the fair value as of June 30, 2024. The debt discounts and debt issuance costs are being amortized to interest expense over the life of the outstanding loan amounts using the effective interest rate method.</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minimum payments, including interest and the end of term charge, under the Loan Agreement as of June 30, 2024 (in thousands):</w:t>
      </w:r>
    </w:p>
    <w:p>
      <w:pPr>
        <w:spacing w:after="0" w:line="180" w:lineRule="exact"/>
        <w:rPr>
          <w:sz w:val="20"/>
          <w:szCs w:val="20"/>
          <w:color w:val="auto"/>
        </w:rPr>
      </w:pPr>
    </w:p>
    <w:tbl>
      <w:tblPr>
        <w:tblLayout w:type="fixed"/>
        <w:tblInd w:w="2820" w:type="dxa"/>
        <w:tblCellMar>
          <w:top w:w="0" w:type="dxa"/>
          <w:left w:w="0" w:type="dxa"/>
          <w:bottom w:w="0" w:type="dxa"/>
          <w:right w:w="0" w:type="dxa"/>
        </w:tblCellMar>
      </w:tblPr>
      <w:tr>
        <w:trPr>
          <w:trHeight w:val="24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0" w:type="dxa"/>
            <w:vAlign w:val="bottom"/>
          </w:tcPr>
          <w:p>
            <w:pPr>
              <w:spacing w:after="0"/>
              <w:rPr>
                <w:sz w:val="21"/>
                <w:szCs w:val="21"/>
                <w:color w:val="auto"/>
              </w:rPr>
            </w:pPr>
          </w:p>
        </w:tc>
      </w:tr>
      <w:tr>
        <w:trPr>
          <w:trHeight w:val="23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90,146</w:t>
            </w:r>
          </w:p>
        </w:tc>
        <w:tc>
          <w:tcPr>
            <w:tcW w:w="20" w:type="dxa"/>
            <w:vAlign w:val="bottom"/>
          </w:tcPr>
          <w:p>
            <w:pPr>
              <w:spacing w:after="0"/>
              <w:rPr>
                <w:sz w:val="20"/>
                <w:szCs w:val="20"/>
                <w:color w:val="auto"/>
              </w:rPr>
            </w:pPr>
          </w:p>
        </w:tc>
      </w:tr>
      <w:tr>
        <w:trPr>
          <w:trHeight w:val="241"/>
        </w:trPr>
        <w:tc>
          <w:tcPr>
            <w:tcW w:w="4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0"/>
                <w:szCs w:val="20"/>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95,433</w:t>
            </w:r>
          </w:p>
        </w:tc>
        <w:tc>
          <w:tcPr>
            <w:tcW w:w="20" w:type="dxa"/>
            <w:vAlign w:val="bottom"/>
          </w:tcPr>
          <w:p>
            <w:pPr>
              <w:spacing w:after="0"/>
              <w:rPr>
                <w:sz w:val="20"/>
                <w:szCs w:val="20"/>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(10,194 )</w:t>
            </w: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unaccrued end of term charge</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(1,473 )</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(46,917 )</w:t>
            </w:r>
          </w:p>
        </w:tc>
      </w:tr>
      <w:tr>
        <w:trPr>
          <w:trHeight w:val="23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2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-650875</wp:posOffset>
            </wp:positionV>
            <wp:extent cx="356616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66160" cy="15430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-342265</wp:posOffset>
            </wp:positionV>
            <wp:extent cx="3566160"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520" w:firstLine="8"/>
        <w:spacing w:after="0" w:line="450"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 AND UNCERTAINTIES Purported Securities Lawsuits</w:t>
      </w:r>
    </w:p>
    <w:p>
      <w:pPr>
        <w:spacing w:after="0" w:line="27"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on September 28, 2023 and final judgment was entered on October 3, 2023.</w:t>
      </w:r>
    </w:p>
    <w:p>
      <w:pPr>
        <w:spacing w:after="0" w:line="180" w:lineRule="exact"/>
        <w:rPr>
          <w:sz w:val="20"/>
          <w:szCs w:val="20"/>
          <w:color w:val="auto"/>
        </w:rPr>
      </w:pPr>
    </w:p>
    <w:p>
      <w:pPr>
        <w:ind w:right="60" w:firstLine="524"/>
        <w:spacing w:after="0" w:line="256" w:lineRule="auto"/>
        <w:rPr>
          <w:sz w:val="20"/>
          <w:szCs w:val="20"/>
          <w:color w:val="auto"/>
        </w:rPr>
      </w:pPr>
      <w:r>
        <w:rPr>
          <w:rFonts w:ascii="Times New Roman" w:cs="Times New Roman" w:eastAsia="Times New Roman" w:hAnsi="Times New Roman"/>
          <w:sz w:val="18"/>
          <w:szCs w:val="18"/>
          <w:color w:val="auto"/>
        </w:rPr>
        <w:t>Under the terms of the Stipulation, in exchange for the release and dismissal with prejudice of all claims against the defendants in the consolidated class action complaint, we agreed to pay and/or to cause our insurance carriers to pay a total of $24.0 million, comprised of $17.0 million in cash, which was paid into an escrow account under our available directors' and officers', or D&amp;O insurance coverage and, $7.0 million in cash which was paid after final approval of the settlement by the court. The settlement does not constitute an admission of fault or wrongdoing by Geron or any of our officers. Our portion of the settlement amount was paid in the fourth quarter of 2023. There is no liability outstanding as of June 30, 2024 as the matter was fully settled during the year ended December 31, 2023.</w:t>
      </w:r>
    </w:p>
    <w:p>
      <w:pPr>
        <w:spacing w:after="0" w:line="187" w:lineRule="exact"/>
        <w:rPr>
          <w:sz w:val="20"/>
          <w:szCs w:val="20"/>
          <w:color w:val="auto"/>
        </w:rPr>
      </w:pPr>
    </w:p>
    <w:p>
      <w:pPr>
        <w:ind w:right="40" w:firstLine="524"/>
        <w:spacing w:after="0" w:line="258" w:lineRule="auto"/>
        <w:rPr>
          <w:sz w:val="20"/>
          <w:szCs w:val="20"/>
          <w:color w:val="auto"/>
        </w:rPr>
      </w:pPr>
      <w:r>
        <w:rPr>
          <w:rFonts w:ascii="Times New Roman" w:cs="Times New Roman" w:eastAsia="Times New Roman" w:hAnsi="Times New Roman"/>
          <w:sz w:val="18"/>
          <w:szCs w:val="18"/>
          <w:color w:val="auto"/>
        </w:rPr>
        <w:t>In 2020 and 2021, seven shareholder derivative actions were filed in a number of courts, naming as defendants certain of our then current officers and certain of our then current and former members of our board. On December 21, 2022, the parties to the shareholder derivative action filed in the Delaware Court of Chancery entered into a stipulation of settlement, or the Derivative Stipulation, and on May 17, 2023, the Delaware Court of Chancery approved the Derivative Stipulation, and the case was dismissed with prejudice. Subsequently, each of the remaining derivative cases were dismissed with prejudice.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the terms of the Derivative Stipulation, in exchange for the release and dismissal with prejudice of all claims against the defendants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shareholder derivative actions filed in the Northern District, we agreed to pay and/or to cause our insurance carriers to pay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$1,350,000, comprised of $525,000 in cash, which was payable under our available D&amp;O insurance coverage and $825,000 in cash payable by 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does not constitute an admission of fault or wrongdoing by any of our officers or members of our board. In the second quarter of 2023,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carriers paid $525,000 in cash, and we paid $825,000 in cash, for an aggregate total payment of $1,350,000. Accordingly,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 to settle against this as of June 30, 2024.</w:t>
      </w:r>
    </w:p>
    <w:p>
      <w:pPr>
        <w:spacing w:after="0" w:line="207" w:lineRule="exact"/>
        <w:rPr>
          <w:sz w:val="20"/>
          <w:szCs w:val="20"/>
          <w:color w:val="auto"/>
        </w:rPr>
      </w:pPr>
    </w:p>
    <w:p>
      <w:pPr>
        <w:ind w:right="20" w:firstLine="524"/>
        <w:spacing w:after="0" w:line="253"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 Expenses associated with any potential future lawsuits could be material to our consolidated financial statements if we do not prevail in the defense of such lawsuits, or even if we do prevail. We have not established any reserve for any potential liability relating to any potential future lawsuits. It is possible that we could, in the future, incur judgments or enter into settlements of claims for monetary damages.</w:t>
      </w:r>
    </w:p>
    <w:p>
      <w:pPr>
        <w:sectPr>
          <w:pgSz w:w="11900" w:h="16838" w:orient="portrait"/>
          <w:cols w:equalWidth="0" w:num="1">
            <w:col w:w="11200"/>
          </w:cols>
          <w:pgMar w:left="320" w:top="765" w:right="379" w:bottom="1440" w:gutter="0" w:footer="0" w:header="0"/>
        </w:sectPr>
      </w:pP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21" w:name="page22"/>
    <w:bookmarkEnd w:id="2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to Officers and Directors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21"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We have adopted two severance plans that apply to all of our employees who are not subject to performance improvement plans, one plan covering employees above the Vice President level, i.e., executives, and all other employees hired before January 1, 2022, and the other plan covering all non-executive employees hired on or after January 1, 2022. The severance plans provide for, among other benefits: (i) a severance payment upon a Change of Control Triggering Event and Separation from Service and (ii) a severance payment for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 upon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 executive officers is filed as an exhibit to the 2023 Form 10-K. As of June 30, 2024, all our executive officers have employment agreements with severance provisions and will receive the greater severance benefits of their agreements or those in the severance plan applicable to them.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88" w:lineRule="exact"/>
        <w:rPr>
          <w:sz w:val="20"/>
          <w:szCs w:val="20"/>
          <w:color w:val="auto"/>
        </w:rPr>
      </w:pPr>
    </w:p>
    <w:p>
      <w:pPr>
        <w:ind w:right="160" w:firstLine="509"/>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$62.5 million in the aggregate as of June 30, 2024. These purchase commitments can vary based on the commercial demand of RYTELO and are binding based on future manufacturing needs.</w:t>
      </w:r>
    </w:p>
    <w:p>
      <w:pPr>
        <w:spacing w:after="0" w:line="19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ind w:right="8740" w:firstLine="8"/>
        <w:spacing w:after="0" w:line="377"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Registered Offering</w:t>
      </w:r>
    </w:p>
    <w:p>
      <w:pPr>
        <w:spacing w:after="0" w:line="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March 21, 2024, we completed an underwritten public offering of 41,999,998 shares of our common stock and a pre-funded warrant to purchase 8,002,668 shares of our common stock, or the 2024 pre-funded warrant. All of the securities were issued separately. The public offering price of the common stock was $3.00 per share. The public offering price of the 2024 pre-funded warrant was $2.99 per share. The 2024 pre-funded warrant has an exercise price of $0.001 per share and may be exercised at any time</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until the 2024 pre-funded warrant is exercised in full. As of June 30, 2024, none of the 2024 pre-funded warrant has been exercised. The net cash proceeds from the March 2024 offering were approximately $141.0 million, after deducting the underwriting discount and other offering expenses paid by us, and excluding any future proceeds from the exercise of the pre-funded warrant.</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Upon the issuance of the 2024 pre-funded warrant, we evaluated the warrant terms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are classified as liabilities when the warrant terms allow settlement of the warrant exercise in cash and classified as equity when the warrant terms only allow settlement in shares of common stock. The terms of the 2024 pre-funded warrant include certain provisions related to fundamental transactions and a cashless exercise provision in the event registered shares are not available, and do not include any mandatory redemption provisions. Based on our evaluation, we concluded the 2024 pre-funded warrant should be classified as equity with no subsequent remeasurement as long as such warrant continue to be classified as equity.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first quarter of 2024, warrants to purchase 37,640 shares of our common stock were exercised for net cash proceeds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$49,000. In the second quarter of 2024, warrants to purchase 281,211 shares of our common stock were exercised for net cash proceeds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$365,000. The warrants were issued in connection with underwritten public offerings of common stock and pre-funded warrants,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stock purchase warrants in May 2020. As of June 30, 2024, the following warrants remained outstanding:</w:t>
      </w:r>
    </w:p>
    <w:p>
      <w:pPr>
        <w:spacing w:after="0" w:line="99" w:lineRule="exact"/>
        <w:rPr>
          <w:sz w:val="20"/>
          <w:szCs w:val="20"/>
          <w:color w:val="auto"/>
        </w:rPr>
      </w:pPr>
    </w:p>
    <w:p>
      <w:pPr>
        <w:ind w:left="1020" w:right="6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with an exercise price of $0.001 per share to purchase 59,433,145 shares of our common stock, which have no expiration date;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warrants with an exercise price of $1.30 per share to purchase 2,155,650 shares of our common stock related to the public offering of our common stock in May 2020, which expire on December 31, 2025.</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3" w:name="page24"/>
    <w:bookmarkEnd w:id="2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2023 as filed with the SEC on February 28, 2024, or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We are a commercial-stage biopharmaceutical company aiming to change lives by changing the course of blood cancer. Our first-in-class telomerase inhibitor,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(imetelstat), harnesses Nobel Prize winning science in a treatment that aims to potentially reduce proliferation and induce death of malignant cells in the bone marrow, potentially altering the underlying course of these hematologic malignancies.</w:t>
      </w:r>
    </w:p>
    <w:p>
      <w:pPr>
        <w:spacing w:after="0" w:line="19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June 6, 2024, the U.S. Food and Drug Administration (FDA) approved RYTELO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In September 2023, we submitted a marketing authorization application, or MAA, in Europe that was validated for review by the European Medicines Agency, or EMA, for RYTELO for the same proposed indication as in the U.S. We expect review of the MAA could be completed in early 2025, We plan to finalize our strategy for European Union, or EU, commercialization in 2025, which, subject to regulatory approval, could include self-commercialization or potential partnerships.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regulatory approval in the U.S. for lower-risk MDS and our EMA submission are each based on positive data from the IMerge Phase 3 clinical trial. The trial met its primary endpoint of ≥ 8-week red blood cell transfusion independence rate and a key secondary endpoint of ≥ 24-week red blood cell transfusion independence rate, demonstrating highly statistically significant (i.e., p&lt;0.001 for both) and clinically meaningful benefits with imetelstat treatment versus placebo. Furthermore, statistically significant and clinically meaningful efficacy results were observed in the trial across key MDS patient subtypes, including patients who were ringed sideroblast positive, or RS positive, and ringed sideroblast negative, or RS negative; patients with high (4-6 RBC units/8 weeks) and very high baseline transfusion burden (&gt;6 RBC units/8 weeks); and patients classified as Low or Intermediate-1 risk according to the International Prognostic Scoring System, or IPSS. The most common Grade 3/4 adverse reactions were neutropenia (72%) and thrombocytopenia (65%), which lasted a median duration of less than two weeks, and in more than 80% of patients were resolved to Grade &lt;2 in under four weeks..</w:t>
      </w:r>
    </w:p>
    <w:p>
      <w:pPr>
        <w:spacing w:after="0" w:line="19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several myeloid hematologic malignancies. Our Phase 3 clinical trial IMpactMF is evaluating imetelstat in patients with Intermediate-2 or High-Risk myelofibrosis who have relapsed after or are refractory to treatment with a janus associate kinase inhibitor, or JAK inhibitor, or relapsed/refractory MF, or R/R MF, with overall survival, or OS, as the primary endpoint. In August 2024, the trial reached approximately 70% enrollment. Based on our current planning assumptions for enrollment and event (death) rates in the trial, we expect the interim analysis for OS in IMpactMF may occur in early 2026, and the final analysis may occur in early 2027.</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also conducting a Phase 1 combination therapy clinical trial, named IMproveMF, in first-line Intermediate-1, Intermediate-2 or High-Risk myelofibrosis, or frontline MF, that currently is enrolling patients. Imetelstat is also being studied in an investigator-led Phase 2 clinical trial, named IMpress, in Intermediate-2 or High-Risk myelodysplastic syndromes, or higher risk MDS, and acute myeloid leukemia, or AML, patients that are relapsed or refractory to hypomethylating agent, or HMA, treatment, in which the first patient was dosed in June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4" w:name="page25"/>
    <w:bookmarkEnd w:id="24"/>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positive data from IMerge Phase 3 and IMerge Phase 2, as well as our prior Phase 2 clinical trial of imetelstat in patients with relapsed/refractory MF, provide strong evidence that imetelstat targets telomerase to inhibit the uncontrolled proliferation of malignant stem and progenitor cells enabling recovery of bone marrow and normal blood cell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26, 2024, we announced that the National Comprehensive Cancer Network, or NCCN, has updated its Clinical Practice Guidelines in Oncology for the treatment of MDS to include RYTELO as a Category 1 and 2A treatment of symptomatic anemia in patients with lower-risk MDS. Treatments are classified as Category 1 and 2A when there is uniform NCCN consensus ≥85% that the intervention is appropriate. For RS- lower-risk MDS patients with symptomatic anemia, RYTELO is included as a Category 1 second-line treatment after either erythropoiesis-stimulating agents (ESAs) or luspatercept in patients with serum EPO ≤500 mU/mL, and as a Category 2A first-line treatment in patients with serum EPO &gt;500 mU/mL and unlikely to respond to immunosuppressive therapy. For RS+ lower-risk MDS patients with symptomatic anemia, RYTELO is included as a Category 1 second-line treatment after luspatercept in patients with serum EPO ≤500 mU/mL, and as a Category 2A first-line treatment in patients with serum EPO &gt;500 mU/mL.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primarily financed our operations through the sale of equity securities, draw downs on our debt facility, interest income on our marketable securities and payments we received under our prior collaborative and licensing arrangements. As of June 30, 2024, we had approximately $430.4 million in cash, cash equivalents, restricted cash and marketable securities and a long-term principal debt balance of $80.0 million.</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began commercializing RYTELO in June 2024, and the commercial potential of and our ability to successfully commercialize RYTELO is unproven. Our success in commercializing RYTELO will require, among other things, effective sales, marketing, manufacturing, distribution, information systems and pricing strategies, as well as compliance with applicable laws and regulations. In addition, although we recently began commercializing RYTELO, substantially all of our revenues to date have been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June 30, 2024, we had an accumulated deficit of approximately $1.7 billion.</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significance of future losses, future revenues and any potential future profitability will depend primarily on the clinical and commercial success of RYTELO, our sole product.. In addition, we are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United States. As a result, we expect research and development expenses and selling, general and administrative expenses to increase in future periods as we continue to support the commercialization of RYTELO in the U.S. and further development of RYTELO, including the conduct and completion of IMpactMF, IMproveMF and IMpress, as well as the potential European commercialization of RYTELO, in lower-risk MDS.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March 21, 2024, we completed an underwritten offering of 41,999,998 shares of our common stock and a pre-funded warrant to purchase 8,002,668 shares of our common stock. All of the securities were issued separately. The offering price of the common stock was $3.00 per share. The offering price of the pre-funded warrant was $2.99 per share. The pre-funded warrant has an exercise price of $0.001 per share and may be exercised at any time until it is exercised in full. As of June 30, 2024, the 2024 pre-funded warrant had not been exercised. The net cash proceeds from the March 2024 public offering were approximately $141.0 million, after deducting the underwriting discount and other offering expenses paid by us, and excluding any future proceeds from the exercise of the 2024 pre-funded warrant.</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plans and assumptions, we believe that our existing cash, cash equivalents, and current and noncurrent marketable securities, together with projected revenues from U.S. sales of RYTELO, will be sufficient to fund our projected operating requirements into the second quarter of 2026. We will require substantial additional funding to further advance the development of imetelstat, including through the completion of our ongoing clinical trials and any potential future clinical trials, as well as conducting the clinical, regulatory and commercialization activities necessary to potentially bring imetelstat to market in relapsed/refractory MF and any other indications we are pursuing or may in the future pursue, and our need for additional funds may arise sooner than planned.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approved for marketing by regulatory authorities outside of the U.S., we may seek potential commercialization partners for such territories. Until international regulatory authorities approve RYTELO for marketing, if at all, we cannot begin commercialization activities outside of the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5" w:name="page26"/>
    <w:bookmarkEnd w:id="2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six months ended June 30, 2024, as compared to the critical accounting policies and estimates disclosed in our 2023 Form 10-K.</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 Significant Accounting Policies in Notes to Condensed Consolidated Financial Statements of this quarterly report on Form 10-Q describes the significant accounting policies used in the preparation of the condensed consolidated financial statements.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very early in the product launch. We expect that our sales revenue may vary significantly from period to period as the launch progresses.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RYTELO is our only product approved for marketing by the FDA and is approved solely for lower-risk MDS. Revenue based on sales of RYTELO is dependent on our ability to execute a successful commercial launch of RYTELO in the U.S., and obtaining regulatory approval to commercialize RYTELO in other countries and other indications. We are subject to risks common to companies in our industry and at our stage of development, including, but not limited to, risks inherent in research and development efforts, including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Change $</w:t>
            </w:r>
          </w:p>
        </w:tc>
        <w:tc>
          <w:tcPr>
            <w:tcW w:w="2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vMerge w:val="restart"/>
          </w:tcPr>
          <w:p>
            <w:pPr>
              <w:spacing w:after="0"/>
              <w:rPr>
                <w:sz w:val="2"/>
                <w:szCs w:val="2"/>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4"/>
                <w:szCs w:val="14"/>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thousands, except for percentage data)</w:t>
            </w:r>
          </w:p>
        </w:tc>
        <w:tc>
          <w:tcPr>
            <w:tcW w:w="0" w:type="dxa"/>
            <w:vAlign w:val="bottom"/>
          </w:tcPr>
          <w:p>
            <w:pPr>
              <w:spacing w:after="0"/>
              <w:rPr>
                <w:sz w:val="1"/>
                <w:szCs w:val="1"/>
                <w:color w:val="auto"/>
              </w:rPr>
            </w:pPr>
          </w:p>
        </w:tc>
      </w:tr>
      <w:tr>
        <w:trPr>
          <w:trHeight w:val="243"/>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1"/>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(4,711 )</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5"/>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4"/>
        </w:trPr>
        <w:tc>
          <w:tcPr>
            <w:tcW w:w="2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2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(3,319 )</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(2,003 )</w:t>
            </w: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(1,316 )</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(6,752 )</w:t>
            </w: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(3,925 )</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(2,827 )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(63 )</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83 %</w:t>
            </w:r>
          </w:p>
        </w:tc>
        <w:tc>
          <w:tcPr>
            <w:tcW w:w="1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84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(67,383 )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(49,227 )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(18,156 )</w:t>
            </w:r>
          </w:p>
        </w:tc>
        <w:tc>
          <w:tcPr>
            <w:tcW w:w="12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27 %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(122,773 )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(87,349 )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(35,424 )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-1259840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Net</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6, 2024, we announced that the FDA approved RYTELO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 To date, our only source of product revenue has been from the U.S. sales of RYTELO, which we began shipping to our customers in June 2024. We did not generate any revenue from product sales prior to the three months ended June 30, 2024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Total product revenue, net for the three months ended June 30, 2024 was approximately $780,000. We expect product revenues, net to increase through the remainder of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our divested intellectual property.</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7" w:name="page28"/>
    <w:bookmarkEnd w:id="27"/>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recognized royalty revenues of $102,000 and $406,000 in the three and six months ended June 30, 2024, respectively compared to $29,000 and $50,000, respectively, for the same period in 2023. Royalty revenues in 2024 and 2023 primarily reflect estimated royalties from sales of cell-based research products from our divested stem cell assets.</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Future license fee and royalty revenues are dependent on additional agreements being signed, if any, our current license agreement with Lineage being maintained and the underlying patent rights for the license remaining active. We expect royalty revenues for the full-year of 2024 to be lower than the full-year of 2023 as a result of reduced royalties from sales of cell-based research products from our divested stem cell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FDA approval of RYTELO on June 6, 2024, we subsequently begin capitalizing inventory manufactured or purchased after this date. As a result, we expensed certain manufacturing costs of RYTELO as research and development expense prior to FDA approval and, therefore, these costs are not included in cost of goods sold. We expect our operating expenses to remain consistent through the remainder of 2024.</w:t>
      </w:r>
    </w:p>
    <w:p>
      <w:pPr>
        <w:spacing w:after="0" w:line="6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cost of goods sold consist of raw materials, third-party manufacturing costs to manufacture the raw materials into finished product, freight, and indirect overhead costs associated with the sale of RYTELO in the U.S.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expenses, including as a percentage of total expenses, for the three and six months ended June 30:</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120" w:type="dxa"/>
            <w:vAlign w:val="bottom"/>
          </w:tcPr>
          <w:p>
            <w:pPr>
              <w:spacing w:after="0"/>
              <w:rPr>
                <w:sz w:val="14"/>
                <w:szCs w:val="14"/>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for percentage data)</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1600" w:type="dxa"/>
            <w:vAlign w:val="bottom"/>
            <w:gridSpan w:val="5"/>
          </w:tcPr>
          <w:p>
            <w:pPr>
              <w:jc w:val="right"/>
              <w:ind w:right="8"/>
              <w:spacing w:after="0"/>
              <w:rPr>
                <w:sz w:val="20"/>
                <w:szCs w:val="20"/>
                <w:color w:val="auto"/>
              </w:rPr>
            </w:pPr>
            <w:r>
              <w:rPr>
                <w:rFonts w:ascii="Times New Roman" w:cs="Times New Roman" w:eastAsia="Times New Roman" w:hAnsi="Times New Roman"/>
                <w:sz w:val="18"/>
                <w:szCs w:val="18"/>
                <w:color w:val="auto"/>
              </w:rPr>
              <w:t>-15 %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220" w:type="dxa"/>
            <w:vAlign w:val="bottom"/>
            <w:gridSpan w:val="2"/>
          </w:tcPr>
          <w:p>
            <w:pPr>
              <w:spacing w:after="0"/>
              <w:rPr>
                <w:sz w:val="21"/>
                <w:szCs w:val="21"/>
                <w:color w:val="auto"/>
              </w:rPr>
            </w:pPr>
          </w:p>
        </w:tc>
        <w:tc>
          <w:tcPr>
            <w:tcW w:w="13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58 %</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29,384</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
        </w:trPr>
        <w:tc>
          <w:tcPr>
            <w:tcW w:w="3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Total operating cost and expenses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40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70,215</w:t>
            </w:r>
          </w:p>
        </w:tc>
        <w:tc>
          <w:tcPr>
            <w:tcW w:w="260" w:type="dxa"/>
            <w:vAlign w:val="bottom"/>
            <w:gridSpan w:val="2"/>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51,979</w:t>
            </w:r>
          </w:p>
        </w:tc>
        <w:tc>
          <w:tcPr>
            <w:tcW w:w="220" w:type="dxa"/>
            <w:vAlign w:val="bottom"/>
            <w:gridSpan w:val="2"/>
          </w:tcPr>
          <w:p>
            <w:pPr>
              <w:spacing w:after="0"/>
              <w:rPr>
                <w:sz w:val="20"/>
                <w:szCs w:val="20"/>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26 %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10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Cost of goods sold was approximately $17,000 for the three and six months ended June 30, 2024, which consisted of costs to manufacture, and distribute our market product, RYTELO. We began capitalizing inventory upon FDA approval of RYTELO. All product costs incurred prior to FDA approval of RYTELO in June 2024 were expensed as research and development expenses.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Prior to receiving FDA approval for RYTELO in June 2024, we manufactured inventory to be sold upon commercialization and recorded the costs as research and development expense. As a result, the manufacturing costs related to the inventory manufactured prior to receiving FDA approval were expensed in a prior period and are therefore excluded from the cost of goods sold for the three and six months ended June 30, 2024. We estimate our cost of sales related to product revenue as a percentage of net product revenue will continue to be positively affected as we sell through certain inventory that was previously expensed prior to FDA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our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six months ended June 30, 2024 and 2023,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77" w:right="27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2024 and 2023 were as follows: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36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40,082</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30,779</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60,152</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-187960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-187960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The decrease in research and development expenses for the three and six months ended June 30, 2024, compared to the same period in 2023, was primarily due to decreases in clinical development costs related to the Phase 3 IMerge trial, as well as decreases in manufacturing and quality costs due to the timing of imetelstat manufacturing batches. Additionally, a portion of manufacturing and quality costs were capitalized in the current period due to FDA approval of RYTELO. The decrease is partially offset by an increase in labor costs due to higher headcount, incentive and stock-based compensation expense recognized due to the vesting of performance-based stock options upon FDA approval. For a more complete discussion of the risks and uncertainties associated with the development of imetelstat, see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sections entitled “Risks Related to the Development of Imetelstat” and “Risks Related to the Commercialization of RYTELO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(Imetelstat” and “Risks Related to Regulatory Approval of RYTELO” in Part II, Item 1A entitled “Risk Factors” and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$39.4 million and $66.5 million for the three and six months ended June 30, 2024, respectively compared to $16.5 million and $29.4 million for the same period in 2023. The increase in selling, general and administrative expenses for the three and six months ended June 30, 2024, compared to the same period in 2023, primarily reflects higher personnel-related expenses and stock-based compensation recognized upon FDA approval of RYTELO due to the vesting of performance-based stock options.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income was $5.3 million and $9.6 million for the three and six months ended June 30, 2024, compared to $4.7 million and $8.6 million for the same period in 2023. The increase in interest income for the three and six months ended June 30, 2024, compared to the same period in 2023, primarily reflects a larger marketable securities portfolio with the receipt of net cash proceeds from the underwritten offering completed in March 2024, as well as higher yields from recent marketable securities purchases. Interest earned in future periods will depend on the size of our marketable securities portfolio and prevailing interest rates.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Interest expense was $3.3 million and $6.8 million for the three and six months ended June 30, 2024, compared to $2.0 million and $3.9 million for the same period in 2023. The increase in interest expense for the three and six months ended June 30, 2024, compared to the same period in 2023, primarily reflects rising interest rates. Currently, we have $80.0 million in principal debt outstanding. Interest expense reflects interest owed under the Loan Agreement, as well as amortization of associated debt issuance costs and debt discounts using the effective interest method and accrual for an end of term charge. See Note 6 on Debt in Notes to Condensed Consolidated Financial Statements of this quarterly report on Form 10-Q for additional information about the Loan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Net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income and expense, net was an expense of $63,000 and $125,000 for the three and six months ended June 30, 2024, compared to an expense of $11,000 for the three months ended June 30, 2023, and an income of $28,000 for the six months ended June 30, 2023. Other income and expense primarily reflects bank charges related to our cash operating accounts and marketable securities portfolio and foreign currency transaction adjustments.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had cash, restricted cash, cash equivalents, and marketable securities of $430.4 million, compared to $378.1 million at December 31, 2023. The increase in cash, restricted cash, cash equivalents and marketable securities during the six months ended June 30, 2024 was primarily the net result of the receipt of net cash proceeds of $141.0 million from our underwritten offering completed in March 2024.</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21, 2024, we completed an underwritten public offering consisting of 41,999,998 shares of our common stock and a pre-funded warrant to purchase 8,002,668 shares of our common stock. All of the securities were issued separately. The offering price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9" w:name="page30"/>
    <w:bookmarkEnd w:id="29"/>
    <w:p>
      <w:pPr>
        <w:ind w:right="60"/>
        <w:spacing w:after="0" w:line="256" w:lineRule="auto"/>
        <w:rPr>
          <w:sz w:val="20"/>
          <w:szCs w:val="20"/>
          <w:color w:val="auto"/>
        </w:rPr>
      </w:pPr>
      <w:r>
        <w:rPr>
          <w:rFonts w:ascii="Times New Roman" w:cs="Times New Roman" w:eastAsia="Times New Roman" w:hAnsi="Times New Roman"/>
          <w:sz w:val="18"/>
          <w:szCs w:val="18"/>
          <w:color w:val="auto"/>
        </w:rPr>
        <w:t>of the common stock was $3.00 per share. The offering price of the pre-funded warrant was $2.99 per share. The pre-funded warrant has an exercise price of $0.001 per share and may be exercised at any time until it is exercised in full. As of June 30, 2024, the 2024 pre-funded warrant had not been exercised. The net cash proceeds from this offering were approximately $141.0 million, after deducting the underwriting discount and other offering expenses paid by us, and excluding any future proceeds from the exercise of the pre-funded warrant. See Note 8 on Stockholders’ Equity in Notes to Condensed Consolidated Financial Statements of this quarterly report on Form 10-Q for additional information about the underwritten offering completed in March 2024.</w:t>
      </w:r>
    </w:p>
    <w:p>
      <w:pPr>
        <w:spacing w:after="0" w:line="18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From January 1, 2024 through June 30, 2024, we received $414,000 in cash proceeds from the exercise of warrants we issued in 2020, covering 281,211 shares of our common stock. As of June 30, 2024, we had warrants remaining from our 2020 issuance covering 2,155,650 shares of our common stock, which if exercised in full for cash, would provide $2.8 million in cash proceeds.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we had a long-term principal debt balance of $80.0 million under the Loan Agreement with Hercules and SVB. In June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a second amendment to the Loan Agreement with Hercules and SVB. Under the second amendment, the aggregate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us increased from $75.0 million to $125.0 million. On December 14, 2023, we entered into a third amendment to the Loan Agreement.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giving effect to the third amendment, the aggregate principal amount draw down and remaining available to us under the Loan Agreement remains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 million, with such principal being available in a series of tranches, subject to certain terms and conditions. The third amendment also provides that</w:t>
      </w:r>
    </w:p>
    <w:p>
      <w:pPr>
        <w:spacing w:after="0" w:line="9" w:lineRule="exact"/>
        <w:rPr>
          <w:sz w:val="20"/>
          <w:szCs w:val="20"/>
          <w:color w:val="auto"/>
        </w:rPr>
      </w:pPr>
    </w:p>
    <w:p>
      <w:pPr>
        <w:ind w:firstLine="8"/>
        <w:spacing w:after="0" w:line="251"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tranche of the Loan Agreement was increased from $10.0 million to $30.0 million, (ii) the commitment period for the fifth tranche of the Loan Agreement of $20.0 million, which is available subject to achievement of a regulatory milestone and satisfaction of certain capitalization requirements, was extended through December 15, 2024, (iii) the variable annual interest rate on the outstanding loans has been decreased to the greater of: (x) 9.0%, or (y) the sum of (A) the Prime Rate (as reported in The Wall Street Journal) minus 4.5%, plus (B) 9.0%; and (iv) the interest only period of the Term Loan has been extended from June 30, 2024 through December 31, 2024, due to regulatory approval of RYTELO and satisfaction of certain financial and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Amended Loan Agreement is $80.0 million. On September 15, 2023, the third tranche of $20.0 million of the Term Loan expired and is no longer available for us, but was added to the fourth tranche as part of the third amendment to the Loan Agreement. The Term Loan matures on October 1, 2025, which was extended from April 1, 2025 upon regulatory approval of RYTELO.</w:t>
      </w:r>
    </w:p>
    <w:p>
      <w:pPr>
        <w:spacing w:after="0" w:line="19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plans and assumptions, we believe that our existing cash, cash equivalents, and current and noncurrent marketable securities, together with projected revenues from U.S. sales of RYTELO, will be sufficient to fund our projected operating requirements into the second quarter of 2026. We will require substantial additional funding to further advance the development of imetelstat, including through the completion of our ongoing clinical trials and any potential future clinical trials, as well as conducting the clinical, regulatory and commercialization activities necessary to potentially bring imetelstat to market in relapsed/refractory MF and any other indications we are pursuing or may in the future pursue, and our need for additional funds may arise sooner than planned.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0" w:name="page31"/>
    <w:bookmarkEnd w:id="30"/>
    <w:p>
      <w:pPr>
        <w:ind w:right="60" w:firstLine="554"/>
        <w:spacing w:after="0" w:line="254" w:lineRule="auto"/>
        <w:rPr>
          <w:sz w:val="20"/>
          <w:szCs w:val="20"/>
          <w:color w:val="auto"/>
        </w:rPr>
      </w:pPr>
      <w:r>
        <w:rPr>
          <w:rFonts w:ascii="Times New Roman" w:cs="Times New Roman" w:eastAsia="Times New Roman" w:hAnsi="Times New Roman"/>
          <w:sz w:val="18"/>
          <w:szCs w:val="18"/>
          <w:color w:val="auto"/>
        </w:rPr>
        <w:t>Despite recent FDA approval of RYTELO, the outcome of any clinical activities and/or regulatory approval process is highly uncertain, we cannot reasonably estimate whether our future development activities may succeed; whether we will obtain regulatory approval for RYTELO in the EU in lower-risk MDS, or in any other jurisdictions or indications we are pursuing or may in the future pursue, or whether we will be able to effectively commercialize RYTELO in the U.S.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imetelstat, including potential commercialization in the EU for lower-risk MDS,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strategic partnerships, collaborations, alliances or licensing arrangements with third parties, including for the commercialization and marketing of RYTELO in certain regions outside of the U.S., if approved for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revenue from sales of RYTELO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Inc., the final $25.0 million tranche under the Loan Agreement, which is subject to the approval by an investment committee comprised of Hercules and SVB, capital lease transactions or other financing sources, may not be available on acceptable terms, or at all. We may be unable to raise equity capital, or may be forced to do so at a stock price or on other terms that could result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t>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or establish alternative collaborative arrangements with third-party collaborative partners for RYTELO, the development and commercialization of RYTELO may be further delayed, altered or abandoned, which might cause us to cease operations.</w:t>
      </w:r>
    </w:p>
    <w:p>
      <w:pPr>
        <w:spacing w:after="0" w:line="19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assure you that our existing capital resources, future interest income, future revenues from sales of RYTELO, potential future sales of our common stock, including under the 2023 Sales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operations for the six months ended June 30, 2024 and 2023 was $115.7 million and $76.0 million, respectively. The increase in net cash used in operations for the six months ended June 30, 2024, compared to the same period in 2023, primarily reflects an increase in net loss to $122.8 million, adjusted for non-cash items including stock based compensation expense related for employees and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$1.9 million for the six months ended June 30, 2024 and $223.2 million for the six months ended June 30, 2023. The decrease in net cash used in investing activities for the six months ended June 30, 2024, compared to the same period in 2023, primarily reflects decreased purchases of marketable securities, as well as increased proceeds from maturities of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and 2023 was $164.6 million and $299.4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material cash requirements in the short- and long-term consist of the following operational and manufacturing expenditures, a portion of which contain contractual or other obligations. We plan to fund our material cash requirements with our current financial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2" w:name="page33"/>
    <w:bookmarkEnd w:id="32"/>
    <w:p>
      <w:pPr>
        <w:ind w:right="160"/>
        <w:spacing w:after="0" w:line="282" w:lineRule="auto"/>
        <w:rPr>
          <w:sz w:val="20"/>
          <w:szCs w:val="20"/>
          <w:color w:val="auto"/>
        </w:rPr>
      </w:pPr>
      <w:r>
        <w:rPr>
          <w:rFonts w:ascii="Times New Roman" w:cs="Times New Roman" w:eastAsia="Times New Roman" w:hAnsi="Times New Roman"/>
          <w:sz w:val="18"/>
          <w:szCs w:val="18"/>
          <w:color w:val="auto"/>
        </w:rPr>
        <w:t>resources and may consider additional funding through a combination of additional equity and debt financings, new collaborative arrangements, strategic alliances, or from other 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primarily consist of our current and noncurrent debt obligations under the Loan Agreement with Hercules and SVB, as described above and in Note 4 on Debt in Notes to Condensed Consolidated Financial Statements of this quarterly report on Form 10-Q, and obligations under non-cancellable operating leases. The aggregate amount of our future operating lease payments was reported in our 2023 Form 10-K and there have been no changes to the contractual terms of our operating leases during the six months ended June 30, 2024.</w:t>
      </w:r>
    </w:p>
    <w:p>
      <w:pPr>
        <w:spacing w:after="0" w:line="143" w:lineRule="exact"/>
        <w:rPr>
          <w:sz w:val="20"/>
          <w:szCs w:val="20"/>
          <w:color w:val="auto"/>
        </w:rPr>
      </w:pPr>
    </w:p>
    <w:p>
      <w:pPr>
        <w:ind w:right="120" w:firstLine="509"/>
        <w:spacing w:after="0" w:line="228" w:lineRule="exact"/>
        <w:rPr>
          <w:sz w:val="20"/>
          <w:szCs w:val="20"/>
          <w:color w:val="auto"/>
        </w:rPr>
      </w:pPr>
      <w:r>
        <w:rPr>
          <w:rFonts w:ascii="Times New Roman" w:cs="Times New Roman" w:eastAsia="Times New Roman" w:hAnsi="Times New Roman"/>
          <w:sz w:val="18"/>
          <w:szCs w:val="18"/>
          <w:color w:val="auto"/>
        </w:rPr>
        <w:t>We have engaged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$62.5 million in the aggregate as of June 30, 2024. These purchase commitments can vary based on the commercial demand of RYTELO and are binding based on future manufacturing needs.</w:t>
      </w:r>
    </w:p>
    <w:p>
      <w:pPr>
        <w:spacing w:after="0" w:line="1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there were no material changes to our quantitative and qualitative disclosures about market risk as set forth in Part II, Item 7A "Quantitative and Qualitative Disclosures About Market Risk"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20" w:firstLine="58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quarterly report, that our disclosure controls and procedures were effective to provide reasonable assurance that the objectives of our disclosure control system were met.</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3" w:name="page34"/>
    <w:bookmarkEnd w:id="33"/>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See Note 7 on Contingencies and Uncertainties in Notes to Condensed Consolidated Financial Statements of this quarterly report on Form 10-Q for information on legal proceedings.</w:t>
      </w: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below, and this summary is qualified in its entirety by that discussion.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RYTELO</w:t>
      </w:r>
      <w:r>
        <w:rPr>
          <w:rFonts w:ascii="Times New Roman" w:cs="Times New Roman" w:eastAsia="Times New Roman" w:hAnsi="Times New Roman"/>
          <w:sz w:val="24"/>
          <w:szCs w:val="24"/>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(Imetelstat)</w:t>
      </w:r>
    </w:p>
    <w:p>
      <w:pPr>
        <w:spacing w:after="0" w:line="275" w:lineRule="exact"/>
        <w:rPr>
          <w:sz w:val="20"/>
          <w:szCs w:val="20"/>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near-term prospects are wholly dependent on RYTELO. If we are unable to successfully commercialize RYTELO in the U.S. for lower-risk MDS, or to expand its indication of use, our ability to generate meaningful revenue or achieve profitability will be materially and adversely affected.</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our sales, marketing, and distribution of RYTELO may be unsuccessful or less successful than anticipated.</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execute on our sales, marketing and distribution plans to commercialize RYTELO, we may be unable to generate meaningful product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acceptable prices or adequate reimbursement for RYTELO, the use of RYTELO could be severely limited.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commercially successful, RYTELO must be accepted by the healthcare community, which can be slow to adopt or unreceptive to new technologies and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RYTELO are smaller than we believe, our revenue may be adversely affected and our business may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and any failure by such distributors, specialty pharmacies and vendors could adversely affect our revenues, financial condition, or results of operations.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regulatory approval to commercialize RYTELO in the EU, and any such approval, if received, will be subject to pricing, drug marketing and reimbursement regulations in the EU, which may materially affect our ability to commercialize and receive reimbursement coverage for RYTELO in the EU.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of RYTELO</w:t>
      </w:r>
    </w:p>
    <w:p>
      <w:pPr>
        <w:spacing w:after="0" w:line="121" w:lineRule="exact"/>
        <w:rPr>
          <w:sz w:val="20"/>
          <w:szCs w:val="20"/>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regulatory approval from the FDA for RYTELO in the U.S. for lower-risk MDS, which would severely and adversely affect our business and business prospects, and might cause us to cease operations.</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approval for RYTELO in the U.S. for lower-risk MDS is subject to certain post-marketing requirements and commitments, and we may be subject to penalties or product withdrawal if we fail to comply with such regulatory requirements or commitments, or if we experience unanticipated problems with RYTELO.</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-654050</wp:posOffset>
            </wp:positionV>
            <wp:extent cx="285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Healthcare Laws</w:t>
      </w:r>
    </w:p>
    <w:p>
      <w:pPr>
        <w:spacing w:after="0" w:line="121" w:lineRule="exact"/>
        <w:rPr>
          <w:sz w:val="20"/>
          <w:szCs w:val="20"/>
          <w:color w:val="auto"/>
        </w:rPr>
      </w:pPr>
    </w:p>
    <w:p>
      <w:pPr>
        <w:jc w:val="both"/>
        <w:ind w:left="1020" w:right="1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other regulatory agencies actively enforce regulations prohibiting the promotion of any drug product for off-label uses, and if we were found to have improperly promoted off-label use of RYTELO, we could be subject to significant civil, criminal and administrative penalties.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health policy changes and healthcare reform both in the U.S. and outside the U.S. may adversely affect our business and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Further Development of RYTELO (Imetelstat)</w:t>
      </w:r>
    </w:p>
    <w:p>
      <w:pPr>
        <w:spacing w:after="0" w:line="121" w:lineRule="exact"/>
        <w:rPr>
          <w:sz w:val="20"/>
          <w:szCs w:val="20"/>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be able to continue to develop RYTELO (imetelstat) or advance it in clinical trials, or that we will be able to receive regulatory approval for RYTELO in any other indications in the U.S., the EU or any other region, on a timely basis or at all.</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(imetelstat) may cause, or have attributed to it, undesirable or unintended side effects or other adverse events that could halt or limit its commercialization, delay or prevent its regulatory approval in any other jurisdiction or indication, or cause us to delay or terminate our clinical trials.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imetelstat development program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RYTELO</w:t>
      </w:r>
    </w:p>
    <w:p>
      <w:pPr>
        <w:spacing w:after="0" w:line="121" w:lineRule="exact"/>
        <w:rPr>
          <w:sz w:val="20"/>
          <w:szCs w:val="20"/>
          <w:color w:val="auto"/>
        </w:rPr>
      </w:pPr>
    </w:p>
    <w:p>
      <w:pPr>
        <w:ind w:left="1020" w:right="60" w:hanging="503"/>
        <w:spacing w:after="0" w:line="266" w:lineRule="auto"/>
        <w:tabs>
          <w:tab w:leader="none" w:pos="10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that manufacture RYTELO fail to perform as needed, the commercial and clinical supply of RYTELO will be limited, and we may be unable to successfully commercialize RYTELO or conduct or complete current or potential future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Operating Results, Financial Position and Need for Additional Capital</w:t>
      </w:r>
    </w:p>
    <w:p>
      <w:pPr>
        <w:spacing w:after="0" w:line="121" w:lineRule="exact"/>
        <w:rPr>
          <w:sz w:val="20"/>
          <w:szCs w:val="20"/>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We expect to continue to incur net losses in the near term and may not achieve consistent future profitability for some time, if ever.</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unpredictable and may fluctuate. If our operating results are below the expectations of securities analysts or investors, the trading price of our common stock could decline.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additional capital would force us to further delay, reduce or eliminate the further development of imetelstat, or to halt the commercialization of RYTELO, any of which would severely and adversely affect our financial results, business and business prospects, and might cause us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21"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Protecting Our Intellectual Property</w:t>
      </w:r>
    </w:p>
    <w:p>
      <w:pPr>
        <w:spacing w:after="0" w:line="121" w:lineRule="exact"/>
        <w:rPr>
          <w:sz w:val="20"/>
          <w:szCs w:val="20"/>
          <w:color w:val="auto"/>
        </w:rPr>
      </w:pPr>
    </w:p>
    <w:p>
      <w:pPr>
        <w:ind w:left="1020" w:right="4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sufficient intellectual property protection for RYTELO, our competitors could develop and commercialize products similar or identical to RYTELO, and our ability to successfully commercialize RYTELO may be adversely affected.</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5" w:name="page36"/>
    <w:bookmarkEnd w:id="35"/>
    <w:p>
      <w:pPr>
        <w:jc w:val="both"/>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RYTELO for an adequate amount of time.</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scope and enforceability of any patents listed in the Orange Book that cover RYTELO or its methods of use can be challenged by third parties and may not protect us from generic or innovator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Systems, Data Security and Data Privacy</w:t>
      </w:r>
    </w:p>
    <w:p>
      <w:pPr>
        <w:spacing w:after="0" w:line="121" w:lineRule="exact"/>
        <w:rPr>
          <w:sz w:val="20"/>
          <w:szCs w:val="20"/>
          <w:color w:val="auto"/>
        </w:rPr>
      </w:pPr>
    </w:p>
    <w:p>
      <w:pPr>
        <w:ind w:left="1020" w:right="20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 and Financial Reporting</w:t>
      </w:r>
    </w:p>
    <w:p>
      <w:pPr>
        <w:spacing w:after="0" w:line="12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our stock price has been extremely volatile, and your investment may suffer a decline in value.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and those described below may not be the only risks and uncertainties we face. You should carefully consider the following risk factors, together with the information contained in our Annual Report on Form 10-K for the year ended December 31, 2023, filed with the Securities and Exchange Commission, or SEC, on February 28, 2024, including our consolidated financial statements and the related notes, and our other filings with the SEC, before deciding whether to invest in our common stock.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RYTELO</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near-term prospects are wholly dependent on RYTELO. If we are unable to successfully commercialize RYTELO in the U.S. for lower-risk MDS, or to expand its indication of use, our ability to generate meaningful revenue or achieve profitability will be materially and adversely affected.</w:t>
      </w:r>
    </w:p>
    <w:p>
      <w:pPr>
        <w:spacing w:after="0" w:line="159"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In June 2024, we received FDA approval to commercialize RYTELO in the U.S. for lower-risk MDS, and we have initiated a commercial launch of RYTELO in the U.S. in that indication. RYTELO is our only product approved for marketing by the FDA and our ability to generate revenue from product sales and achieve profitability is wholly dependent on our ability to successfully commercialize RYTELO in the U.S. for lower-risk MDS or to expand its indications of use. We may not be able to successfully commercialize RYTELO for a number of reasons, including:</w:t>
      </w:r>
    </w:p>
    <w:p>
      <w:pPr>
        <w:spacing w:after="0" w:line="72" w:lineRule="exact"/>
        <w:rPr>
          <w:sz w:val="20"/>
          <w:szCs w:val="20"/>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or demonstrate in the medical community the safety and efficacy of RYTELO and its potential advantages over and side effects compared to existing treatments;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may be reluctant to prescribe RYTELO until longer-term efficacy and safety data exists;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historical experience in marketing, selling and distributing RYTELO;</w:t>
      </w:r>
    </w:p>
    <w:p>
      <w:pPr>
        <w:spacing w:after="0" w:line="11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coverage policies of government and private payers such as Medicare, Medicaid, insurance companies, health maintenance organizations and other plan administrators;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price of RYTELO as compared to alternative treatment options;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incidence and prevalence of patients in RYTELO’s approved indication, including the reliability of our market and sales estimates;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regulatory approvals for RYTELO in any other jurisdictions or for any other indications, including in the EU for lower-risk MDS or in any other jurisdiction for relapsed/refractory MF;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changed or increased regulatory restrictions;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label for RYTELO that further restrict how we market and sell RYTELO, including adverse events observed in ongoing and future studies of imetelstat such as our Phase 3 IMpactMF clinical trial;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6" w:name="page37"/>
    <w:bookmarkEnd w:id="36"/>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adequate financial or other resources to successfully commercialize RYTELO;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adequate commercial supplies of RYTELO to meet demand or at an acceptable cost or at all.</w:t>
      </w:r>
    </w:p>
    <w:p>
      <w:pPr>
        <w:spacing w:after="0" w:line="25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our sales, marketing, and distribution of RYTELO may be unsuccessful or less successful than anticipated.</w:t>
      </w:r>
    </w:p>
    <w:p>
      <w:pPr>
        <w:spacing w:after="0" w:line="15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As a company, we have no prior experience in selling and marketing or commercializing an approved drug product. The success of our commercialization efforts is difficult to predict and subject to, among other things, continued development of our internal sales, marketing, and distribution capabilities and our ability to navigate the significant expenses and risks involved with the development and management of such capabilities. For example, our commercial launch may not develop as planned or anticipated, which may require us to, among others, adjust or amend our commercialization plan and incur significant expenses. Further, given our lack of historical experience commercializing drug products, we do not have a track record of successfully executing a commercial launch. If we are unsuccessful in accomplishing our objectives or if our commercialization efforts do not proceed as planned, we may not be able to successfully commercialize RYTELO in lower-risk MDS, we may require significant additional capital and financial resources, we may not become profitable, and we may not be able to compete against more established companies in our industry, any of which would severely and adversely affect our financial results, business and business prospects, and might cause us to cease operations.</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execute on our sales, marketing and distribution plans to commercialize RYTELO, we may be unable to generate meaningful product revenue.</w:t>
      </w:r>
    </w:p>
    <w:p>
      <w:pPr>
        <w:spacing w:after="0" w:line="159"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To successfully commercialize RYTELO, we need to continue to execute on our sales, marketing and distribution plans. The ongoing execution of our sales, marketing and distribution plans is, and will continue to be, expensive and time-consuming and we cannot be certain that we will be able to execute on these plans successfully.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and sales personnel and equip them with compliant and effective materials, our efforts to successfully commercialize RYTELO could be adversely affected. In addition, if we receive regulatory approval to commercialize RYTELO in any other regions, such as the EU, we may seek strategic partnerships, collaborations, alliances or licensing arrangements, at an appropriate time, to assist us in the potential development and commercialization of RYTELO, or we may need to establish business operations in such regions. We may be unsuccessful in our efforts to recruit, hire, train and retain personnel to support such business operations; or we may be unable to enter into and conduct successful strategic partnerships, collaborations, alliances or licensing arrangements with third parties to commercialize RYTELO in such regions, should we seek to do so. Any of the foregoing would negatively impact our business and business prospects, severely and adversely affect our financial results, and might cause us to cease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acceptable prices or adequate reimbursement for RYTELO, the use of RYTELO could be severely limited.</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ability to successfully commercialize RYTELO will depend significantly on obtaining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RYTELO by a third-party payor,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will be critical to market acceptance of RYTELO.</w:t>
      </w:r>
    </w:p>
    <w:p>
      <w:pPr>
        <w:spacing w:after="0" w:line="189"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Further, the status of reimbursement codes for RYTELO could also affect reimbursement. J-Codes are reimbursement codes maintained by the Centers for Medicare and Medicaid Services, or CMS, that are a component of the Healthcare Common Procedure Coding System and are typically used to report drugs that ordinarily cannot be self-administered. We do not currently have a specific J-Code for RYTELO, and cannot guarantee that a J-Code will be granted. To the extent separate coverage or reimbursement is available for RYTELO, and a specific J-Code is not available, physicians would need to use a non-specific miscellaneous J-Code to bill third-party payors for RYTELO. Because miscellaneous J-Codes may be used for a wide variety of products, health plans may have more difficulty determining the actual product used and billed for the patient. These claims must often be submitted with additional information and manually processed, which can delay claims processing times as well as increase the likelihood for claim denials and claim errors.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7" w:name="page38"/>
    <w:bookmarkEnd w:id="37"/>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or the Inflation Reduction Act, includes several provisions to lower prescription drug costs for people with Medicare and reduce drug spending by the federal government, which may ultimately have a negative effect on the pricing for RYTELO.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RYTELO,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RYTELO. If coverage and reimbursement are not available or reimbursement is available only to limited levels, we may not successfully commercialize RYTELO, which would negatively impact our business and business prospects.</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RYTELO must be accepted by the healthcare community, which can be slow to adopt or unreceptive to new technologies and products.</w:t>
      </w:r>
    </w:p>
    <w:p>
      <w:pPr>
        <w:spacing w:after="0" w:line="15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7"/>
          <w:szCs w:val="17"/>
          <w:color w:val="auto"/>
        </w:rPr>
        <w:t>RYTELO may not achieve market acceptance in the U.S. for lower-risk MDS or any other indication that might be approved in the future, or achieve the potential U.S. or international revenue we believe may be possible, since hospitals, physicians, patients or the medical community in general may decide not to accept and utilize RYTELO. RYTELO competes with a number of conventional and widely accepted drugs and therapies manufactured and marketed by major pharmaceutical companies. The degree of market acceptance of RYTELO depends on a number of factors, including:</w:t>
      </w:r>
    </w:p>
    <w:p>
      <w:pPr>
        <w:spacing w:after="0" w:line="5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RYTELO is or may in the future be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demonstration to the medical community of the clinical efficacy and safety of RYTELO;</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that RYTELO is superior to alternatives on the market at the time, including with respect to efficacy, safety, cost or route of administration;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RYTELO, or to continue to use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unfavorable safety or efficacy data concerning RYTELO by third parties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use of RYTELO alone or in combination with other products;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 for RYTELO, as well as any such claims allowed by similar international regulatory authorities for RYTELO, if any, including usage for only certain indications and any limitations or warnings about the prevalence or severity of any side effects;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RYTELO as well as competitive products, including sequencing of available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support for RYTELO;</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 party distributors and specialty pharmacies we contract with to process prescriptions and dispense RYTELO and the processes required to place orders with such distributors and specialty pharmacies;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RYTELO is approved for inclusion on formularies in hospitals and managed care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RYTELO, both in absolute terms and relative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government and third-party payors;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including governmental authorities.</w:t>
      </w:r>
    </w:p>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demonstrate any therapeutic or economic advantage for RYTELO compared to established or standard-of-care therapies, or newly developed therapies, for myeloid hematologic malignancies.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ind w:right="740"/>
        <w:spacing w:after="0" w:line="282" w:lineRule="auto"/>
        <w:rPr>
          <w:sz w:val="20"/>
          <w:szCs w:val="20"/>
          <w:color w:val="auto"/>
        </w:rPr>
      </w:pPr>
      <w:r>
        <w:rPr>
          <w:rFonts w:ascii="Times New Roman" w:cs="Times New Roman" w:eastAsia="Times New Roman" w:hAnsi="Times New Roman"/>
          <w:sz w:val="18"/>
          <w:szCs w:val="18"/>
          <w:color w:val="auto"/>
        </w:rPr>
        <w:t>foregoing reasons, or for any other reasons, our ability to commercialize RYTELO in the U.S. for lower-risk MDS may be negatively impacted or precluded altogether, which would seriously and adversely affect our business and business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RYTELO are smaller than we believe, our revenue may be adversely affected, and our business may suffer.</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patients with lower-risk MDS in the U.S. Additionally, the potentially addressable patient population for RYTELO may not ultimately be amenable to treatment with RYTELO, or we may be unable to successfully identify patients and achieve a significant market share in RYTELO's approved indication, or initial sales of RYTELO may deplete the prevalence pool of patients in the RYTELO’s approved indication more quickly than expected, which would have a negative impact on sales of RYTELO in the future. Our commercialization of RYTELO in the U.S. is limited to lower-risk MDS, and any future potential commercialization will be limited to the therapeutic indications examined in our clinical trials and as determined by the FDA and similar international regulatory 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w:t>
      </w:r>
    </w:p>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market opportunity may also be limited by the pricing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w:t>
      </w:r>
    </w:p>
    <w:p>
      <w:pPr>
        <w:spacing w:after="0" w:line="17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network of third party distributors, specialty pharmacies and other vendors to distribute RYTELO, and any failure by such distributors, specialty pharmacies and vendors could adversely affect our revenues, financial condition, or results of operations.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rely on a select network of third party distributors, specialty pharmacies and other vendors to distribute RYTELO,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seeking regulatory approval to commercialize RYTELO in the EU, and any such approval, if received, will be subject to pricing, drug marketing and reimbursement regulations in the EU, which may materially affect our ability to commercialize and receive reimbursement coverage for RYTELO in the EU.</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seeking approval to market RYTELO in the EU for lower-risk MDS. If we obtain approval for RYTELO in the EU, we will be subject to rules and regulations in the EU, and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In addition, if approved, market acceptance and sales of RYTELO will depend significantly on the availability of adequate coverage and reimbursement from third-party payors for RYTELO and may be affected by existing and future healthcare reform measures.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laws of EU member states. Infringement of these laws could result in substantial fines and imprisonment.</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9" w:name="page40"/>
    <w:bookmarkEnd w:id="39"/>
    <w:p>
      <w:pPr>
        <w:spacing w:after="0" w:line="253" w:lineRule="auto"/>
        <w:rPr>
          <w:sz w:val="20"/>
          <w:szCs w:val="20"/>
          <w:color w:val="auto"/>
        </w:rPr>
      </w:pPr>
      <w:r>
        <w:rPr>
          <w:rFonts w:ascii="Times New Roman" w:cs="Times New Roman" w:eastAsia="Times New Roman" w:hAnsi="Times New Roman"/>
          <w:sz w:val="18"/>
          <w:szCs w:val="18"/>
          <w:color w:val="auto"/>
        </w:rPr>
        <w:t>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If RYTELO is approved for commercialization in the EU, in some countries,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if it is approved for marketing in the EU.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have existing products or develop new products, product candidates or technologies that are superior to or more cost-effective than RYTELO, this could significantly impact the commercial viability and further development of RYTELO, which would severely and adversely affect our financial results, business and business prospects.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telomeres and telomerase; clinical data to date;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will compete with other products and therapies that currently exist, are being developed or will in the future be developed, some of which we may not currently be aware of. For a description of the competition that RYTELO may face in our lead indications of lower-risk MDS and relapsed/refractory MF, see Item 1, “Business - Competition” in our 2023 Form 10-K.</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Competitors may have or develop more commercially desirable or affordable products than RYTELO, or achieve earlier or longer patent and regulatory exclusivity protection or product commercialization than we may be able to achieve with RYTELO. Some of these products may have an entirely different approach or means of accomplishing therapeutic effects similar or superior to those that may be demonstrated by RYTELO. Competitors may have or develop products that are safer, more effective, or less costly than RYTELO, or more convenient to administer to patients. In addition, competitors may price their products below our price for RYTELO, may receive better third-party payor coverage and/or reimbursement, or may be more cost-effective than RYTELO. Such competitive products or activities by competitors may limit the commercial potential of RYTELO, which may cause us to cease commercialization and any further development of RYTELO, which would severely and adversely affect our financial results, business and business prospects, and might cause us to cease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RYTELO</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regulatory approval from the FDA for RYTELO in the U.S. for lower-risk MDS, which would severely and adversely affect our business and business prospects, and might cause us to cease operations.</w:t>
      </w:r>
    </w:p>
    <w:p>
      <w:pPr>
        <w:spacing w:after="0" w:line="159"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In June 2024, we received regulatory approval from the FDA to commercialize RYTELO in the U.S. in lower-risk MDS. Federal, state and local governments in the U.S. have significant regulations in place that may limit or prevent us from successfully commercializing RYTELO in the U.S. for lower-risk MDS. We do not currently have regulatory approval for RYTELO in any other jurisdiction or for any other indication, and governments in other jurisdictions have significant regulations that may limit or prevent us from successfully commercializing RYTELO in other jurisdictions. Failure to maintain regulatory approval for RYTELO from the FDA in the U.S. for lower-risk MDS, or delays in obtaining, failure to obtain, or limitations in the scope of such approvals in any other jurisdictions or for any other indications, could:</w:t>
      </w:r>
    </w:p>
    <w:p>
      <w:pPr>
        <w:spacing w:after="0" w:line="79" w:lineRule="exact"/>
        <w:rPr>
          <w:sz w:val="20"/>
          <w:szCs w:val="20"/>
          <w:color w:val="auto"/>
        </w:rPr>
      </w:pPr>
    </w:p>
    <w:p>
      <w:pPr>
        <w:ind w:left="1020" w:right="6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withdrawal of RYTELO from the market or could otherwise delay, limit or preclude any revenue we may receive from the commercialization of RYTELO in the U.S. for lower-risk MDS;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harm the commercial potential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halt or increase the costs of our activities and plans for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may have been available to us; or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preclude any revenue we may receive from the future commercialization of RYTELO in any other jurisdictions or for any other indications,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Commercialization and sales of RYTELO are subject to government regulations related to numerous matters, including the processes of:</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and to the extent that, we are unable to comply with these regulations, our ability to earn revenue from the commercialization of RYTELO will be materially and adversely impacted.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if RYTELO causes serious or unexpected side effects, or if other safety risks are observed as a result of our commercialization efforts for RYTELO in the U.S. in lower-risk MDS or in current or potential future clinical trials, a number of potential significant negative consequences could result, including:</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withdraw its approval of RYTELO;</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RYTELO, seek to change the way it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revisions to the labeling of RYTELO, including limitations on approved uses or the addition of further warnings, contraindications or other safety information, or may impose restrictions on distribution in the form of REMS;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supply disruptions if regulatory inspectors identify regulatory noncompliance by third-party manufacturers requiring remediation;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be rendered less competitive and sales, if any, may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generally both among clinicians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potential lawsuits and associated legal expenses, including costs of resolving claims;</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international regulatory authorities may refuse to approve pending applications, such as our MAA in the EU, or supplements to approved applications filed by us, or may suspend or revoke license approvals; or</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or stop ongoing clinical trials of RYTELO (imetelstat), which would negatively impact the development of RYTELO (imetelstat) for other potential indications.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w:t>
      </w:r>
    </w:p>
    <w:p>
      <w:pPr>
        <w:spacing w:after="0" w:line="17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regulatory approval for RYTELO in the U.S. for lower-risk MDS is subject to post-marketing requirements and commitments, and we may be subject to penalties or product withdrawal if we fail to comply with these regulatory requirements and commitments or if we experience unanticipated problems with RYTELO.</w:t>
      </w:r>
    </w:p>
    <w:p>
      <w:pPr>
        <w:spacing w:after="0" w:line="175"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Our regulatory approval for RYTELO in lower-risk MDS is subject to clinical, non-clinical and manufacturing post-marketing requirements and commitments, including the requirement of continuing to assess long-term safety of RYTELO (imetelstat) in the IMerge trial and a clinical trial to evaluate alternative dosing regimens in lower-risk MDS, with timelines for completion and reporting established by the FDA.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ind w:right="80" w:firstLine="584"/>
        <w:spacing w:after="0" w:line="282" w:lineRule="auto"/>
        <w:rPr>
          <w:sz w:val="20"/>
          <w:szCs w:val="20"/>
          <w:color w:val="auto"/>
        </w:rPr>
      </w:pPr>
      <w:r>
        <w:rPr>
          <w:rFonts w:ascii="Times New Roman" w:cs="Times New Roman" w:eastAsia="Times New Roman" w:hAnsi="Times New Roman"/>
          <w:sz w:val="18"/>
          <w:szCs w:val="18"/>
          <w:color w:val="auto"/>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RYTELO manufacturing, distribution or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labeling or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post-marketing requirements or commitments; warning letters, withdrawal of RYTELO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 of imetelstat in other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 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If we are unable to fulfill the post-marketing requirements and commitments established by the FDA for RYTELO in lower-risk MDS, or that may be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spacing w:after="0" w:line="175"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 other than the U.S., and for relapsed/refractory MF or for any other indications, which could significantly harm our business and business prospects, and might cause us to cease operations.</w:t>
      </w:r>
    </w:p>
    <w:p>
      <w:pPr>
        <w:spacing w:after="0" w:line="187"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Europe. Although RYTELO is approved in the U.S. in lower-risk MDS and the EMA has validated our MAA for RYTELO for lower-risk MDS, there can be no assurance that we will receive regulatory approval from the European Commission for the commercialization of RYTELO for lower-risk MDS in the EU in a timely manner, or at all. Further, because non-clinical and clinical data are often susceptible to varying interpretations and analyses, the EMA may disagree with our interpretation of the data and may require additional clinical testing and/or further analyses from completed clinical or non-clinical trials before we can obtain regulatory approval and begin commercialization of RYTELO for lower-risk MDS in the EU, if at all, any of which could result in increased costs to us, or could delay or limit our ability to generate revenue from sales in the EU and adversely affect our commercial prospects.</w:t>
      </w:r>
    </w:p>
    <w:p>
      <w:pPr>
        <w:spacing w:after="0" w:line="194"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Even though we reported positive top-line results from IMerge Phase 3 in January 2023 and received regulatory approval from the FDA in June 2024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w:t>
      </w:r>
    </w:p>
    <w:p>
      <w:pPr>
        <w:spacing w:after="0" w:line="180" w:lineRule="exact"/>
        <w:rPr>
          <w:sz w:val="20"/>
          <w:szCs w:val="20"/>
          <w:color w:val="auto"/>
        </w:rPr>
      </w:pPr>
    </w:p>
    <w:p>
      <w:pPr>
        <w:ind w:right="280" w:firstLine="584"/>
        <w:spacing w:after="0" w:line="282" w:lineRule="auto"/>
        <w:rPr>
          <w:sz w:val="20"/>
          <w:szCs w:val="20"/>
          <w:color w:val="auto"/>
        </w:rPr>
      </w:pPr>
      <w:r>
        <w:rPr>
          <w:rFonts w:ascii="Times New Roman" w:cs="Times New Roman" w:eastAsia="Times New Roman" w:hAnsi="Times New Roman"/>
          <w:sz w:val="18"/>
          <w:szCs w:val="18"/>
          <w:color w:val="auto"/>
        </w:rPr>
        <w:t>Any of these events may result in a failure to further develop, obtain regulatory approval for or commercialize RYTELO in any indication other than lower-risk MDS in the U.S., which could severely and adversely affect our business and business prospects.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2" w:name="page43"/>
    <w:bookmarkEnd w:id="42"/>
    <w:p>
      <w:pPr>
        <w:ind w:firstLine="584"/>
        <w:spacing w:after="0" w:line="254" w:lineRule="auto"/>
        <w:rPr>
          <w:sz w:val="20"/>
          <w:szCs w:val="20"/>
          <w:color w:val="auto"/>
        </w:rPr>
      </w:pPr>
      <w:r>
        <w:rPr>
          <w:rFonts w:ascii="Times New Roman" w:cs="Times New Roman" w:eastAsia="Times New Roman" w:hAnsi="Times New Roman"/>
          <w:sz w:val="18"/>
          <w:szCs w:val="18"/>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w:t>
      </w:r>
    </w:p>
    <w:p>
      <w:pPr>
        <w:spacing w:after="0" w:line="188" w:lineRule="exact"/>
        <w:rPr>
          <w:sz w:val="20"/>
          <w:szCs w:val="20"/>
          <w:color w:val="auto"/>
        </w:rPr>
      </w:pPr>
    </w:p>
    <w:p>
      <w:pPr>
        <w:jc w:val="both"/>
        <w:ind w:right="60" w:firstLine="584"/>
        <w:spacing w:after="0" w:line="282"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can delay, limit or deny approval of RYTELO in other indications or outside of the U.S. for any indication, or require us to conduct additional non-clinical or clinical testing or abandon a program for many reasons, including:</w:t>
      </w:r>
    </w:p>
    <w:p>
      <w:pPr>
        <w:spacing w:after="0" w:line="270"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our statistical analysis of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RYTELO’s efficacy results provide sufficient evidence of overall clinical benefit;</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benefit-to-risk assessment, in the case of marginal efficacy and/or clinically relevant safety concerns, for any proposed indication;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RYTELO or drugs similar to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by the FDA of foreign data included in any future supplemental NDA, or sNDA, submissions for any future indications and the non-applicability of this data to the U.S. population and U.S. medical practice;</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EMA, or similar international regulatory authorities that regulatory approval for RYTELO should be narrowed or made more restrictive than our current approval in the U.S. for lower-risk MDS, or any future indication for which approval is sought, if any;</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requirement to develop a risk management plan for the EU, including any post-marketing studies, as a potential condition to approval in the EU for lower-risk MDS;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regarding the formulation, labeling and/or the specifications for RYTELO in the EU;</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quality or stability of RYTELO to meet acceptable regulatory standards;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or the competent authorities of the individual EU Member States or similar international regulatory authorities may lack resources or be delayed in conducting pre-approval inspections due to lack of resources or other reasons;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GMP, GCP, or other applicable regulatory and other requirements to the satisfaction of the FDA, the EMA, the competent authorities of the individual EU Member States or similar international regulatory authorities; or</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162" w:lineRule="exact"/>
        <w:rPr>
          <w:sz w:val="20"/>
          <w:szCs w:val="20"/>
          <w:color w:val="auto"/>
        </w:rPr>
      </w:pPr>
    </w:p>
    <w:p>
      <w:pPr>
        <w:ind w:right="20" w:firstLine="629"/>
        <w:spacing w:after="0" w:line="266" w:lineRule="auto"/>
        <w:rPr>
          <w:sz w:val="20"/>
          <w:szCs w:val="20"/>
          <w:color w:val="auto"/>
        </w:rPr>
      </w:pPr>
      <w:r>
        <w:rPr>
          <w:rFonts w:ascii="Times New Roman" w:cs="Times New Roman" w:eastAsia="Times New Roman" w:hAnsi="Times New Roman"/>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w:t>
      </w:r>
    </w:p>
    <w:p>
      <w:pPr>
        <w:spacing w:after="0" w:line="176" w:lineRule="exact"/>
        <w:rPr>
          <w:sz w:val="20"/>
          <w:szCs w:val="20"/>
          <w:color w:val="auto"/>
        </w:rPr>
      </w:pPr>
    </w:p>
    <w:p>
      <w:pPr>
        <w:jc w:val="both"/>
        <w:ind w:right="240" w:firstLine="584"/>
        <w:spacing w:after="0" w:line="266" w:lineRule="auto"/>
        <w:rPr>
          <w:sz w:val="20"/>
          <w:szCs w:val="20"/>
          <w:color w:val="auto"/>
        </w:rPr>
      </w:pPr>
      <w:r>
        <w:rPr>
          <w:rFonts w:ascii="Times New Roman" w:cs="Times New Roman" w:eastAsia="Times New Roman" w:hAnsi="Times New Roman"/>
          <w:sz w:val="18"/>
          <w:szCs w:val="18"/>
          <w:color w:val="auto"/>
        </w:rPr>
        <w:t>Any marketing approval that we may receive for RYTELO in the EU for lower-risk MDS, or in any other country for any other indication, may also be limited or subject to restrictions or post-approval commitments that increase our costs or render RYTELO not commercially viable, which would harm our business and business prospects.</w:t>
      </w:r>
    </w:p>
    <w:p>
      <w:pPr>
        <w:spacing w:after="0" w:line="176"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Regulatory authorities may also not approve the labeling claims that are necessary or desirable for the successful commercialization of a drug, such as RYTELO. For example, although we received regulatory approval from the FDA in June 2024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3" w:name="page44"/>
    <w:bookmarkEnd w:id="43"/>
    <w:p>
      <w:pPr>
        <w:ind w:right="60"/>
        <w:spacing w:after="0" w:line="255" w:lineRule="auto"/>
        <w:rPr>
          <w:sz w:val="20"/>
          <w:szCs w:val="20"/>
          <w:color w:val="auto"/>
        </w:rPr>
      </w:pPr>
      <w:r>
        <w:rPr>
          <w:rFonts w:ascii="Times New Roman" w:cs="Times New Roman" w:eastAsia="Times New Roman" w:hAnsi="Times New Roman"/>
          <w:sz w:val="18"/>
          <w:szCs w:val="18"/>
          <w:color w:val="auto"/>
        </w:rPr>
        <w:t>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89"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the price of our common stock, our business and business prospects, and might cause us to cease operations.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regulatory approval to commercialize RYTELO in the EU for lower-risk MDS or any other indication, we may experience additional risks related to marketing outside of the U.S. that could materially adversely affect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seeking regulatory approval to market RYTELO in the EU, and may be subject to additional risks, including, if regulatory approval is obtained from the European Commission, risks related to operating outside of the U.S., such as:</w:t>
      </w:r>
    </w:p>
    <w:p>
      <w:pPr>
        <w:spacing w:after="0" w:line="54" w:lineRule="exact"/>
        <w:rPr>
          <w:sz w:val="20"/>
          <w:szCs w:val="20"/>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Commission and other foreign regulatory approvals, if any, may take longer and be more costly to obtain than approvals in the U.S., due to differing regulatory requirements in foreign countries;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and other regulatory authorities outside of the U.S. may disagree with the design, implementation or results of our clinical trials or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EMA or other regulatory authorities outside of the U.S. may significantly change in a manner rendering our clinical data insufficient for potential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legal requirements applicable to privacy, data protection, information security and other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taxes outside of the U.S., including withholding and payroll taxes;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operations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regulations outside of the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FDA granted orphan drug designation to RYTELO in June 2015 for the treatment of MF and for the treatment of MDS in December 2015, and the European Commission granted orphan drug designation in December 2015 to RYTELO for the treatment of MF and in July 2020 for the treatment of MDS. Orphan drug exclusivity confers seven and 10 years of exclusivity in the U.S. and E.U., respectively, following approval, subject to satisfying regulatory requirements. The FDA has confirmed seven years of orphan drug exclusivity for RYTELO following its approval on June 6, 2024 for its approved indication in lower-risk MDS. Designation as an orphan drug does not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lose orphan drug exclusivity for certain reasons, including if the FDA or the European Commission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maintain orphan drug exclusivity for RYTELO, the exclusivity may not effectively protect RYTELO from all competition because different drugs with different active moieties can be approved for the same condition. Even after an orphan drug product is approved, such as the approval of RYTELO in the U.S. for lower-risk MDS in June 2024, the FDA or the European Commission can subsequently approve a different drug with the same active moiety for the same condition, if the FDA or the European Commission concludes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such as our pending MAA for RYTELO in lower-risk MDS in the EU, orphan drug designation will neither shorten the development time nor regulatory review time for RYTELO, and it does not give RYTELO any advantage in the regulatory review or approval process.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COMPLIANCE WITH HEALTHCARE LAWS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regulations prohibiting the promotion of any drug product for off-label uses, and if we were found to have improperly promoted off-label use of RYTELO, we could be subject to significant civil, criminal and administrative penalties.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RYTELO,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spacing w:after="0" w:line="29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in our 2023 Form 10-K.</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significant civil, criminal and administrative penalties, damages, monetary fines, disgorgement and imprisonment;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profits and future earnings;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 policy changes and healthcare reform both in the U.S. and outside the U.S. may adversely affect our business and financial results.</w:t>
      </w:r>
    </w:p>
    <w:p>
      <w:pPr>
        <w:spacing w:after="0" w:line="159"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our 2023 Form 10-K.</w:t>
      </w:r>
    </w:p>
    <w:p>
      <w:pPr>
        <w:spacing w:after="0" w:line="189"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containment and healthcare reform measures. Such policy actions could have a material adverse impact on future sales of RYTELO in the U.S.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RISKS RELATED TO THE FURTHER DEVELOPMENT OF RYTELO (IMETELSTAT)</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continue to develop RYTELO (imetelstat) or advance it in clinical trials, or that we will be able to receive regulatory approval for RYTELO in any other indications in the U.S., the EU or any other region, on a timely basis or at all.</w:t>
      </w:r>
    </w:p>
    <w:p>
      <w:pPr>
        <w:spacing w:after="0" w:line="159"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We are wholly dependent on the success of RYTELO (imetelstat), which is our only product approved for marketing by the FDA and our ability to generate revenue from product sales and achieve profitability is wholly dependent on our ability to successfully commercialize RYTELO or to expand its indications of use. In this regard, in addition to lower-risk MDS, which is the only indication for which RYTELO has received marketing approval in the U.S., we are developing imetelstat for the treatment of several myeloid hematologic malignancies. Our ability to further develop imetelstat and to expand its indications of use to other myeloid hematologic malignancies is subject to significant risks and uncertainties, including, among other things, our ability to:</w:t>
      </w:r>
    </w:p>
    <w:p>
      <w:pPr>
        <w:spacing w:after="0" w:line="295" w:lineRule="exact"/>
        <w:rPr>
          <w:sz w:val="20"/>
          <w:szCs w:val="20"/>
          <w:color w:val="auto"/>
        </w:rPr>
      </w:pPr>
    </w:p>
    <w:p>
      <w:pPr>
        <w:ind w:left="1020" w:right="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to commercialize RYTELO in lower-risk MDS from the European Commission without the requirement for the conduct and completion of additional pre-approval clinical trials or further analyses, testing or development commitments, if at all, any of which could result in increased costs to us, and delay, limit or preclude our ability to generate revenue in the EU;</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capital when needed in order to enable us to further advance imetelstat clinical trials in other myeloid hematologic malignancies;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clearances and approvals to enable continued clinical development of imetelstat;</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sufficient qualified and experienced personnel to support the development and commercialization of RYTELO in potential other approved indications;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arrangements with third parties to provide services needed to support the commercialization of RYTELO for territories outside of the U.S. in compliance with applicable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of RYTELO treatment by patients and the relevant medical communities;</w:t>
      </w:r>
    </w:p>
    <w:p>
      <w:pPr>
        <w:spacing w:after="0" w:line="117"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approved treatments in lower-risk MDS, and relapsed/refractory MF if imetelstat is approved in relapsed/refractory MF, and potentially other myeloid hematologic malignancies;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RYTELO from governmental authorities, private health insurers and other third-party payors;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enforce adequate intellectual property and regulatory exclusivity for RYTELO both in the U.S. and globally.</w:t>
      </w:r>
    </w:p>
    <w:p>
      <w:pPr>
        <w:spacing w:after="0" w:line="225" w:lineRule="exact"/>
        <w:rPr>
          <w:sz w:val="20"/>
          <w:szCs w:val="20"/>
          <w:color w:val="auto"/>
        </w:rPr>
      </w:pPr>
    </w:p>
    <w:p>
      <w:pPr>
        <w:ind w:right="460" w:firstLine="629"/>
        <w:spacing w:after="0" w:line="261" w:lineRule="auto"/>
        <w:rPr>
          <w:sz w:val="20"/>
          <w:szCs w:val="20"/>
          <w:color w:val="auto"/>
        </w:rPr>
      </w:pPr>
      <w:r>
        <w:rPr>
          <w:rFonts w:ascii="Times New Roman" w:cs="Times New Roman" w:eastAsia="Times New Roman" w:hAnsi="Times New Roman"/>
          <w:sz w:val="18"/>
          <w:szCs w:val="18"/>
          <w:color w:val="auto"/>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prospects and our ability to raise additional capital.</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47" w:name="page48"/>
    <w:bookmarkEnd w:id="47"/>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imetelstat could be interrupted, delayed, terminated or abandoned for a variety of reasons which could severely and adversely affect our financial results, business and business prospects.</w:t>
      </w:r>
    </w:p>
    <w:p>
      <w:pPr>
        <w:spacing w:after="0" w:line="159" w:lineRule="exact"/>
        <w:rPr>
          <w:sz w:val="20"/>
          <w:szCs w:val="20"/>
          <w:color w:val="auto"/>
        </w:rPr>
      </w:pPr>
    </w:p>
    <w:p>
      <w:pPr>
        <w:ind w:right="540" w:firstLine="584"/>
        <w:spacing w:after="0" w:line="282" w:lineRule="auto"/>
        <w:rPr>
          <w:sz w:val="20"/>
          <w:szCs w:val="20"/>
          <w:color w:val="auto"/>
        </w:rPr>
      </w:pPr>
      <w:r>
        <w:rPr>
          <w:rFonts w:ascii="Times New Roman" w:cs="Times New Roman" w:eastAsia="Times New Roman" w:hAnsi="Times New Roman"/>
          <w:sz w:val="18"/>
          <w:szCs w:val="18"/>
          <w:color w:val="auto"/>
        </w:rPr>
        <w:t>The conduct and completion of our clinical trials could be interrupted, delayed or abandoned for a variety of reasons, including as a result of clinical trial failures, suspensions, terminations or delays related to:</w:t>
      </w:r>
    </w:p>
    <w:p>
      <w:pPr>
        <w:spacing w:after="0" w:line="270" w:lineRule="exact"/>
        <w:rPr>
          <w:sz w:val="20"/>
          <w:szCs w:val="20"/>
          <w:color w:val="auto"/>
        </w:rPr>
      </w:pPr>
    </w:p>
    <w:p>
      <w:pPr>
        <w:ind w:left="1020" w:right="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and retention challenges and operational delays, including in connection with opening new clinical trial sites, while also competing with clinical trials for other investigational drugs in the same patient population;</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trial endpoints such as overall survival, that inherently require prolonged periods of clinical observation or analysis of the resulting data to determine trial outcomes, including the need for a certain number of events, or deaths, to occur in IMpactMF prior to the interim or final analysis in that trial of overall survival;</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and/or maintaining regulatory clearances in the U.S. or other countries to commence, conduct or modify current or potential future clinical trials of imetelstat, in a timely manner, or at all;</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spacing w:after="0" w:line="176"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Failures or delays with respect to any of these events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RYTELO (imetelstat) may cause, or have attributed to it, undesirable or unintended side effects or other adverse events that could halt or limit its commercialization, delay or prevent its regulatory approval in any other jurisdiction or indication, or cause us to delay or terminate our clinical trials.</w:t>
      </w:r>
    </w:p>
    <w:p>
      <w:pPr>
        <w:spacing w:after="0" w:line="159" w:lineRule="exact"/>
        <w:rPr>
          <w:sz w:val="20"/>
          <w:szCs w:val="20"/>
          <w:color w:val="auto"/>
        </w:rPr>
      </w:pPr>
    </w:p>
    <w:p>
      <w:pPr>
        <w:ind w:right="260" w:firstLine="584"/>
        <w:spacing w:after="0" w:line="282" w:lineRule="auto"/>
        <w:rPr>
          <w:sz w:val="20"/>
          <w:szCs w:val="20"/>
          <w:color w:val="auto"/>
        </w:rPr>
      </w:pPr>
      <w:r>
        <w:rPr>
          <w:rFonts w:ascii="Times New Roman" w:cs="Times New Roman" w:eastAsia="Times New Roman" w:hAnsi="Times New Roman"/>
          <w:sz w:val="18"/>
          <w:szCs w:val="18"/>
          <w:color w:val="auto"/>
        </w:rPr>
        <w:t>RYTELO (imetelstat) has been administered only to a limited number of patients in clinical trials. While the FDA granted approval of RYTELO based on the data included in our NDA, including data from the Phase 3 IMerge trial, we do not know whether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8" w:name="page49"/>
    <w:bookmarkEnd w:id="48"/>
    <w:p>
      <w:pPr>
        <w:ind w:right="240"/>
        <w:spacing w:after="0" w:line="282" w:lineRule="auto"/>
        <w:rPr>
          <w:sz w:val="20"/>
          <w:szCs w:val="20"/>
          <w:color w:val="auto"/>
        </w:rPr>
      </w:pPr>
      <w:r>
        <w:rPr>
          <w:rFonts w:ascii="Times New Roman" w:cs="Times New Roman" w:eastAsia="Times New Roman" w:hAnsi="Times New Roman"/>
          <w:sz w:val="18"/>
          <w:szCs w:val="18"/>
          <w:color w:val="auto"/>
        </w:rPr>
        <w:t>the results when a larger number of patients receive RYTELO from commercial use, including results related to safety, will be consistent with the results from earlier clinical trials that served as the basis for its approval.</w:t>
      </w:r>
    </w:p>
    <w:p>
      <w:pPr>
        <w:spacing w:after="0" w:line="162"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United States,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spacing w:after="0" w:line="189"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Further, as a result of commercialization of RYTELO (imetelstat),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spacing w:after="0" w:line="7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toxicities, such as profound and/or prolonged thrombocytopenia or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bleeding events, with or without thrombocytopenia, including Grade 3/4 bleeding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febrile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hepatotoxicity and liver function test abnormalities, as well as hepatic failure;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gastrointestinal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events, with or without neutropenia, including Grade 3/4 infection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and joint pain;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infusion-related reactions.</w:t>
      </w:r>
    </w:p>
    <w:p>
      <w:pPr>
        <w:spacing w:after="0" w:line="225"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spacing w:after="0" w:line="300"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withdraw or restrict regulatory approval for RYTELO in the U.S. for lower-risk MDS;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supporting the benefit-risk profile of RTYELO may be requested by the FDA or similar international regulatory authorities and if any such information is not available or, if available, not deemed acceptable, regulatory approval could be withdrawn by the FDA in the U.S., and/or current clinical trials could be suspended, terminated, or placed on clinical hold by the FDA or similar international regulatory authorities;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enrolled patients in our current clinical trials may be negatively affected, resulting in incomplete data sets and the inability to adequately assess the benefit-risk profile of RYTELO in a specific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unexpected clinical trials or non-clinical studies may be required to be conducted;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RYTELO may not receive or maintain regulatory clearances and approvals required to enable its continued development.</w:t>
      </w:r>
    </w:p>
    <w:p>
      <w:pPr>
        <w:spacing w:after="0" w:line="225"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interrupt, further delay, or halt, our commercialization or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spacing w:after="0" w:line="175" w:lineRule="exact"/>
        <w:rPr>
          <w:sz w:val="20"/>
          <w:szCs w:val="20"/>
          <w:color w:val="auto"/>
        </w:rPr>
      </w:pPr>
    </w:p>
    <w:p>
      <w:pPr>
        <w:ind w:right="80" w:firstLine="584"/>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89"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87"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business and business prospects, any of which might cause us to cease operations.</w:t>
      </w:r>
    </w:p>
    <w:p>
      <w:pPr>
        <w:spacing w:after="0" w:line="183"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business and business prospects.</w:t>
      </w:r>
    </w:p>
    <w:p>
      <w:pPr>
        <w:spacing w:after="0" w:line="190"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or IMpress, or cause us to abandon further development of imetelstat entirely.</w:t>
      </w:r>
    </w:p>
    <w:p>
      <w:pPr>
        <w:spacing w:after="0" w:line="188"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0" w:name="page51"/>
    <w:bookmarkEnd w:id="50"/>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spacing w:after="0" w:line="159" w:lineRule="exact"/>
        <w:rPr>
          <w:sz w:val="20"/>
          <w:szCs w:val="20"/>
          <w:color w:val="auto"/>
        </w:rPr>
      </w:pPr>
    </w:p>
    <w:p>
      <w:pPr>
        <w:ind w:right="140" w:firstLine="584"/>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188" w:lineRule="exact"/>
        <w:rPr>
          <w:sz w:val="20"/>
          <w:szCs w:val="20"/>
          <w:color w:val="auto"/>
        </w:rPr>
      </w:pPr>
    </w:p>
    <w:p>
      <w:pPr>
        <w:ind w:right="20" w:firstLine="584"/>
        <w:spacing w:after="0" w:line="252" w:lineRule="auto"/>
        <w:rPr>
          <w:sz w:val="20"/>
          <w:szCs w:val="20"/>
          <w:color w:val="auto"/>
        </w:rPr>
      </w:pPr>
      <w:r>
        <w:rPr>
          <w:rFonts w:ascii="Times New Roman" w:cs="Times New Roman" w:eastAsia="Times New Roman" w:hAnsi="Times New Roman"/>
          <w:sz w:val="18"/>
          <w:szCs w:val="18"/>
          <w:color w:val="auto"/>
        </w:rPr>
        <w:t>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and business prospects, including the commercialization of RYTELO, any of which might cause us to cease operations.</w:t>
      </w:r>
    </w:p>
    <w:p>
      <w:pPr>
        <w:spacing w:after="0" w:line="197"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183"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w:t>
      </w:r>
    </w:p>
    <w:p>
      <w:pPr>
        <w:spacing w:after="0" w:line="180"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 any additional indications by the FDA.</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imetelstat development program as a whole.</w:t>
      </w:r>
    </w:p>
    <w:p>
      <w:pPr>
        <w:spacing w:after="0" w:line="175"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Investigator-led clinical trials may be conducted under less rigorous clinical standards than those used in company-sponsored clinical trials.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regulatory authorities may closely scrutinize the data collected from these investigator-led clinical trials.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auto"/>
        </w:rPr>
        <w:t>In addition, any investigator-led clinical trials could show marginal efficacy and/or clinically relevant safety concerns that could delay, limit or preclude the further clinical development or marketing approval of RYTELO in any indication, including lower-risk MDS in the EU.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MANUFACTURING RYTELO (IMETELSTAT)</w:t>
      </w:r>
    </w:p>
    <w:p>
      <w:pPr>
        <w:spacing w:after="0" w:line="2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spacing w:after="0" w:line="1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RYTELO (imetelstat) must comply with applicable regulatory standards for commercial uses and current and potential future clinical trials. The process of manufacturing RYTELO is complex and subject to several risks, including:</w:t>
      </w:r>
    </w:p>
    <w:p>
      <w:pPr>
        <w:spacing w:after="0" w:line="54" w:lineRule="exact"/>
        <w:rPr>
          <w:sz w:val="20"/>
          <w:szCs w:val="20"/>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and attain sufficient production yields with appropriate quality control and quality assurance to meet market demand for our commercialization of RYTELO, as well as the needs for continuing clinical trials;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manufacturers and suppliers, whose efforts we do not control;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of product and management of shelf-life, including raw materials, drug substance, and drug product and other supplies, any of which may be impacted by a number of factors, including the effects of macroeconomic or other global conditions;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at any of our third party suppliers;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and compliance with regulatory requirements, which are less well-defined for oligonucleotide products than for small molecule drugs and vary in each country.</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manufacture RYTELO fail to perform as needed, the commercial and clinical supply of RYTLEO will be limited, and we may be unable to successfully commercialize RYTELO or conduct or complete current or potential future clinical trials.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drug substance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commercialize RYTELO and/or pursue further development of RYTELO on our own, increase our costs, result in lost sales, and otherwise negatively affect our financial results, business and business prospects. In this regard, recent FDA inspections of one of our third-party manufacturers identified certain deficiencies in the manufacturer’s processes and facilities which, while not directly related to the FDA approval or ongoing production of RYTELO, could impact the manufacturer’s ability to produce and deliver products, including RYTELO, if not remediated by the manufacturer, and could lead to delays or shortages in drug supply, or the inability to manufacture or ship drug supply necessary for non-clinical and clinical activities and commercialization. We expect to rely on third-party manufacturers to produce and deliver sufficient quantities of RYTELO and other materials to support commercialization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2" w:name="page53"/>
    <w:bookmarkEnd w:id="52"/>
    <w:p>
      <w:pPr>
        <w:ind w:right="300"/>
        <w:spacing w:after="0" w:line="282" w:lineRule="auto"/>
        <w:rPr>
          <w:sz w:val="20"/>
          <w:szCs w:val="20"/>
          <w:color w:val="auto"/>
        </w:rPr>
      </w:pPr>
      <w:r>
        <w:rPr>
          <w:rFonts w:ascii="Times New Roman" w:cs="Times New Roman" w:eastAsia="Times New Roman" w:hAnsi="Times New Roman"/>
          <w:sz w:val="18"/>
          <w:szCs w:val="18"/>
          <w:color w:val="auto"/>
        </w:rPr>
        <w:t>clinical trials on a timely basis and to comply with applicable regulatory requirements. We do not have direct control over these third-party personnel or operations. Reliance on these third-party manufacturers is subject to numerous risks, including:</w:t>
      </w:r>
    </w:p>
    <w:p>
      <w:pPr>
        <w:spacing w:after="0" w:line="270"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timely contracts or production orders with any additional third-party manufacturers and suppliers that we may identify on acceptable terms, or at all;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disruptions experienced by third-party manufacturers that adversely impact the ability of such parties to fulfill their contractual obligations to us, including to provide the quantities of RYTELO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constraints experienced by third-party manufacturers due to scheduling and other commitments, and queued manufacturing activities in contracted facilities;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validate and qualify significant activities for any current or additional manufacturer, which could involve technology transfer, new testing, compliance inspections, and would likely require FDA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manufacturers to timely formulate and manufacture RYTELO or to produce or ship RYTELO in the quantities or of the quality required to meet commercial and clinical needs;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by third-party manufacturers of finished drug product for both commercial and clinical use, potentially resulting in product recall and harm to our business;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manufacturers to exit the contract manufacturing business during the time required to supply clinical trials or to successfully produce, store and distribute RYTELO to meet commercial needs;</w:t>
      </w:r>
    </w:p>
    <w:p>
      <w:pPr>
        <w:spacing w:after="0" w:line="53"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termination of manufacturing or supply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storage or maintenance at contracted facilities resulting in theft or spoilage;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contracted facilities.</w:t>
      </w:r>
    </w:p>
    <w:p>
      <w:pPr>
        <w:spacing w:after="0" w:line="225" w:lineRule="exact"/>
        <w:rPr>
          <w:sz w:val="20"/>
          <w:szCs w:val="20"/>
          <w:color w:val="auto"/>
        </w:rPr>
      </w:pPr>
    </w:p>
    <w:p>
      <w:pPr>
        <w:jc w:val="both"/>
        <w:ind w:right="20" w:firstLine="584"/>
        <w:spacing w:after="0" w:line="282" w:lineRule="auto"/>
        <w:rPr>
          <w:sz w:val="20"/>
          <w:szCs w:val="20"/>
          <w:color w:val="auto"/>
        </w:rPr>
      </w:pPr>
      <w:r>
        <w:rPr>
          <w:rFonts w:ascii="Times New Roman" w:cs="Times New Roman" w:eastAsia="Times New Roman" w:hAnsi="Times New Roman"/>
          <w:sz w:val="18"/>
          <w:szCs w:val="18"/>
          <w:color w:val="auto"/>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spacing w:after="0" w:line="162"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regulatory risks, and because the number of potential manufacturers for oligonucleotide products is limited. It may be difficult or impossible for us to find a replacement manufacturer on acceptable terms, or at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FINANCIAL POSITION AND NEED FOR ADDITIONAL CAPITAL</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expect to continue to incur net losses for the foreseeable future and may not achieve consistent future profitability for some time, if ever.</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incurring and have incurred net losses every year since our operations began in 1990, except for one. As of June 30, 2024, our accumulated deficit was approximately $1.7 billion. Losses have resulted principally from costs incurred in connection with our research and development activities and from general and administrative costs associated with our operations. In addition, we expect to experience increased negative cash flow for the foreseeable future as we fund our operations and imetelstat clinical development activities and research programs continue, and we continue with the commercialization of RYTELO. Although we have recently begun to commercialize RYTELO, our revenue and profit potential is unproven and our very limited operating history as a commercial company makes our future operating results difficult to predict. We will need to generate significant revenues to achieve consistent future profitability. We may never achieve consistent future profitability. Even if we do become profitable in the future, we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3" w:name="page54"/>
    <w:bookmarkEnd w:id="53"/>
    <w:p>
      <w:pPr>
        <w:ind w:right="400"/>
        <w:spacing w:after="0" w:line="282" w:lineRule="auto"/>
        <w:rPr>
          <w:sz w:val="20"/>
          <w:szCs w:val="20"/>
          <w:color w:val="auto"/>
        </w:rPr>
      </w:pPr>
      <w:r>
        <w:rPr>
          <w:rFonts w:ascii="Times New Roman" w:cs="Times New Roman" w:eastAsia="Times New Roman" w:hAnsi="Times New Roman"/>
          <w:sz w:val="18"/>
          <w:szCs w:val="18"/>
          <w:color w:val="auto"/>
        </w:rPr>
        <w:t>may not be able to sustain or increase profitability on a quarterly or annual basis. Our failure to achieve consistent future profitability could negatively impact the market price of our common stock and our ability to sustain operations.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common stock could decline.</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Due to the recent approval by the FDA of RYTELO for lower-risk MDS and the lack of historical sales data, RYTELO sales will be difficult to predict from period to period and as a result, you should not rely on RYTELO sales results in any period as being indicative of future performance and sales of RYTELO may be below our own guidance or the expectations of securities analysts or investors in the future. To the extent that we do not meet our guidance or the expectations of analysts or investors, our stock price may be adversely impacted, perhaps significantly. We believe that our quarterly and annual results of operations may be affected by a variety of factors, including:</w:t>
      </w:r>
    </w:p>
    <w:p>
      <w:pPr>
        <w:spacing w:after="0" w:line="18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RYTELO;</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RYTELO is available from government and health administration authorities, private health insurers, managed care programs and other third-party payors;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spacing w:after="0" w:line="71"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scope of eligibility for customers to purchase RYTELO at the discounted government price or to obtain government-mandated rebates on purchases of RYTELO;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cost of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RYTELO sales;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activities involving imetelstat and potential future product candidates;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we may incur to develop and/or commercialize any additional products, product candidates, or technologies that we may develop, in-license, or acquire.</w:t>
      </w:r>
    </w:p>
    <w:p>
      <w:pPr>
        <w:spacing w:after="0" w:line="162"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Further, changes in our operations, such as increased development, manufacturing and clinical trial expenses in connection with RYTELO,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w:t>
      </w:r>
    </w:p>
    <w:p>
      <w:pPr>
        <w:spacing w:after="0" w:line="187"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June 30, 2024, we had approximately $430.4 million in cash, cash equivalents, restricted cash and current and noncurrent marketable securities. Based on our current operating plans and assumptions, we believe that our existing cash, cash equivalents, and current and noncurrent marketable securities, together with projected revenues from U.S. sales of RYTELO, will be sufficient to fund our projected operating requirements into the second quarter of 2026. We will require substantial additional funding to further advance the development of imetelstat, including through the completion of our ongoing clinical trials and any potential future clinical trials, as well as conducting the clinical, regulatory and commercialization activities necessary to potentially bring imetelstat to market in relapsed/refractory MF and any other indications we are pursuing or may in the future pursue, and our need for additional funds may arise sooner than planned. If adequate funds are not available on a timely basis, if at all, our RYTELO commercialization efforts may be adversely affected and we may be unable to pursue further development of imetelstat, which would severely harm our business and we might cease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ind w:right="60" w:firstLine="554"/>
        <w:spacing w:after="0" w:line="254" w:lineRule="auto"/>
        <w:rPr>
          <w:sz w:val="20"/>
          <w:szCs w:val="20"/>
          <w:color w:val="auto"/>
        </w:rPr>
      </w:pPr>
      <w:r>
        <w:rPr>
          <w:rFonts w:ascii="Times New Roman" w:cs="Times New Roman" w:eastAsia="Times New Roman" w:hAnsi="Times New Roman"/>
          <w:sz w:val="18"/>
          <w:szCs w:val="18"/>
          <w:color w:val="auto"/>
        </w:rPr>
        <w:t>Despite recent FDA approval of RYTELO, the outcome of any clinical activities and/or regulatory approval process is highly uncertain, we cannot reasonably estimate whether our future development activities may succeed; whether we will obtain regulatory approval for RYTELO in the EU in lower-risk MDS, or in any other jurisdictions or indications we are pursuing or may in the future pursue, or whether we will be able to effectively commercialize RYTELO in the U.S.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and market acceptance of RYTELO;</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commercialization of imetelstat, including potential commercialization in the EU for lower-risk MDS, or in any other jurisdictions or other indication we may pursue,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RYTELO;</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RYTELO, including with respect to our MAA submission for RYTELO in the EU for lower-risk MDS;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RYTELO, including with respect to third-party vendors and service providers and our ability to achieve any meaningful reduction in manufacturing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RYTELO;</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strategic partnerships, collaborations, alliances or licensing arrangements with third parties, including for the commercialization and marketing of RYTELO in certain regions outside of the U.S., if approved for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selling,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revenue from sales of RYTELO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Inc., the final $25.0 million tranche under the Loan Agreement, which is subject to the approval by an investment committee comprised of Hercules and SVB; capital lease transactions or other financing sources, may not be available on acceptable terms, or at all. We may be unable to raise equity capital, or may be forced to do so at a stock price or on other terms that could result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spacing w:after="0" w:line="252" w:lineRule="auto"/>
        <w:rPr>
          <w:sz w:val="20"/>
          <w:szCs w:val="20"/>
          <w:color w:val="auto"/>
        </w:rPr>
      </w:pPr>
      <w:r>
        <w:rPr>
          <w:rFonts w:ascii="Times New Roman" w:cs="Times New Roman" w:eastAsia="Times New Roman" w:hAnsi="Times New Roman"/>
          <w:sz w:val="18"/>
          <w:szCs w:val="18"/>
          <w:color w:val="auto"/>
        </w:rPr>
        <w:t>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or establish alternative collaborative arrangements with third-party collaborative partners for RYTELO, the development and commercialization of RYTELO may be further delayed, altered or abandoned, which might cause us to cease operations.</w:t>
      </w:r>
    </w:p>
    <w:p>
      <w:pPr>
        <w:spacing w:after="0" w:line="19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cannot assure you that our existing capital resources, future interest income, future revenues from sales of RYTELO, potential future sales of our common stock, including under the 2023 Sales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the total outstanding principal amount under the Loan Agreement was $80.0 million. The tranches for the remaining $45.0 million available to us under the Loan Agreement are as follows: (a) the first remaining tranche of $20.0 million is available until December 15, 2024; and</w:t>
      </w:r>
    </w:p>
    <w:p>
      <w:pPr>
        <w:ind w:right="40" w:firstLine="8"/>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remaining tranche of $25.0 million is available through December 31, 2024, subject to approval by an investment committee comprised of Hercules and SVB. If we do not receive investment committee approval, we will not be eligible to draw funds under the second remaining tranche under the Loan Agreement. In addition, before we would consider drawing down any of the remaining tranches under the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19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All obligations under the Loan Agreement are secured by substantially all of our assets, excluding intellectual property, which is subject to a negative pledge. Further, the terms of the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also have important negative consequences, including:</w:t>
      </w:r>
    </w:p>
    <w:p>
      <w:pPr>
        <w:spacing w:after="0" w:line="117" w:lineRule="exact"/>
        <w:rPr>
          <w:sz w:val="20"/>
          <w:szCs w:val="20"/>
          <w:color w:val="auto"/>
        </w:rPr>
      </w:pPr>
    </w:p>
    <w:p>
      <w:pPr>
        <w:ind w:left="1020" w:right="4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6" w:name="page57"/>
    <w:bookmarkEnd w:id="56"/>
    <w:p>
      <w:pPr>
        <w:ind w:left="1020" w:right="14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borrow additional capital in the future to fund imetelstat development and our future growth, including pursuant to the Loan Agreement or potentially pursuant to new arrangements with different lenders. To the extent additional debt is added to our current debt levels, the risks described above could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Loan Agreement place restrictions on our operating and financial flexibility.</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imposes operating and other restrictions on us. Such restrictions will affect, and in many respects limit or prohibit, our ability and the ability of any future subsidiaries to, among other things:</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25" w:lineRule="exact"/>
        <w:rPr>
          <w:sz w:val="20"/>
          <w:szCs w:val="20"/>
          <w:color w:val="auto"/>
        </w:rPr>
      </w:pPr>
    </w:p>
    <w:p>
      <w:pPr>
        <w:jc w:val="both"/>
        <w:ind w:firstLine="52"/>
        <w:spacing w:after="0" w:line="266" w:lineRule="auto"/>
        <w:rPr>
          <w:sz w:val="20"/>
          <w:szCs w:val="20"/>
          <w:color w:val="auto"/>
        </w:rPr>
      </w:pPr>
      <w:r>
        <w:rPr>
          <w:rFonts w:ascii="Times New Roman" w:cs="Times New Roman" w:eastAsia="Times New Roman" w:hAnsi="Times New Roman"/>
          <w:sz w:val="18"/>
          <w:szCs w:val="18"/>
          <w:color w:val="auto"/>
        </w:rPr>
        <w:t>The Loan Agreement also contains financial covenants, including that we must maintain a minimum cash balance.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Loan Agreement or to comply with certain covenants in the Loan Agreement could result in an event of default, the occurrence and continuance of which provide Hercules and SVB with the right to demand immediate repayment of all outstanding obligations under the Loan Agreement, and to exercise remedies against us and the collateral securing the Loan Agreement. These events of default include, among other things:</w:t>
      </w:r>
    </w:p>
    <w:p>
      <w:pPr>
        <w:spacing w:after="0" w:line="72"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any covenant or secured obligation under the Loan Agreement, which failure, in most cases, is not cured within 15 days;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 event that could reasonably be expected to have a material adverse effect on our business, operations, properties, assets or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any default under any other agreement involving indebtedness in excess of specified amounts, or the occurrence of a default under any agreement that could reasonably be expected to have a material adverse effect on us;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money judgments being entered against us or any portion of our assets are attached or seized.</w:t>
      </w:r>
    </w:p>
    <w:p>
      <w:pPr>
        <w:spacing w:after="0" w:line="225" w:lineRule="exact"/>
        <w:rPr>
          <w:sz w:val="20"/>
          <w:szCs w:val="20"/>
          <w:color w:val="auto"/>
        </w:rPr>
      </w:pPr>
    </w:p>
    <w:p>
      <w:pPr>
        <w:ind w:right="200" w:firstLine="554"/>
        <w:spacing w:after="0" w:line="282" w:lineRule="auto"/>
        <w:rPr>
          <w:sz w:val="20"/>
          <w:szCs w:val="20"/>
          <w:color w:val="auto"/>
        </w:rPr>
      </w:pPr>
      <w:r>
        <w:rPr>
          <w:rFonts w:ascii="Times New Roman" w:cs="Times New Roman" w:eastAsia="Times New Roman" w:hAnsi="Times New Roman"/>
          <w:sz w:val="18"/>
          <w:szCs w:val="18"/>
          <w:color w:val="auto"/>
        </w:rPr>
        <w:t>In the event of default, Hercules and SVB could accelerate all of the amounts due under the Loan Agreement. Under such circumstances, we may not have enough available cash or be able to raise additional funds through equity or debt financings to repay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7" w:name="page58"/>
    <w:bookmarkEnd w:id="57"/>
    <w:p>
      <w:pPr>
        <w:ind w:right="180"/>
        <w:spacing w:after="0" w:line="261" w:lineRule="auto"/>
        <w:rPr>
          <w:sz w:val="20"/>
          <w:szCs w:val="20"/>
          <w:color w:val="auto"/>
        </w:rPr>
      </w:pPr>
      <w:r>
        <w:rPr>
          <w:rFonts w:ascii="Times New Roman" w:cs="Times New Roman" w:eastAsia="Times New Roman" w:hAnsi="Times New Roman"/>
          <w:sz w:val="18"/>
          <w:szCs w:val="18"/>
          <w:color w:val="auto"/>
        </w:rPr>
        <w:t>such indebtedness at the time of such acceleration. In that case, we may be required to delay, limit, reduce or terminate our RYTELO development or commercialization efforts or grant to others rights to develop and market RYTELO. Hercules and SVB could also exercise their rights to take possession and dispose of the collateral securing the Loan Agreement, which collateral includes substantially all of our property other than intellectual property. Our business, financial condition and results of operations could be materially adversely affected as a result of any of these events.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PROTECTING OUR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RYTELO, both in the U.S. and in other countries, our competitors could develop and commercialize products similar or identical to RYTELO, and our ability to successfully commercialize RYTELO may be adversely affected.</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Protection of our proprietary technology is critically important to our business. Our success and the success of our commercialization and planned future development of RYTELO will depend on our ability to protect our technologies and RYTELO through patents and other intellectual property rights. Our success will depend in part on our ability to obtain, maintain, enforce, and extend our patents and maintain trade secrets, both in the U.S. and in other countries.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our patents covering RYTELO, we also expect to rely on regulatory exclusivity, including orphan drug exclusivity of up to 7 years in the U.S. and 10 years in the E.U. following approval, to protect our rights to commercialize RYTELO for its approved uses, but such regulatory exclusivity may be limited or withdrawn. See "Risks Related to Regulatory Approval of RYTELO -- </w:t>
      </w:r>
      <w:r>
        <w:rPr>
          <w:rFonts w:ascii="Times New Roman" w:cs="Times New Roman" w:eastAsia="Times New Roman" w:hAnsi="Times New Roman"/>
          <w:sz w:val="18"/>
          <w:szCs w:val="18"/>
          <w:i w:val="1"/>
          <w:iCs w:val="1"/>
          <w:color w:val="auto"/>
        </w:rPr>
        <w:t>Although orphan drug designation has been granted to RYTELO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Loss or impairment of our intellectual property rights related to RYTELO might further delay or halt ongoing or potential future clinical trials of RYTELO and any applications for regulatory approval, and might further delay 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spacing w:after="0" w:line="179"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or the Patent Office,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RYTELO for an adequate amount of time.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be eligible for patent term extension under the Hatch-Waxman Act. We have applied to the Patent Office for patent term extension of some of our patents. Once the Patent Office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Patent Office as part of its review of our application for patent term extension and could differ from our calculation. Currently, communication of patent term extension approval and the length of the granted extension period by the Patent Office may occur up to four years from filing of an application for patent term extension. Accordingly, we will decide on the specific patent to be extended only after such communication from the Patent Office.</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Patent Office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indications. If we do not have sufficient patent life and regulatory exclusivity to protect RYTELO, our financial results, business and business prospects would be materially and adversely affected, which might cause us to cease operations.</w:t>
      </w:r>
    </w:p>
    <w:p>
      <w:pPr>
        <w:spacing w:after="0" w:line="19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Europe and other countries, our composition of matter patent coverage expires in September 2024, and our method of treatment patent rights for MDS and MF expire in November 2033. Our method of treatment patents may be eligible for patent term extension of up to five years under a Supplementary Protection Certificate, or SPC, permitted under European Council (EC) Regulation No. 469/2009, or the European SPC Regulation, upon receipt of drug product approval, such as, for example, our method of treatment patent for MDS. In Europe, we have separate method of treatment patents covering MDS and MF, and a SPC may only be applied to one patent. Accordingly, in countries of the European Economic Area, or EEA, we must rely on regulatory exclusivity and our method of treatment patents.</w:t>
      </w:r>
    </w:p>
    <w:p>
      <w:pPr>
        <w:spacing w:after="0" w:line="187"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have sufficient patent life and regulatory exclusivity to protect RYTELO, our financial results, business and business prospects would be materially and adversely affected, which might cause us to cease operations.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Also,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scope and enforceability of any patents listed in the Orange Book that cover RYTELO or its methods of use can be challenged by third parties and may not protect us from generic or innovator competition.</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If a third party files an application under Section 505(b)(2) of the Federal Food, Drug and Cosmetic Act or an abbreviated new drug application (“ANDA”) under Section 505(j) to obtain permission to sell a generic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paragraph IV certification. If the third-party submits a paragraph IV certification to the FDA, a notice of the paragraph IV certification must also be sent to us once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we do not file a patent infringement lawsuit within the required 45-day period, the third-party’s ANDA will not be subject to the 30-month stay of FDA approval.</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w:t>
      </w:r>
    </w:p>
    <w:p>
      <w:pPr>
        <w:spacing w:after="0" w:line="23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rights, which could be expensive, time consuming and unsuccessful, and which could result in the invalidity or unenforceability of our patents covering RYTELO or its methods of use.</w:t>
      </w:r>
    </w:p>
    <w:p>
      <w:pPr>
        <w:spacing w:after="0" w:line="145"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initiation of a claim against a third party by us may also cause the third-party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IPR or post-grant review, or oppositions or similar proceedings outside the U.S., in parallel with litigation or even outside the context of litigation.</w:t>
      </w:r>
    </w:p>
    <w:p>
      <w:pPr>
        <w:spacing w:after="0" w:line="24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spacing w:after="0" w:line="188" w:lineRule="exact"/>
        <w:rPr>
          <w:sz w:val="20"/>
          <w:szCs w:val="20"/>
          <w:color w:val="auto"/>
        </w:rPr>
      </w:pPr>
    </w:p>
    <w:p>
      <w:pPr>
        <w:ind w:right="400" w:firstLine="749"/>
        <w:spacing w:after="0" w:line="289" w:lineRule="auto"/>
        <w:rPr>
          <w:sz w:val="20"/>
          <w:szCs w:val="20"/>
          <w:color w:val="auto"/>
        </w:rPr>
      </w:pPr>
      <w:r>
        <w:rPr>
          <w:rFonts w:ascii="Times New Roman" w:cs="Times New Roman" w:eastAsia="Times New Roman" w:hAnsi="Times New Roman"/>
          <w:sz w:val="17"/>
          <w:szCs w:val="17"/>
          <w:color w:val="auto"/>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spacing w:after="0" w:line="15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shares.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RYTELO.</w:t>
      </w:r>
    </w:p>
    <w:p>
      <w:pPr>
        <w:spacing w:after="0" w:line="15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spacing w:after="0" w:line="15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ind w:right="40"/>
        <w:spacing w:after="0" w:line="256" w:lineRule="auto"/>
        <w:rPr>
          <w:sz w:val="20"/>
          <w:szCs w:val="20"/>
          <w:color w:val="auto"/>
        </w:rPr>
      </w:pPr>
      <w:r>
        <w:rPr>
          <w:rFonts w:ascii="Times New Roman" w:cs="Times New Roman" w:eastAsia="Times New Roman" w:hAnsi="Times New Roman"/>
          <w:sz w:val="18"/>
          <w:szCs w:val="18"/>
          <w:color w:val="auto"/>
        </w:rPr>
        <w:t>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inter partes review, or IPR, covered business method post-grant reviews and other post-grant reviews. This applies to all our U.S. patents and those we have licensed and may license from others, even those issued before March 16, 2013. A third party could attempt to use the Patent Office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w:t>
      </w:r>
    </w:p>
    <w:p>
      <w:pPr>
        <w:spacing w:after="0" w:line="1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spacing w:after="0" w:line="176"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spacing w:after="0" w:line="79"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patent rights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litigation, or otherwise preventing us from commercializing RYTELO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obtain licenses to the disputed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cease using the disputed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develop or obtain alternative technologies.</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RYTELO.</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ind w:right="40"/>
        <w:spacing w:after="0" w:line="282" w:lineRule="auto"/>
        <w:rPr>
          <w:sz w:val="20"/>
          <w:szCs w:val="20"/>
          <w:color w:val="auto"/>
        </w:rPr>
      </w:pPr>
      <w:r>
        <w:rPr>
          <w:rFonts w:ascii="Times New Roman" w:cs="Times New Roman" w:eastAsia="Times New Roman" w:hAnsi="Times New Roman"/>
          <w:sz w:val="18"/>
          <w:szCs w:val="18"/>
          <w:color w:val="auto"/>
        </w:rPr>
        <w:t>RYTELO. If we are unable to resolve an infringement claim successfully, we could be subject to an injunction that would prevent us from commercializing RYTELO and could also require us to pay substantial damages.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global trademark, RYTELO, for our product and failure to maintain such trademark could adversely affect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global trademark, RYTELO, which is the commercial trade name for imetelstat. During trademark registration proceedings, we may receive rejections or fail to maintain such registrations. Although we are given an opportunity to respond to those rejections, we may be unable to overcome such rejections. In addition, opposition or cancellation proceedings may be filed against our trademarks, and our trademarks may not survive such proceedings. If our United States trademark application which forms the basis for our international registration, or IR, for our commercial trade name is refused, withdrawn, or abandoned within the first 5 years of our IR, we will lose our IR registrations which could adversely affect our business. We may be unable to maintain or enforce our current and future trademarks or trademark applications, and if we fail to satisfy the applicable regulatory requirements, we may not have enforceable trademark rights or registrations in such jurisdictions. Our product trademark, RYTELO, is approved by the FDA and the EMA.</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May 2016, the Defend Trade Secrets Act of 2016, or the DTSA, was enacted, providing a federal cause of action for misappropriation of trade secrets. Under the DTSA, an employer may not collect enhanced damages or attorney fees from 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ind w:right="60"/>
        <w:spacing w:after="0" w:line="266" w:lineRule="auto"/>
        <w:rPr>
          <w:sz w:val="20"/>
          <w:szCs w:val="20"/>
          <w:color w:val="auto"/>
        </w:rPr>
      </w:pPr>
      <w:r>
        <w:rPr>
          <w:rFonts w:ascii="Times New Roman" w:cs="Times New Roman" w:eastAsia="Times New Roman" w:hAnsi="Times New Roman"/>
          <w:sz w:val="18"/>
          <w:szCs w:val="18"/>
          <w:color w:val="auto"/>
        </w:rPr>
        <w:t>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AND OTHER BUSINESS OPERATIONS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retain or recruit key personnel to support the commercialization and further development of RYTELO or to otherwise successfully manage our growth.</w:t>
      </w:r>
    </w:p>
    <w:p>
      <w:pPr>
        <w:spacing w:after="0" w:line="15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RYTELO in the U.S.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62"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1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establish potential future collaborative arrangements for RYTELO, we may be unable to establish such collaborative arrangements on acceptable terms, or at all, and may have to delay, alter or abandon commercialization or further development of RYTELO.</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intend to develop RYTELO broadly for hematologic malignancies, and to commercialize, market and sell RYTELO in the U.S. for lower-risk MDS and potentially in the EU for the same indication. We may seek a collaborative partner or partners, at an appropriate time, to assist us in the potential development and commercialization of RYTELO, especially in the EU and other regions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marketing approvals of RYTELO in lower-risk MDS in the EU and in reporting results from IMpactMF, as well as the period of the patent term for our intellectual property portfolio and market exclusivity for RYTELO.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we are unable to negotiate collaborative arrangements, we may have to:</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the additional development of RYTELO;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abandon the commercialization of RYTELO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scope of potential future sales or marketing activities; or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and undertake development or commercialization activities at our own expense, which will require additional capital than our current resources.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subsidiaries in the United Kingdom and the Netherlands, which exposes us to additional costs and risks.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wholly-owned subsidiaries we have established in the U.K. and the Netherlands subject us to certain additional costs and risks associated with doing business outside the U.S., including:</w:t>
      </w:r>
    </w:p>
    <w:p>
      <w:pPr>
        <w:spacing w:after="0" w:line="270"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 in geographically disparate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costs of complying with diverse regulatory, financial and legal requirements, which are subject to change at any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changes in applicable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costly trade laws, tariffs, export quotas, custom duties or other trade restrictions, and any changes to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civil and political unrest, outbreak of health epidemics, and the resulting global economic and social impacts;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p>
    <w:p>
      <w:pPr>
        <w:spacing w:after="0" w:line="1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spacing w:after="0" w:line="17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past, we and certain of our officers have been named as defendants in securities class action lawsuits and shareholder derivative lawsuits. Potential similar or related lawsuits that may be filed in the future, could result in substantial damages, divert management’s time and attention from our business, and have a material adverse effect on our results of operations. Any such lawsuits, or other lawsuits to which we are subject, will be costly to defend or pursue and are uncertain in their outcome.</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Securities-related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in September 2023 and final judgment was entered in October 2023. In 2020 and 2021, seven shareholder derivative actions were filed in a number of courts, naming as defendants certain of our then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5" w:name="page66"/>
    <w:bookmarkEnd w:id="65"/>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current officers and certain of our then current and former members of our board. In May 2023, the Delaware Court of Chancery approved a settlement of the derivative case pending before it, and the case was dismissed with prejudice. Subsequently, each of the remaining derivative cases were dismissed with prejudice.</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decision adverse to our interests in similar or related litigation, could result in the payment of substantial damages, or possibly fines, and could have a material adverse effect on our business, our stock price, cash flow,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third-party litigation, and such litigation would be costly to defend or pursue and uncertain in its outcome.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may bring us into conflict with our licensees, licensors, or others with whom we have contractual or other business relationships, or with our competitors or others whose interests differ from ours. Our commercial launch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w:t>
      </w:r>
    </w:p>
    <w:p>
      <w:pPr>
        <w:spacing w:after="0" w:line="18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DATA SECURITY AND DATA PRIVACY</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which we rely)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w:t>
      </w:r>
    </w:p>
    <w:p>
      <w:pPr>
        <w:spacing w:after="0" w:line="19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information technology systems, including in our remote work environment, and those of the third parties upon which we rely,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For example, in February 2024, a service provider that processes clinical trial data experienced a security incident that resulted in certain of the service provider’s information systems being unavailable for a limited period of time. Based on the service provider’s forensic investigation findings that were shared with us, we believe that this incident did not have a material impact on us, our clinical trials or clinical trial participants. As another example, in March 2024, we learned about another security incident, involving another service provider, that processes personnel data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ind w:right="280"/>
        <w:spacing w:after="0" w:line="282" w:lineRule="auto"/>
        <w:rPr>
          <w:sz w:val="20"/>
          <w:szCs w:val="20"/>
          <w:color w:val="auto"/>
        </w:rPr>
      </w:pPr>
      <w:r>
        <w:rPr>
          <w:rFonts w:ascii="Times New Roman" w:cs="Times New Roman" w:eastAsia="Times New Roman" w:hAnsi="Times New Roman"/>
          <w:sz w:val="18"/>
          <w:szCs w:val="18"/>
          <w:color w:val="auto"/>
        </w:rPr>
        <w:t>techniques that are designed to circumvent controls, to avoid detection, and to remove or obfuscate forensic evidence. Unremediated high risk or critical vulnerabilities pose material risks to our business.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Such disclosures are costly, and the disclosure or the failure to comply with such requirements could lead to adverse consequences.</w:t>
      </w:r>
    </w:p>
    <w:p>
      <w:pPr>
        <w:spacing w:after="0" w:line="18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or upgrade our enterprise resource planning and other information systems, our business and results of operation could be adversely impacted.</w:t>
      </w:r>
    </w:p>
    <w:p>
      <w:pPr>
        <w:spacing w:after="0" w:line="132"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We periodically implement or upgrade new or enhanced enterprise resource planning, or ERP, and other business systems in order to better manage our business operations. Implementation or upgrade of new business processes and information systems requires the commitment of significant personnel, training and financial resources, and entails risks to our business operations. If we do not successfully implement ERP and other information systems improvements, or if there are delays or difficulties in implementing these systems, we may not realize anticipated productivity improvements or cost efficiencies, and we may experience operational difficulties and challenges in effectively managing our business, all of which could result in quality issues, reputational harm, lost market and revenue opportunities, and otherwise adversely affect our business, financial condition and results of operations.</w:t>
      </w:r>
    </w:p>
    <w:p>
      <w:pPr>
        <w:spacing w:after="0" w:line="160"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For example, we are currently in the process of implementing new ERP and other information systems to help us manage our operations and financial reporting. This project has required and may continue to require investment of capital and human resources, the re-engineering of processes of our business, and the attention of many employees who would otherwise be focused on other aspects of our business. Costs and risks inherent in this transition may include disruptions to business continuity, administrative and technical problems, interruptions or delays in sales, expenditure overruns, delays in paying our suppliers and employees, and data migration issues. If we do not properly address or mitigate these issues, this could result in increased costs and diversion of resources, negatively impacting our operating results and ability to effectively manage our business. Additionally, if we do not effectively implement the ERP system as planned, or the ERP system does not operate as intended, the effectiveness of our internal control over financial reporting could be negatively affected.</w:t>
      </w:r>
    </w:p>
    <w:p>
      <w:pPr>
        <w:spacing w:after="0" w:line="18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1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apply to data privacy and security. For example, the EU’s General Data Protection Regulation (GDPR) (EU) 2016/679, or the EU GDPR, imposes strict requirements on the processing of personal data. Under the EU GDPR, government regulators may impose temporary or definitive bans on data processing, as well as fines in the event of violations.</w:t>
      </w:r>
    </w:p>
    <w:p>
      <w:pPr>
        <w:spacing w:after="0" w:line="176"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EEA regulators have prevented companies from transferring personal data out of the EEA for allegedly violating the GDPR’s cross-border data transfer limitations.</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information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19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whom we rely on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9" w:name="page70"/>
    <w:bookmarkEnd w:id="69"/>
    <w:p>
      <w:pPr>
        <w:ind w:left="24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extremely volatile and your investment may suffer a decline in value.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Historically, our stock price has been extremely volatile. Between July 1, 2014 and June 30, 2024, our stock has traded as high as $6.38 per share and as low as $0.89 per share. Between July 1, 2023 and June 30, 2024, the price has ranged between a high of $5.09 per share and a low of $1.74 per share. The significant market price fluctuations of our common stock have been due to and may in the future be influenced by a variety of factors, including:</w:t>
      </w:r>
    </w:p>
    <w:p>
      <w:pPr>
        <w:spacing w:after="0" w:line="7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RYTELO sales in the U.S.;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regulatory approval or non-approval of RYTELO in any other jurisdictions or indications, or specific label indications for RYTELO; or restrictions, warnings or limitations in its use;</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when needed to further advance our development program;</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RYTELO, including laws or regulations concerning the commercialization of RTYELO or clinical trial requirements for approval or other regulatory developments related to RYTELO;</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clinical progress or lack thereof by us, potential future collaborative partners or our competitors;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including our inability to obtain adequate product supply for RYTELO or inability to do so at acceptable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market opportunity for RYTELO in its currently approved and any potential future approved indications;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RYTELO proprietary rights, including patents, litigation matters and our ability to obtain, enforce and defend patent protection for our technologies;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agreements for the further development and commercialization of RYTELO that we may establish;</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collaborations, joint ventures or capital commitments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in the market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continuing operating losses;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biotechnology and pharmaceutical industry by the public, legislature, regulators and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commentary, articles or research reports about us or our industry, or positive or negative recommendations or withdrawal of research coverage, by securities analysts, bloggers, news media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stockholders increasing or exiting their position in our common stock or an increase in the short interest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stock by our officers and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or developments concerning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3" w:right="439" w:bottom="1440" w:gutter="0" w:footer="0" w:header="0"/>
        </w:sectPr>
      </w:pPr>
    </w:p>
    <w:bookmarkStart w:id="70" w:name="page71"/>
    <w:bookmarkEnd w:id="70"/>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to partners, vendors or investors to raise additional capital or as a result of option or warrant exercises;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risks and uncertainties discussed under the heading “Risk Factors.”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17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Provisions of our charter documents and bylaws may make it substantially more difficult for a third party to acquire control of us and may prevent changes in our management, including provisions that:</w:t>
      </w:r>
    </w:p>
    <w:p>
      <w:pPr>
        <w:spacing w:after="0" w:line="54"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taking actions by written consent;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board of directors into separate classes with terms of office that are structured to prevent all of the directors from being elected in any one year;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17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288"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or our stockholders, to us or to our stockholders;</w:t>
      </w:r>
    </w:p>
    <w:p>
      <w:pPr>
        <w:spacing w:after="0" w:line="53" w:lineRule="exact"/>
        <w:rPr>
          <w:rFonts w:ascii="Times New Roman" w:cs="Times New Roman" w:eastAsia="Times New Roman" w:hAnsi="Times New Roman"/>
          <w:sz w:val="18"/>
          <w:szCs w:val="18"/>
          <w:color w:val="auto"/>
        </w:rPr>
      </w:pPr>
    </w:p>
    <w:p>
      <w:pPr>
        <w:ind w:left="1020" w:right="380" w:hanging="503"/>
        <w:spacing w:after="0" w:line="312"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bylaws;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General Corporation Law of the State of Delaware confers jurisdiction on the Court of Chancery of the State of Delaware;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governed by the internal affairs doctrine or otherwise related to our internal affairs.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1" w:name="page72"/>
    <w:bookmarkEnd w:id="71"/>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in the foreseeable future.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 may continue to preclude us from paying dividends. As a result, capital appreciation, if any, of our common stock will be the sole source of gain for our stockholders for the foreseeable future.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81"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criminal and administrative penalties, damages and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damages;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2" w:name="page73"/>
    <w:bookmarkEnd w:id="72"/>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potential profits and future earnings;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Moreover, we are currently in the process of implementing new ERP and other information systems to help us manage our operations and financial reporting. However, there is an increased risk that changing controls may be ineffective during the implementation and this ERP system may place additional burdens on employees to learn and adapt our processes to effectively operate under the ERP system. If the ERP system does not operate as intended, the effectiveness of our internal control over financial reporting could be negatively impacted.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For example, under the Tax Cuts and Jobs Act of 2017,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right="240" w:firstLine="509"/>
        <w:spacing w:after="0" w:line="272" w:lineRule="auto"/>
        <w:rPr>
          <w:sz w:val="20"/>
          <w:szCs w:val="20"/>
          <w:color w:val="auto"/>
        </w:rPr>
      </w:pPr>
      <w:r>
        <w:rPr>
          <w:rFonts w:ascii="Times New Roman" w:cs="Times New Roman" w:eastAsia="Times New Roman" w:hAnsi="Times New Roman"/>
          <w:sz w:val="17"/>
          <w:szCs w:val="17"/>
          <w:color w:val="auto"/>
        </w:rPr>
        <w:t>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is limited to 80% of taxable income.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73" w:name="page74"/>
    <w:bookmarkEnd w:id="73"/>
    <w:p>
      <w:pPr>
        <w:spacing w:after="0" w:line="256" w:lineRule="auto"/>
        <w:rPr>
          <w:sz w:val="20"/>
          <w:szCs w:val="20"/>
          <w:color w:val="auto"/>
        </w:rPr>
      </w:pPr>
      <w:r>
        <w:rPr>
          <w:rFonts w:ascii="Times New Roman" w:cs="Times New Roman" w:eastAsia="Times New Roman" w:hAnsi="Times New Roman"/>
          <w:sz w:val="18"/>
          <w:szCs w:val="18"/>
          <w:color w:val="auto"/>
        </w:rPr>
        <w:t>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It is also uncertain if and to what extent various states will conform to current U.S. federal income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4" w:name="page75"/>
    <w:bookmarkEnd w:id="74"/>
    <w:p>
      <w:pPr>
        <w:spacing w:after="0" w:line="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440" w:right="131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238"/>
        </w:trPr>
        <w:tc>
          <w:tcPr>
            <w:tcW w:w="80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0" w:type="dxa"/>
            <w:vAlign w:val="bottom"/>
            <w:tcBorders>
              <w:left w:val="single" w:sz="8" w:color="auto"/>
              <w:right w:val="single" w:sz="8" w:color="auto"/>
            </w:tcBorders>
          </w:tcPr>
          <w:p>
            <w:pPr>
              <w:spacing w:after="0"/>
              <w:rPr>
                <w:sz w:val="14"/>
                <w:szCs w:val="14"/>
                <w:color w:val="auto"/>
              </w:rPr>
            </w:pPr>
          </w:p>
        </w:tc>
        <w:tc>
          <w:tcPr>
            <w:tcW w:w="4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800" w:type="dxa"/>
            <w:vAlign w:val="bottom"/>
            <w:tcBorders>
              <w:left w:val="single" w:sz="8" w:color="auto"/>
              <w:bottom w:val="single" w:sz="8" w:color="auto"/>
              <w:right w:val="single" w:sz="8" w:color="auto"/>
            </w:tcBorders>
          </w:tcPr>
          <w:p>
            <w:pPr>
              <w:spacing w:after="0"/>
              <w:rPr>
                <w:sz w:val="4"/>
                <w:szCs w:val="4"/>
                <w:color w:val="auto"/>
              </w:rPr>
            </w:pPr>
          </w:p>
        </w:tc>
        <w:tc>
          <w:tcPr>
            <w:tcW w:w="47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00" w:type="dxa"/>
            <w:vAlign w:val="bottom"/>
          </w:tcPr>
          <w:p>
            <w:pPr>
              <w:jc w:val="right"/>
              <w:ind w:right="84"/>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760" w:type="dxa"/>
            <w:vAlign w:val="bottom"/>
          </w:tcPr>
          <w:p>
            <w:pPr>
              <w:ind w:left="2660"/>
              <w:spacing w:after="0" w:line="114"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2100" w:type="dxa"/>
            <w:vAlign w:val="bottom"/>
          </w:tcPr>
          <w:p>
            <w:pPr>
              <w:jc w:val="center"/>
              <w:ind w:left="1131"/>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5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90"/>
        </w:trPr>
        <w:tc>
          <w:tcPr>
            <w:tcW w:w="8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760" w:type="dxa"/>
            <w:vAlign w:val="bottom"/>
          </w:tcPr>
          <w:p>
            <w:pPr>
              <w:spacing w:after="0"/>
              <w:rPr>
                <w:sz w:val="16"/>
                <w:szCs w:val="16"/>
                <w:color w:val="auto"/>
              </w:rPr>
            </w:pPr>
          </w:p>
        </w:tc>
        <w:tc>
          <w:tcPr>
            <w:tcW w:w="2100" w:type="dxa"/>
            <w:vAlign w:val="bottom"/>
          </w:tcPr>
          <w:p>
            <w:pPr>
              <w:jc w:val="center"/>
              <w:ind w:left="11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3720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720465"/>
                    </a:xfrm>
                    <a:prstGeom prst="rect">
                      <a:avLst/>
                    </a:prstGeom>
                    <a:noFill/>
                  </pic:spPr>
                </pic:pic>
              </a:graphicData>
            </a:graphic>
          </wp:anchor>
        </w:drawing>
      </w:r>
    </w:p>
    <w:p>
      <w:pPr>
        <w:ind w:left="820" w:right="4700" w:hanging="619"/>
        <w:spacing w:after="0" w:line="236"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Form of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as adopted pursuant to Section 302(a)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August 8, 2024.</w:t>
      </w:r>
    </w:p>
    <w:p>
      <w:pPr>
        <w:spacing w:after="0" w:line="1" w:lineRule="exact"/>
        <w:rPr>
          <w:sz w:val="20"/>
          <w:szCs w:val="20"/>
          <w:color w:val="auto"/>
        </w:rPr>
      </w:pPr>
    </w:p>
    <w:p>
      <w:pPr>
        <w:ind w:left="820" w:right="4740" w:hanging="619"/>
        <w:spacing w:after="0" w:line="230"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31.2+</w:t>
      </w:r>
      <w:r>
        <w:rPr>
          <w:rFonts w:ascii="Times New Roman" w:cs="Times New Roman" w:eastAsia="Times New Roman" w:hAnsi="Times New Roman"/>
          <w:sz w:val="18"/>
          <w:szCs w:val="18"/>
          <w:u w:val="single" w:color="auto"/>
          <w:color w:val="0000FF"/>
        </w:rPr>
        <w:tab/>
        <w:t>Certification of Chief Financial Officer pursuant to Form of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14(a), as adopted pursuant to Section 302(a)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August 8, 2024.</w:t>
      </w:r>
    </w:p>
    <w:p>
      <w:pPr>
        <w:spacing w:after="0" w:line="22" w:lineRule="exact"/>
        <w:rPr>
          <w:sz w:val="20"/>
          <w:szCs w:val="20"/>
          <w:color w:val="auto"/>
        </w:rPr>
      </w:pPr>
    </w:p>
    <w:p>
      <w:pPr>
        <w:ind w:left="820" w:right="4500" w:hanging="619"/>
        <w:spacing w:after="0" w:line="222"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u w:val="single" w:color="auto"/>
          <w:color w:val="0000FF"/>
        </w:rPr>
        <w:tab/>
        <w:t>Certification of Chief Executive Officer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August 8, 2024.*</w:t>
      </w:r>
    </w:p>
    <w:p>
      <w:pPr>
        <w:spacing w:after="0" w:line="24" w:lineRule="exact"/>
        <w:rPr>
          <w:sz w:val="20"/>
          <w:szCs w:val="20"/>
          <w:color w:val="auto"/>
        </w:rPr>
      </w:pPr>
    </w:p>
    <w:p>
      <w:pPr>
        <w:ind w:left="820" w:right="4500" w:hanging="619"/>
        <w:spacing w:after="0" w:line="222" w:lineRule="exact"/>
        <w:tabs>
          <w:tab w:leader="none" w:pos="800" w:val="left"/>
        </w:tabs>
        <w:rPr>
          <w:sz w:val="20"/>
          <w:szCs w:val="20"/>
          <w:color w:val="auto"/>
        </w:rPr>
      </w:pP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u w:val="single" w:color="auto"/>
          <w:color w:val="0000FF"/>
        </w:rPr>
        <w:tab/>
        <w:t>Certification of Chief Financial Officer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 dated August 8, 2024.*</w:t>
      </w:r>
    </w:p>
    <w:p>
      <w:pPr>
        <w:spacing w:after="0" w:line="24" w:lineRule="exact"/>
        <w:rPr>
          <w:sz w:val="20"/>
          <w:szCs w:val="20"/>
          <w:color w:val="auto"/>
        </w:rPr>
      </w:pPr>
    </w:p>
    <w:p>
      <w:pPr>
        <w:ind w:left="820" w:right="4480" w:hanging="549"/>
        <w:spacing w:after="0" w:line="253" w:lineRule="auto"/>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June 30, 2024 Quarterly Report on Form 10-Q for the quarter ended June 30, 2024 formatted in Inline Extensible Business Reporting Language (iXBRL) include: (i) Condensed Consolidated Balance Sheets as of June 30, 2024 and December 31, 2023, (ii) Condensed Consolidated Statements of Operations and Comprehensive Loss for the three and six months ended June 30, 2024 and 2023, (iii) Condensed Consolidated Statements of Stockholders’ Equity for the three months ended June 30, 2024 and 2023, (iv) Condensed Consolidated Statements of Cash Flows for the three and six months ended June 30, 2024 and 2023 and (v) Notes to Condensed Consolidated Financial Statements.</w:t>
      </w:r>
    </w:p>
    <w:p>
      <w:pPr>
        <w:spacing w:after="0" w:line="19" w:lineRule="exact"/>
        <w:rPr>
          <w:sz w:val="20"/>
          <w:szCs w:val="20"/>
          <w:color w:val="auto"/>
        </w:rPr>
      </w:pPr>
    </w:p>
    <w:p>
      <w:pPr>
        <w:ind w:left="820" w:hanging="549"/>
        <w:spacing w:after="0"/>
        <w:tabs>
          <w:tab w:leader="none" w:pos="8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r>
        <w:rPr>
          <w:rFonts w:ascii="Times New Roman" w:cs="Times New Roman" w:eastAsia="Times New Roman" w:hAnsi="Times New Roman"/>
          <w:sz w:val="18"/>
          <w:szCs w:val="18"/>
          <w:u w:val="single" w:color="auto"/>
          <w:color w:val="auto"/>
        </w:rPr>
        <w: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7" w:lineRule="exact"/>
        <w:rPr>
          <w:sz w:val="20"/>
          <w:szCs w:val="20"/>
          <w:color w:val="auto"/>
        </w:rPr>
      </w:pPr>
    </w:p>
    <w:p>
      <w:pPr>
        <w:ind w:firstLine="8"/>
        <w:spacing w:after="0" w:line="261" w:lineRule="auto"/>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6" w:name="page77"/>
    <w:bookmarkEnd w:id="76"/>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306" w:lineRule="exact"/>
        <w:rPr>
          <w:sz w:val="20"/>
          <w:szCs w:val="20"/>
          <w:color w:val="auto"/>
        </w:rPr>
      </w:pPr>
    </w:p>
    <w:p>
      <w:pPr>
        <w:ind w:left="20"/>
        <w:spacing w:after="0"/>
        <w:tabs>
          <w:tab w:leader="none" w:pos="4160" w:val="left"/>
          <w:tab w:leader="none" w:pos="462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26035</wp:posOffset>
            </wp:positionV>
            <wp:extent cx="4200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 (Duly Authorized</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Officer and 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Scarlett, M.D., certify that:</w:t>
      </w:r>
    </w:p>
    <w:p>
      <w:pPr>
        <w:spacing w:after="0" w:line="117"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117"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June 30,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June 30,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August 8, 2024</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Treasurer</w:t>
      </w:r>
    </w:p>
    <w:p>
      <w:pPr>
        <w:spacing w:after="0" w:line="26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3"/>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7"/>
    </w:lvl>
  </w:abstractNum>
  <w:abstractNum w:abstractNumId="7">
    <w:nsid w:val="440BADFC"/>
    <w:multiLevelType w:val="hybridMultilevel"/>
    <w:lvl w:ilvl="0">
      <w:lvlJc w:val="left"/>
      <w:lvlText w:val="%1."/>
      <w:numFmt w:val="decimal"/>
      <w:start w:val="8"/>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Roman"/>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decimal"/>
      <w:start w:val="101"/>
    </w:lvl>
  </w:abstractNum>
  <w:abstractNum w:abstractNumId="57">
    <w:nsid w:val="D34B6A8"/>
    <w:multiLevelType w:val="hybridMultilevel"/>
    <w:lvl w:ilvl="0">
      <w:lvlJc w:val="left"/>
      <w:lvlText w:val="+"/>
      <w:numFmt w:val="bullet"/>
      <w:start w:val="1"/>
    </w:lvl>
    <w:lvl w:ilvl="1">
      <w:lvlJc w:val="left"/>
      <w:lvlText w:val="%2"/>
      <w:numFmt w:val="decimal"/>
      <w:start w:val="104"/>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lowerRoman"/>
      <w:start w:val="1"/>
    </w:lvl>
  </w:abstractNum>
  <w:abstractNum w:abstractNumId="62">
    <w:nsid w:val="77AE35E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2024-08-08T15:42:15Z</dcterms:created>
  <dcterms:modified xsi:type="dcterms:W3CDTF">2024-08-08T15:42:15Z</dcterms:modified>
</cp:coreProperties>
</file>