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75" w:lineRule="exact"/>
        <w:rPr>
          <w:rFonts w:ascii="MS PGothic" w:cs="MS PGothic" w:eastAsia="MS PGothic" w:hAnsi="MS PGothic"/>
          <w:sz w:val="17"/>
          <w:szCs w:val="17"/>
          <w:color w:val="auto"/>
          <w:highlight w:val="black"/>
        </w:rPr>
      </w:pPr>
    </w:p>
    <w:p>
      <w:pPr>
        <w:ind w:left="366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quarterly period ended September 30, 2024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0"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1312" w:right="339" w:bottom="1440" w:gutter="0" w:footer="0" w:header="0"/>
        </w:sectPr>
      </w:pPr>
    </w:p>
    <w:p>
      <w:pPr>
        <w:spacing w:after="0" w:line="9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4"/>
          <w:szCs w:val="24"/>
          <w:color w:val="auto"/>
        </w:rPr>
      </w:pPr>
    </w:p>
    <w:p>
      <w:pPr>
        <w:sectPr>
          <w:pgSz w:w="11900" w:h="16838" w:orient="portrait"/>
          <w:cols w:equalWidth="0" w:num="3">
            <w:col w:w="6040" w:space="440"/>
            <w:col w:w="120" w:space="420"/>
            <w:col w:w="4220"/>
          </w:cols>
          <w:pgMar w:left="320" w:top="131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000-20859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GERON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312" w:right="339" w:bottom="1440" w:gutter="0" w:footer="0" w:header="0"/>
          <w:type w:val="continuous"/>
        </w:sectPr>
      </w:pPr>
    </w:p>
    <w:p>
      <w:pPr>
        <w:spacing w:after="0" w:line="7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9"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5"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75-2287752</w:t>
      </w:r>
    </w:p>
    <w:p>
      <w:pPr>
        <w:spacing w:after="0" w:line="29"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5"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8" w:lineRule="exact"/>
        <w:rPr>
          <w:sz w:val="24"/>
          <w:szCs w:val="24"/>
          <w:color w:val="auto"/>
        </w:rPr>
      </w:pPr>
    </w:p>
    <w:p>
      <w:pPr>
        <w:sectPr>
          <w:pgSz w:w="11900" w:h="16838" w:orient="portrait"/>
          <w:cols w:equalWidth="0" w:num="2">
            <w:col w:w="7440" w:space="720"/>
            <w:col w:w="3080"/>
          </w:cols>
          <w:pgMar w:left="320" w:top="1312" w:right="339" w:bottom="1440" w:gutter="0" w:footer="0" w:header="0"/>
          <w:type w:val="continuous"/>
        </w:sect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919 EAST HILLSDALE BOULEVARD, SUITE 250, FOSTER CITY, CA</w:t>
      </w:r>
    </w:p>
    <w:p>
      <w:pPr>
        <w:spacing w:after="0" w:line="2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94404</w:t>
      </w:r>
    </w:p>
    <w:p>
      <w:pPr>
        <w:spacing w:after="0" w:line="29"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6" w:lineRule="exact"/>
        <w:rPr>
          <w:sz w:val="24"/>
          <w:szCs w:val="24"/>
          <w:color w:val="auto"/>
        </w:rPr>
      </w:pPr>
    </w:p>
    <w:p>
      <w:pPr>
        <w:sectPr>
          <w:pgSz w:w="11900" w:h="16838" w:orient="portrait"/>
          <w:cols w:equalWidth="0" w:num="2">
            <w:col w:w="7660" w:space="720"/>
            <w:col w:w="2860"/>
          </w:cols>
          <w:pgMar w:left="320" w:top="1312"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(650) 473-7700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1240"/>
          </w:cols>
          <w:pgMar w:left="320" w:top="1312" w:right="339" w:bottom="1440" w:gutter="0" w:footer="0" w:header="0"/>
          <w:type w:val="continuous"/>
        </w:sectPr>
      </w:pPr>
    </w:p>
    <w:p>
      <w:pPr>
        <w:spacing w:after="0" w:line="6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3800" w:space="720"/>
            <w:col w:w="1700" w:space="720"/>
            <w:col w:w="4300"/>
          </w:cols>
          <w:pgMar w:left="320" w:top="1312" w:right="33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6"/>
          <w:szCs w:val="16"/>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GERN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136" w:lineRule="exact"/>
        <w:rPr>
          <w:sz w:val="24"/>
          <w:szCs w:val="24"/>
          <w:color w:val="auto"/>
        </w:rPr>
      </w:pPr>
    </w:p>
    <w:p>
      <w:pPr>
        <w:sectPr>
          <w:pgSz w:w="11900" w:h="16838" w:orient="portrait"/>
          <w:cols w:equalWidth="0" w:num="3">
            <w:col w:w="4180" w:space="720"/>
            <w:col w:w="1640" w:space="720"/>
            <w:col w:w="3980"/>
          </w:cols>
          <w:pgMar w:left="320" w:top="1312" w:right="339" w:bottom="1440" w:gutter="0" w:footer="0" w:header="0"/>
          <w:type w:val="continuous"/>
        </w:sect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34" w:lineRule="exact"/>
        <w:rPr>
          <w:sz w:val="24"/>
          <w:szCs w:val="24"/>
          <w:color w:val="auto"/>
        </w:rPr>
      </w:pPr>
    </w:p>
    <w:p>
      <w:pPr>
        <w:jc w:val="both"/>
        <w:ind w:right="3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380" w:type="dxa"/>
        <w:tblCellMar>
          <w:top w:w="0" w:type="dxa"/>
          <w:left w:w="0" w:type="dxa"/>
          <w:bottom w:w="0" w:type="dxa"/>
          <w:right w:w="0" w:type="dxa"/>
        </w:tblCellMar>
      </w:tblPr>
      <w:tr>
        <w:trPr>
          <w:trHeight w:val="272"/>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61" w:lineRule="exact"/>
        <w:rPr>
          <w:sz w:val="24"/>
          <w:szCs w:val="24"/>
          <w:color w:val="auto"/>
        </w:rPr>
      </w:pPr>
    </w:p>
    <w:p>
      <w:pPr>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ind w:left="520"/>
        <w:spacing w:after="0" w:line="184" w:lineRule="exact"/>
        <w:tabs>
          <w:tab w:leader="none" w:pos="8020" w:val="left"/>
          <w:tab w:leader="none" w:pos="8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highlight w:val="black"/>
        </w:rPr>
        <w:t>☒</w:t>
      </w:r>
    </w:p>
    <w:p>
      <w:pPr>
        <w:spacing w:after="0" w:line="25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 November 4, 2024:</w:t>
            </w:r>
          </w:p>
        </w:tc>
      </w:tr>
      <w:tr>
        <w:trPr>
          <w:trHeight w:val="204"/>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2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604,501,016 shares</w:t>
            </w:r>
          </w:p>
        </w:tc>
      </w:tr>
      <w:tr>
        <w:trPr>
          <w:trHeight w:val="121"/>
        </w:trPr>
        <w:tc>
          <w:tcPr>
            <w:tcW w:w="5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r>
      <w:tr>
        <w:trPr>
          <w:trHeight w:val="1195"/>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tcBorders>
              <w:bottom w:val="single" w:sz="8" w:color="auto"/>
            </w:tcBorders>
            <w:gridSpan w:val="8"/>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08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04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372"/>
        </w:trPr>
        <w:tc>
          <w:tcPr>
            <w:tcW w:w="12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9"/>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00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9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60" w:type="dxa"/>
            <w:vAlign w:val="bottom"/>
            <w:tcBorders>
              <w:top w:val="single" w:sz="8" w:color="auto"/>
            </w:tcBorders>
            <w:gridSpan w:val="5"/>
          </w:tcPr>
          <w:p>
            <w:pPr>
              <w:spacing w:after="0"/>
              <w:rPr>
                <w:sz w:val="24"/>
                <w:szCs w:val="24"/>
                <w:color w:val="auto"/>
              </w:rPr>
            </w:pPr>
          </w:p>
        </w:tc>
        <w:tc>
          <w:tcPr>
            <w:tcW w:w="324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w:t>
            </w:r>
            <w:r>
              <w:rPr>
                <w:rFonts w:ascii="Times New Roman" w:cs="Times New Roman" w:eastAsia="Times New Roman" w:hAnsi="Times New Roman"/>
                <w:sz w:val="18"/>
                <w:szCs w:val="18"/>
                <w:color w:val="000000"/>
              </w:rPr>
              <w: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760" w:type="dxa"/>
            <w:vAlign w:val="bottom"/>
            <w:gridSpan w:val="1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66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0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60" w:type="dxa"/>
            <w:vAlign w:val="bottom"/>
            <w:gridSpan w:val="1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RYTELO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and other trademarks or service marks of Geron Corporation appearing in this Quarterly Report on Form 10-Q (this "Report") are the property of Geron Corporation. This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28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60" w:type="dxa"/>
            <w:vAlign w:val="bottom"/>
            <w:shd w:val="clear" w:color="auto" w:fill="CFF0F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70,023</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279,430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263,676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receivables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341,348</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marketable securities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43,298</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20"/>
                <w:szCs w:val="20"/>
                <w:color w:val="auto"/>
              </w:rPr>
            </w:pPr>
          </w:p>
        </w:tc>
      </w:tr>
      <w:tr>
        <w:trPr>
          <w:trHeight w:val="277"/>
        </w:trPr>
        <w:tc>
          <w:tcPr>
            <w:tcW w:w="77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444,950</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60" w:type="dxa"/>
            <w:vAlign w:val="bottom"/>
            <w:shd w:val="clear" w:color="auto" w:fill="CFF0FC"/>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debt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2,037,653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1,844,988</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(1,746,989 )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(1,597,769 )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r>
      <w:tr>
        <w:trPr>
          <w:trHeight w:val="237"/>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292,284</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444,950</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394,076</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-3950970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-3007995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-2990850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-1748155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9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Royalties</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80,305</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102,361</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56,486</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47,776</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183,139</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139,869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(28,215 )</w:t>
            </w:r>
          </w:p>
        </w:tc>
        <w:tc>
          <w:tcPr>
            <w:tcW w:w="4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(47,612 )</w:t>
            </w:r>
          </w:p>
        </w:tc>
        <w:tc>
          <w:tcPr>
            <w:tcW w:w="3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(153,682 )</w:t>
            </w:r>
          </w:p>
        </w:tc>
        <w:tc>
          <w:tcPr>
            <w:tcW w:w="4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(139,655 )</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(3,046 )</w:t>
            </w:r>
          </w:p>
        </w:tc>
        <w:tc>
          <w:tcPr>
            <w:tcW w:w="4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(2,066 )</w:t>
            </w:r>
          </w:p>
        </w:tc>
        <w:tc>
          <w:tcPr>
            <w:tcW w:w="3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(9,798 )</w:t>
            </w:r>
          </w:p>
        </w:tc>
        <w:tc>
          <w:tcPr>
            <w:tcW w:w="4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(5,991 )</w:t>
            </w: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(63 )</w:t>
            </w:r>
          </w:p>
        </w:tc>
        <w:tc>
          <w:tcPr>
            <w:tcW w:w="4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(92 )</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(188 )</w:t>
            </w:r>
          </w:p>
        </w:tc>
        <w:tc>
          <w:tcPr>
            <w:tcW w:w="4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(26,447 )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(44,805 )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(149,220 )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(132,154 )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(0.23 )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(0.23 )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w:t>
            </w: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662,158,182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579,508,305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639,933,612</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562,445,577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-2553970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-2553970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-2553970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-1602740</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-1602740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-1602740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-976630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-976630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-976630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-633730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-633730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-633730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7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(26,447 )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(44,805 )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(149,220 )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(132,154 )</w:t>
            </w: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gain/(loss) on marketable securities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(722 )</w:t>
            </w: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4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(24,892 )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(44,810 )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(148,387 )</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(132,885 )</w:t>
            </w:r>
          </w:p>
        </w:tc>
      </w:tr>
      <w:tr>
        <w:trPr>
          <w:trHeight w:val="20"/>
        </w:trPr>
        <w:tc>
          <w:tcPr>
            <w:tcW w:w="4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-187960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16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86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2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6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544,912,215</w:t>
            </w:r>
          </w:p>
        </w:tc>
        <w:tc>
          <w:tcPr>
            <w:tcW w:w="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1,844,988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(1,597,769 )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247,949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(55,390 )</w:t>
            </w:r>
          </w:p>
        </w:tc>
        <w:tc>
          <w:tcPr>
            <w:tcW w:w="1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(55,390 )</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(448 )</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(448 )</w:t>
            </w: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 and</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pre-funded warrant to purchase</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in public</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net of issuance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41,999,998</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140,958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costs of $9,000</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 in</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37,640</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4,211,493</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 to</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issuances of common stock and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options for services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591,163,808</w:t>
            </w:r>
          </w:p>
        </w:tc>
        <w:tc>
          <w:tcPr>
            <w:tcW w:w="6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1,997,709</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(1,653,159 )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(273 )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(67,383 )</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(67,383 )</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(243 )</w:t>
            </w: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(243 )</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(21 )</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(271 )</w:t>
            </w:r>
          </w:p>
        </w:tc>
        <w:tc>
          <w:tcPr>
            <w:tcW w:w="140" w:type="dxa"/>
            <w:vAlign w:val="bottom"/>
          </w:tcPr>
          <w:p>
            <w:pPr>
              <w:spacing w:after="0"/>
              <w:rPr>
                <w:sz w:val="15"/>
                <w:szCs w:val="15"/>
                <w:color w:val="auto"/>
              </w:rPr>
            </w:pPr>
          </w:p>
        </w:tc>
        <w:tc>
          <w:tcPr>
            <w:tcW w:w="12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 in</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281,211</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to issuances of common stock</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options in exchange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services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9,400,121</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16,364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201,052</w:t>
            </w:r>
          </w:p>
        </w:tc>
        <w:tc>
          <w:tcPr>
            <w:tcW w:w="2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601,048,108</w:t>
            </w:r>
          </w:p>
        </w:tc>
        <w:tc>
          <w:tcPr>
            <w:tcW w:w="240" w:type="dxa"/>
            <w:vAlign w:val="bottom"/>
          </w:tcPr>
          <w:p>
            <w:pPr>
              <w:spacing w:after="0"/>
              <w:rPr>
                <w:sz w:val="14"/>
                <w:szCs w:val="14"/>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2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2,027,173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(1,720,542 )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(537 )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80" w:type="dxa"/>
            <w:vAlign w:val="bottom"/>
            <w:vMerge w:val="continue"/>
          </w:tcPr>
          <w:p>
            <w:pPr>
              <w:spacing w:after="0"/>
              <w:rPr>
                <w:sz w:val="13"/>
                <w:szCs w:val="13"/>
                <w:color w:val="auto"/>
              </w:rPr>
            </w:pPr>
          </w:p>
        </w:tc>
        <w:tc>
          <w:tcPr>
            <w:tcW w:w="12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(26,447</w:t>
            </w:r>
          </w:p>
        </w:tc>
        <w:tc>
          <w:tcPr>
            <w:tcW w:w="22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(26,447</w:t>
            </w:r>
          </w:p>
        </w:tc>
        <w:tc>
          <w:tcPr>
            <w:tcW w:w="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3,080</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to issuance of common stock</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options in exchange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services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2,049,118</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603,102,073</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2,037,653</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(1,746,989 )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292,284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-3882390</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-3882390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-3882390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-3882390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-3882390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-1910715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-1910715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-1910715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-1910715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-1910715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-8255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-8255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8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86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390,262,524</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1,493,469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(1,413,642 )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(38,122 )</w:t>
            </w:r>
          </w:p>
        </w:tc>
        <w:tc>
          <w:tcPr>
            <w:tcW w:w="1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(38,122 )</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(16 )</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pre-funded warrant to purchase</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in public</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net of issuance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68,007,741</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213,269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213,337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costs of $14,507</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44,983,193</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59,835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issuance of common stock</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options in exchange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 services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5,469,028</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508,731,846</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1,777,470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(1,451,764 )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(49,227 )</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(49,227 )</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(786 )</w:t>
            </w: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(786 )</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12,842,857</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17,754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issuances of common stock</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options in exchange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 services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361,074</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521,942,104</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1,799,841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(1,500,991 )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(945 )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loss</w:t>
            </w:r>
          </w:p>
        </w:tc>
        <w:tc>
          <w:tcPr>
            <w:tcW w:w="12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(44,805 )</w:t>
            </w:r>
          </w:p>
        </w:tc>
        <w:tc>
          <w:tcPr>
            <w:tcW w:w="10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(44,805 )</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(11 )</w:t>
            </w: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related to issuance of common</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and options in exchange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19,523,808</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services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9,581</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1,004,173</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542,479,666</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1,836,818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(1,545,796 )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(950 )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-3651250</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-3651250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-3651250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-3651250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-3651250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-1910715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-1910715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-1910715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-1910715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-1910715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-144780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-144780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-144780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-144780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499110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(149,220 )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(132,154 )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and amortization on investments, net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(7,281 )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(8,335 )</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costs/debt discounts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for services by non-employees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for employees and directors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(20,283 )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(28,007 )</w:t>
            </w:r>
          </w:p>
        </w:tc>
        <w:tc>
          <w:tcPr>
            <w:tcW w:w="5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interest receivable and other assets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(1,842 )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(13,694 )</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(174,673 )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(126,805 )</w:t>
            </w:r>
          </w:p>
        </w:tc>
      </w:tr>
      <w:tr>
        <w:trPr>
          <w:trHeight w:val="243"/>
        </w:trPr>
        <w:tc>
          <w:tcPr>
            <w:tcW w:w="7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(821 )</w:t>
            </w:r>
          </w:p>
        </w:tc>
        <w:tc>
          <w:tcPr>
            <w:tcW w:w="5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(292,141 )</w:t>
            </w: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(459,727 )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290,469</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232,602</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(2,493 )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(227,891 )</w:t>
            </w:r>
          </w:p>
        </w:tc>
      </w:tr>
      <w:tr>
        <w:trPr>
          <w:trHeight w:val="243"/>
        </w:trPr>
        <w:tc>
          <w:tcPr>
            <w:tcW w:w="7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issuances of common stock from equity plans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from offering</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140,729</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213,337</w:t>
            </w:r>
          </w:p>
        </w:tc>
        <w:tc>
          <w:tcPr>
            <w:tcW w:w="1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pre-funded warrant, net of paid issuance costs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105,912</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7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168,209</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328,741</w:t>
            </w:r>
          </w:p>
        </w:tc>
        <w:tc>
          <w:tcPr>
            <w:tcW w:w="100" w:type="dxa"/>
            <w:vAlign w:val="bottom"/>
            <w:tcBorders>
              <w:top w:val="single" w:sz="8" w:color="CFF0FC"/>
            </w:tcBorders>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(8,940 )</w:t>
            </w:r>
          </w:p>
        </w:tc>
        <w:tc>
          <w:tcPr>
            <w:tcW w:w="5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(25,964 )</w:t>
            </w: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62,198</w:t>
            </w: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31,245</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-822325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-504825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ind w:right="6360" w:firstLine="8"/>
        <w:spacing w:after="0" w:line="37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terms “Geron”, the “Company”, “we” and “us” as used in this Report refer to Geron Corporation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(consisting only of normal recurring accruals) considered necessary for a fair presentation have been included. Operating results for the three and nine months ended September 30, 2024 are not necessarily indicative of the results that may be expected for the year ending December 31, 2024 or any other period. These unaudited condensed consolidated financial statements and notes should be read in conjunction with the audited financial statements for each of the three years ended December 31, 2023, included in our Annual Report on Form 10-K for the year ended December 31, 2023, or the 2023 Form 10-K. The accompanying condensed consolidated balance sheet as of December 31, 2023 has been derived from audited financial statements at that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Geron Corporation and its wholly-owned subsidiaries, Geron UK and Geron Netherlands. For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The resultant translation adjustments are included in accumulated other comprehensive income (loss), a separate component of stockholders’ equity, on our condensed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weighted-average number of shares of common stock outstanding for the periods presented without consideration of potential common shares. In connection with previous public offerings, we issued pre-funded warrants to purchase shares of our common stock. These pre-funded warrants are exercisable immediately at an exercise price of $0.001 per share each, and as of September 30, 2024, none of these pre-funded warrants have been exercised. These pre-funded warrants, which represent an aggregate of 59,433,145 shares of common stock, have been included in the computation of basic net loss per share, since their exercise price is negligible and they may be exercised at any time.</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and nine months ended September 30, 2024 and 2023, the diluted net loss per share calculation excludes potential dilutive securities of 76,588,779 and 77,651,673, respectively, related to outstanding stock options and warrants as their effect would have been anti-dilutive.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operating leases, right-of-use assets, lease liabilities, income taxes, and stock-based compensation. We base our estimates on historical experience and on various other market specific and relevant assumptions that we believe to be reasonable under the circumstances. Actual results could differ from those estimates.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 w:name="page11"/>
    <w:bookmarkEnd w:id="10"/>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general, accounts receivable consists of amounts due from customers, net of customer allowances for cash discounts, product returns, and chargebacks. Accounts receivable are stated net of an allowance that reflects our current estimate of credit losses expected to occur over the life of the receivable. In developing our allowance for expected credit losses, we use assumptions to capture the risk of loss, even if remote, based on a number of factors including existing contractual payment terms, individual customer circumstances, historical payment patterns of our customers, a review of the local economic environment and its potential impact on expected future customer payment patterns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The payment terms on our trade receivables are relatively short. As a result, our collection risk is mitigated to a certain extent by the fact that sales are collected in a relatively short period of time, allowing for the ability to reduce exposure on defaults if collection issues are identified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We update our allowance as necessary to reflect expected credit losses over the remaining lives of the accounts receivable for outstanding trade receivables that are past due, have known disputes or have experienced any negative credit events that may result in future collectability issues. We do not currently expect our current or future exposures to credit losses to have a significant impact on us. The estimated allowance for expected credit losses was not material as of September 30, 2024, nor were the changes to the allowance during any of the periods presented.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Inventory</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Inventory is recorded at the lower of cost or net realized value, with cost determined under the weighted average method. Inventory costs include third-party contract manufacturing, third-party packaging services, freight, salaries, wages and stock-based compensation for personnel involved in the manufacturing process, and indirect overhead costs. We periodically review our inventories to identify obsolete, slow moving, excess or otherwise unsaleable items. If obsolete, slow moving, excess or unsaleable items are observed and there are no alternate uses for the inventory, we record a write-down to net realizable value. The determination of net realizable value requires judgment including consideration of many factors, such as estimates of future product demand, product net selling prices, current and future market conditions and potential product obsolescence, among others. Prior to regulatory approval, we expensed costs associated with the manufacture of a product candidate to research and development expense unless we are reasonably certain such costs have future commercial use and net realizable value. Since we consider attaining regulatory approval of a product candidate to be highly uncertain and difficult to predict, we expect only in rare instances that pre-launch inventory will be capitalized, if at all.</w:t>
      </w:r>
    </w:p>
    <w:p>
      <w:pPr>
        <w:spacing w:after="0" w:line="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began capitalizing inventory related to RYTELO in the quarter ended June 30, 2024, as we received approval of RYTELO on June 6, 2024, and the related costs were expected to be recoverable through the commercialization of RYTELO.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Cost of Goods Sold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Cost of goods sold includes the cost of producing and distributing inventories that are related to product revenue during the respective period, including salary related and stock-based compensation expense for employees involved with production and distribution, freight, and indirect overhead costs. Cost of goods sold may also include costs related to excess or obsolete inventory adjustment charges, abnormal costs, unabsorbed manufacturing and overhead costs, and manufacturing variances. For the three and nine months ended September 30, 2024, other than packaging costs, substantially all of our RYTELO inventory sold had a zero-cost basis as it was recorded as research and development expenses prior to the FDA’s approval.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Marketable Securities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 We are subject to credit risk related to our cash equivalents and marketable securities. Our marketable debt securities include U.S. Treasury securities, government-sponsored enterprise securities, commercial paper and corporate notes.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classify our marketable debt securities as available for sale. We record available-for-sale debt securities at fair value with unrealized gains and losses reported in accumulated other comprehensive income (loss) in stockholders’ equity. Realized gains and losses are included in interest income and are derived using the specific identification method for determining the cost of securities sold and have been insignificant to date. Dividend and interest income are recognized when earned and included in interest income on our condensed consolidated statements of operations. See Note 4 on Fair Value Measurements.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At the inception of an arrangement, we determine whether the arrangement is or contains a lease based on the unique facts and circumstances present. Operating leases are included in operating leases, right-of-use assets and lease liabilities on our condensed consolidated balance sheets. Right-of-use assets represent our right to use an underlying asset for the lease term and lease liabilities</w:t>
      </w:r>
    </w:p>
    <w:p>
      <w:pPr>
        <w:sectPr>
          <w:pgSz w:w="11900" w:h="16838" w:orient="portrait"/>
          <w:cols w:equalWidth="0" w:num="1">
            <w:col w:w="11240"/>
          </w:cols>
          <w:pgMar w:left="320" w:top="76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represent our obligation to make lease payments arising from the lease. Operating lease liabilities and their corresponding right-of-use assets are recorded based on the present value of remaining lease payments over the expected lease term. The present value of remaining lease payments within the 12 months following the balance sheet date are classified as current lease liabilities. The present value of lease payments not within the 12 months following the balance sheet date are classified as noncurrent lease liabilities. The interest rate implicit in lease contracts is typically not readily determinable. As such, to calculate the net present value of lease payments, we apply our incremental borrowing rate, which is the estimated rate to borrow on a collateralized basis over a similar term an amount equal to the lease payments in a similar economic environment as of the lease commencement date. We may adjust the right-of-use assets for certain adjustments, such as initial direct costs paid or incentives received. In addition, we include any options to extend or terminate the lease in the expected lease term when it is reasonably certain that we will exercise any such option. Lease expense is recognized on a straight-line basis over the expected lease term.</w:t>
      </w:r>
    </w:p>
    <w:p>
      <w:pPr>
        <w:spacing w:after="0" w:line="18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 lease agreements entered into after January 1, 2019 that include lease and non-lease components, such components are generally accounted for separately. We have also elected not to recognize on our condensed consolidated balance sheets leases with terms of one year or 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Debt issuance costs include legal fees, accounting fees, and other direct costs incurred in connection with the execution of our debt financing. Debt discounts represent costs paid to the lenders. Debt issuance costs and debt discounts are deducted from the carrying amount of the debt liability and are amortized to interest expense over the term of the related debt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In determining the appropriate amount and timing of revenue to be recognized under this guidance, we perform the following five steps: (i) identify the contract(s) with our customer; (ii) identify the promised goods or services in the agreement and determine whether they are performance obligations, based on whether they are capable of being distinct and distinct in the context of the agreement; (iii) determine the transaction price, including the constraint on variable consideration; (iv) allocate the transaction price to the performance obligations based on stand-alone selling prices; and (v) recognize revenue when (or as) we satisfy each performance obligation. We recognize shipping and handling costs as an expense in cost of goods sold when we transfer control to a customer.</w:t>
      </w:r>
    </w:p>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an agreement to transfer a distinct good or service to the customer and is the unit of account in Topic 606. Significant management judgment is required to determine the level of effort required and the period over which completion of the performance obligations is expected under an agreement. If reasonable estimates regarding when performance obligations are either complete or substantially complete cannot be made, then revenue recognition is deferred until a reasonable estimate can be made. Revenue is then recognized over the remaining estimated period of performance using the cumulative catch-up method.</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allocate the total transaction price to each performance obligation based on the estimated relative stand-alone selling prices of the promised goods or services underlying each performance obligation. Estimated selling prices for license rights are calculated using an income approach model and include the following key assumptions, judgments and estimates: the development timeline, revenue forecast, commercialization expenses, discount rate and probabilities of technical and regulatory success.</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distribute RYTELO in the U.S. through third party distributors and specialty pharmacies who are our customers. The third party distributors subsequently resell our product through their related specialty pharmacy providers to patients and health care providers. Separately, we have or may enter into payment arrangements with various third-party payers including pharmacy benefit managers, private healthcare insurers and government healthcare programs who provide coverage and reimbursement for our product that have been prescribed to a patient.</w:t>
      </w:r>
    </w:p>
    <w:p>
      <w:pPr>
        <w:spacing w:after="0" w:line="180"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principal activities from which we generate revenue. License fees and royalty revenue primarily represent amounts earned under agreements that out-license our technology to various companies. To date, our only source of product revenue has been from the U.S. sales of RYTELO, which we began shipping to our customers in June 2024. See Note 2 Revenue Recognition.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Revenues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net product revenues are recognized, net of variable consideration related to certain allowances and accruals, at the time our customers obtain control of our product, which is generally upon delivery to our customers. We use the expected value method, which</w:t>
      </w:r>
    </w:p>
    <w:p>
      <w:pPr>
        <w:sectPr>
          <w:pgSz w:w="11900" w:h="16838" w:orient="portrait"/>
          <w:cols w:equalWidth="0" w:num="1">
            <w:col w:w="11220"/>
          </w:cols>
          <w:pgMar w:left="320" w:top="765"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2" w:name="page13"/>
    <w:bookmarkEnd w:id="1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is the sum of probability-weighted amounts in a range of possible consideration amounts to estimate variable consideration and consideration payable to parties other than our customers related to our product sales.</w:t>
      </w:r>
    </w:p>
    <w:p>
      <w:pPr>
        <w:spacing w:after="0" w:line="5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record reserves, based on contractual terms, for components related to product sold during the reporting period, as well as our estimate of product that remains in the distribution channel inventory at the end of the reporting period that we expect will be sold to qualified healthcare providers. On a quarterly basis, we update our estimates and record any needed adjustments in the period we identify the adjustments.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sell RYTELO to our customers at wholesale acquisition cost, and calculate product revenue from RYTELO sales, net of variable consideration and consideration payable to parties other than our customers. Variable consideration and consideration payable to parties other than our customers consists of estimates related to the following categories: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Allowances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pay fees for distribution services, such as fees for certain data that customers provide to us. We estimate our customers will earn these fees and deduct these fees from gross product revenues and accounts receivable at the time we recognize the related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Discounts for Prompt Payment</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provide for prompt payment discounts to our customers, which are recorded as a reduction in gross product revenue in the same period that the related product revenue is recognized.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ind w:right="80" w:firstLine="545"/>
        <w:spacing w:after="0" w:line="261" w:lineRule="auto"/>
        <w:rPr>
          <w:sz w:val="20"/>
          <w:szCs w:val="20"/>
          <w:color w:val="auto"/>
        </w:rPr>
      </w:pPr>
      <w:r>
        <w:rPr>
          <w:rFonts w:ascii="Times New Roman" w:cs="Times New Roman" w:eastAsia="Times New Roman" w:hAnsi="Times New Roman"/>
          <w:sz w:val="18"/>
          <w:szCs w:val="18"/>
          <w:color w:val="auto"/>
        </w:rPr>
        <w:t>We offer customers the right to return products if they are damaged, defective, or expired, as defined in customer agreements. We estimate product returns considering experience from similar products in the market, historical return patterns, sales data, and inventory levels in the distribution channel. These estimates are recorded as a reduction in gross product revenue at the time of sale. Once products are returned, they are destroyed; we do not record a right of return asset.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Chargebacks occur when our contracted customers, mainly federal agencies that can purchase off the Federal Supply Schedule and Public Health Service 340B covered entities, buy directly from our distributors and wholesalers at discounted prices. The distributors and wholesalers then charge us the difference between their purchase price and the discounted price. We estimate chargebacks considering the terms of the applicable arrangement and our visibility regarding utilization. These chargebacks are recorded in the same period as the related revenue, reducing our net product revenue and receivables. We typically issue credits for these amounts within a few weeks of notification.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Rebates</w:t>
      </w:r>
    </w:p>
    <w:p>
      <w:pPr>
        <w:spacing w:after="0" w:line="11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are subject to discount obligations under government programs. Reserves for rebates payable under these government programs are recorded in the same period as gross product revenue, reducing our gross product revenue and creating a liability in accrued liabilities. Major rebates include those from the Medicare and Medicaid programs. Estimates for rebates are made considering statutory discount rates and expected utilization. These estimates are updated each period with actual claims and other current information, taking into account historical data, comparable products and other considerations.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Co-payment Assistance</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offer co-payment assistance to patients with commercial insurance that have coverage and reside in states that allow co-payment assistance. We estimate the average co-payment assistance amounts for our products based on expected customer demographics and record any such amounts within accrued expenses and a reduction to product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of Geron’s human embryonic stem cell assets, including intellectual property and proprietary technology, to Lineage Cell Therapeutics, Inc. (formerly BioTime, Inc. which acquired Asterias Biotherapeutics, Inc.) in 2013, we are entitled to receive royalties on sales of certain research or commercial products utilizing Geron’s divested intellectual property.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For agreements with sales-based royalties, including milestone payments based on the level of sales, where the license is deemed to be the predominant item to which the royalties relate, we recognize revenue at the later of (a) when the related sales occur, or (b) when the performance obligation, to which some or all of the royalty has been allocated, has been satisfied (or partially satisfied). At each reporting date, we estimate the sales incurred by each licensee during the reporting period based on historical experience and accrue the associated royalty amount.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consists of funds maintained in separate money market or certificate of deposit accounts for credit card purchases.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currently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drugs, manufacturing costs for research and clinical trial materials, sponsored research at other labs, consulting, costs to maintain technology licenses and research-related overhead.</w:t>
      </w:r>
    </w:p>
    <w:p>
      <w:pPr>
        <w:spacing w:after="0" w:line="180"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Our current imetelstat clinical trials are being supported by contract research organizations, or CROs, and other vendors. We accrue expenses for clinical trial activities performed and managed by CROs based upon the amount of work completed on each trial. Expenses are recorded based on contracted amounts agreed to with our CROs and through monthly reporting provided by CROs. We monitor activities conducted and managed by the CROs to the extent possible through internal reviews, review of contractual terms and correspondence with CROs. We record expense on the best information available at the time. However, additional information may become available to us which may require adjustments to research and development expenses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record property and equipment at cost and calculate depreciation using the straight-line method over the estimated useful lives of the assets, generally four years. Leasehold improvements are amortized over the shorter of the estimated useful life or remaining term of the 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We maintain various stock incentive plans under which stock options and restricted stock awards can be granted to employees, non-employee directors and consultants. We also have an employee stock purchase plan for all eligible employees. We recognize stock-based compensation expense based on grant-date fair values of service-based stock options on a straight-line basis over the requisite service period, which is generally the vesting period. For performance-based stock options with vesting based on the 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is affected by our stock price as well as assumptions regarding a number of complex and subjective variables. The grant-date fair value for service-based restricted stock awards is determined using the fair value of our common stock on the date of grant. We evaluate whether an adjustment to the assumptions of fair value of our common stock and historical volatility are required if observed prices of our common stock materially differ from historical information.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stock-based compensation expense included in operating expenses on our condensed consolidated statements of operations related to stock options and employee stock purchases for the three and nine months ended September 30, 2024 and 2023, which was allocated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9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24,392</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-25400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562"/>
        <w:spacing w:after="0" w:line="282" w:lineRule="auto"/>
        <w:rPr>
          <w:sz w:val="20"/>
          <w:szCs w:val="20"/>
          <w:color w:val="auto"/>
        </w:rPr>
      </w:pPr>
      <w:r>
        <w:rPr>
          <w:rFonts w:ascii="Times New Roman" w:cs="Times New Roman" w:eastAsia="Times New Roman" w:hAnsi="Times New Roman"/>
          <w:sz w:val="18"/>
          <w:szCs w:val="18"/>
          <w:color w:val="auto"/>
        </w:rPr>
        <w:t>Stock-based compensation of $0.3 million and $0.4 million was capitalized to inventory for the three and nine months ended September 30, 2024, respectively.</w:t>
      </w:r>
    </w:p>
    <w:p>
      <w:pPr>
        <w:spacing w:after="0" w:line="202" w:lineRule="exact"/>
        <w:rPr>
          <w:sz w:val="20"/>
          <w:szCs w:val="20"/>
          <w:color w:val="auto"/>
        </w:rPr>
      </w:pPr>
    </w:p>
    <w:p>
      <w:pPr>
        <w:ind w:right="100" w:firstLine="562"/>
        <w:spacing w:after="0" w:line="256" w:lineRule="auto"/>
        <w:rPr>
          <w:sz w:val="20"/>
          <w:szCs w:val="20"/>
          <w:color w:val="auto"/>
        </w:rPr>
      </w:pPr>
      <w:r>
        <w:rPr>
          <w:rFonts w:ascii="Times New Roman" w:cs="Times New Roman" w:eastAsia="Times New Roman" w:hAnsi="Times New Roman"/>
          <w:sz w:val="18"/>
          <w:szCs w:val="18"/>
          <w:color w:val="auto"/>
        </w:rPr>
        <w:t>As stock-based compensation expense recognized in our condensed consolidated statements of operations for the three and nine months ended September 30, 2024 and 2023 is based on awards ultimately expected to vest, it has been reduced for estimated forfeitures, but at a minimum, reflects the grant-date fair value of those awards that actually vested in the period. Forfeitures have been estimated at the time of grant based on historical data and revised, if necessary, in subsequent periods if actual forfeitures differ from those estimates. We have recognized stock-based compensation expense for the achievement of a milestone achieved upon FDA approval of RYTELO on our condensed consolidated statements of operations for the three and nine months ended September 30, 2024 and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grant service-based and performance-based stock options under our equity plans to employees, non-employee directors and consultants. The service-based vesting period for employee stock options is generally four years from the date of the stock option grant. Performance-based stock options vest upon the achievement of specified strategic milestones. The fair value of service-based stock options granted during the nine months ended September 30, 2024 and 2023 has been estimated at the date of grant using the Black- Scholes option-pricing model with the following assumptions: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448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380" w:type="dxa"/>
            <w:vAlign w:val="bottom"/>
          </w:tcPr>
          <w:p>
            <w:pPr>
              <w:spacing w:after="0"/>
              <w:rPr>
                <w:sz w:val="14"/>
                <w:szCs w:val="14"/>
                <w:color w:val="auto"/>
              </w:rPr>
            </w:pPr>
          </w:p>
        </w:tc>
        <w:tc>
          <w:tcPr>
            <w:tcW w:w="21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1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0%</w:t>
            </w:r>
          </w:p>
        </w:tc>
        <w:tc>
          <w:tcPr>
            <w:tcW w:w="2320" w:type="dxa"/>
            <w:vAlign w:val="bottom"/>
            <w:gridSpan w:val="2"/>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82.94% to 86.68%</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81.53% to 82.12%</w:t>
            </w:r>
          </w:p>
        </w:tc>
      </w:tr>
      <w:tr>
        <w:trPr>
          <w:trHeight w:val="24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3.53% to 4.62%</w:t>
            </w:r>
          </w:p>
        </w:tc>
        <w:tc>
          <w:tcPr>
            <w:tcW w:w="16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3.42% to 4.62%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employees’ stock purchase rights during the nine months ended September 30, 2024 and 2023 has been estimated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option-pricing model with the following assumptions:</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448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3380" w:type="dxa"/>
            <w:vAlign w:val="bottom"/>
          </w:tcPr>
          <w:p>
            <w:pPr>
              <w:spacing w:after="0"/>
              <w:rPr>
                <w:sz w:val="14"/>
                <w:szCs w:val="14"/>
                <w:color w:val="auto"/>
              </w:rPr>
            </w:pPr>
          </w:p>
        </w:tc>
        <w:tc>
          <w:tcPr>
            <w:tcW w:w="21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1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0%</w:t>
            </w:r>
          </w:p>
        </w:tc>
        <w:tc>
          <w:tcPr>
            <w:tcW w:w="2320" w:type="dxa"/>
            <w:vAlign w:val="bottom"/>
            <w:gridSpan w:val="2"/>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72.08% to 119%</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79.05% to 83.22%</w:t>
            </w:r>
          </w:p>
        </w:tc>
      </w:tr>
      <w:tr>
        <w:trPr>
          <w:trHeight w:val="24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4.79% to 5.37%</w:t>
            </w:r>
          </w:p>
        </w:tc>
        <w:tc>
          <w:tcPr>
            <w:tcW w:w="16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4.73% to 5.40%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range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months to 12 months</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months to 12 months</w:t>
            </w:r>
          </w:p>
        </w:tc>
      </w:tr>
    </w:tbl>
    <w:p>
      <w:pPr>
        <w:spacing w:after="0" w:line="247" w:lineRule="exact"/>
        <w:rPr>
          <w:sz w:val="20"/>
          <w:szCs w:val="20"/>
          <w:color w:val="auto"/>
        </w:rPr>
      </w:pPr>
    </w:p>
    <w:p>
      <w:pPr>
        <w:ind w:right="140" w:firstLine="562"/>
        <w:spacing w:after="0" w:line="258" w:lineRule="auto"/>
        <w:rPr>
          <w:sz w:val="20"/>
          <w:szCs w:val="20"/>
          <w:color w:val="auto"/>
        </w:rPr>
      </w:pPr>
      <w:r>
        <w:rPr>
          <w:rFonts w:ascii="Times New Roman" w:cs="Times New Roman" w:eastAsia="Times New Roman" w:hAnsi="Times New Roman"/>
          <w:sz w:val="18"/>
          <w:szCs w:val="18"/>
          <w:color w:val="auto"/>
        </w:rPr>
        <w:t>Dividend yield is based on historical cash dividend payments and Geron has paid no cash dividends to date. The expected volatility range is based on historical volatilities of our stock, since traded options on Geron common stock do not correspond to option terms and the trading volume of options is limited. The risk-free interest rate range is based on the U.S. Zero Coupon Treasury Strip Yields for the expected term in effect on the date of grant for an award. The expected term of stock options is derived from actual historical exercise and post-vesting cancellation data and represents the period of time that stock options granted are expected to be outstanding. The expected term of employees’ stock purchase rights is equal to the purchase period.</w:t>
      </w:r>
    </w:p>
    <w:p>
      <w:pPr>
        <w:sectPr>
          <w:pgSz w:w="11900" w:h="16838" w:orient="portrait"/>
          <w:cols w:equalWidth="0" w:num="1">
            <w:col w:w="11240"/>
          </w:cols>
          <w:pgMar w:left="320" w:top="76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5" w:name="page16"/>
    <w:bookmarkEnd w:id="15"/>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Stock-Based Awards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measure share-based payments to non-employees based on the grant-date fair value of the equity awards. We recognize stock-based compensation expense for the fair value of the vested portion of non-employee stock-based awards on our condensed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executive management team represents our chief decision maker. We view our operations as a single segment, the development and commercialization of therapeutic products for oncology. As a result, the financial information disclosed herein materially represents all of the financial information related to our principal operating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Recently Adopted</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or ASU 2020-06. The key elements of ASU 2020-06 aim to reduce unnecessary complexity in GAAP for certain financial instruments with characteristics of liabilities and equity. In addressing the complexity, the FASB focused on amending the guidance on convertible instruments and the guidance on the derivatives scope exception for contracts in an entity’s own equity. For convertible instruments, the FASB decided to reduce the number of accounting models for convertible debt instruments and convertible preferred stock. For contracts in an entity’s own equity, the FASB observed that the application of the derivatives scope exception guidance results in accounting for some contracts as derivatives while accounting for economically similar contracts as equity. The FASB also decided to improve and amend the related earnings per share guidance. ASU 2020-06 is effective for fiscal years beginning after December 15, 2021, and interim periods within those fiscal years for public business entities that are not smaller reporting companies. For all other entities, ASU 2020-06 is effective for fiscal years beginning after December 15, 2023, and interim periods within those fiscal years. We adopted ASU 2020-06 as of January 1, 2024 and it did not have a material impact on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Issued But Not Yet Adopted</w:t>
      </w:r>
    </w:p>
    <w:p>
      <w:pPr>
        <w:spacing w:after="0" w:line="119" w:lineRule="exact"/>
        <w:rPr>
          <w:sz w:val="20"/>
          <w:szCs w:val="20"/>
          <w:color w:val="auto"/>
        </w:rPr>
      </w:pPr>
    </w:p>
    <w:p>
      <w:pPr>
        <w:jc w:val="both"/>
        <w:ind w:right="5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Accounting for Application of Profits Interest and Similar Awards</w:t>
      </w:r>
      <w:r>
        <w:rPr>
          <w:rFonts w:ascii="Times New Roman" w:cs="Times New Roman" w:eastAsia="Times New Roman" w:hAnsi="Times New Roman"/>
          <w:sz w:val="18"/>
          <w:szCs w:val="18"/>
          <w:color w:val="auto"/>
        </w:rPr>
        <w:t>, or ASU 2024-01. The key elements of ASU 2024-01 aim to account for profit interest awards as compensation to employees or nonemployees in return for goods and services effective for annual periods beginning after December 15, 2024 and interim periods with those annual periods. We do not expect the adoption of this standard to have a material impact on our condensed consolidated financial statements.</w:t>
      </w:r>
    </w:p>
    <w:p>
      <w:pPr>
        <w:spacing w:after="0" w:line="182"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did not or are not believed by management to have a material impact on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 RECOGNITON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date, our only source of product revenue has been from the U.S. sales of RYTELO, which we began shipping to our customers in June 2024. The reconciliation of gross product sales to net product sales by each significant category of gross-to-net adjustments was as follows for the three and nine months ended September 30, 2024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5"/>
        </w:trPr>
        <w:tc>
          <w:tcPr>
            <w:tcW w:w="7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product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Gross-to-net adjustments:</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Chargebacks and distributor service fees</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(4,002 )</w:t>
            </w:r>
          </w:p>
        </w:tc>
        <w:tc>
          <w:tcPr>
            <w:tcW w:w="2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(4,099 )</w:t>
            </w:r>
          </w:p>
        </w:tc>
      </w:tr>
      <w:tr>
        <w:trPr>
          <w:trHeight w:val="239"/>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rebates</w:t>
            </w:r>
          </w:p>
        </w:tc>
        <w:tc>
          <w:tcPr>
            <w:tcW w:w="240" w:type="dxa"/>
            <w:vAlign w:val="bottom"/>
          </w:tcPr>
          <w:p>
            <w:pPr>
              <w:spacing w:after="0"/>
              <w:rPr>
                <w:sz w:val="20"/>
                <w:szCs w:val="20"/>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(364 )</w:t>
            </w:r>
          </w:p>
        </w:tc>
        <w:tc>
          <w:tcPr>
            <w:tcW w:w="220" w:type="dxa"/>
            <w:vAlign w:val="bottom"/>
          </w:tcPr>
          <w:p>
            <w:pPr>
              <w:spacing w:after="0"/>
              <w:rPr>
                <w:sz w:val="20"/>
                <w:szCs w:val="20"/>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(375 )</w:t>
            </w:r>
          </w:p>
        </w:tc>
      </w:tr>
      <w:tr>
        <w:trPr>
          <w:trHeight w:val="243"/>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24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(82 )</w:t>
            </w:r>
          </w:p>
        </w:tc>
        <w:tc>
          <w:tcPr>
            <w:tcW w:w="2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r>
        <w:trPr>
          <w:trHeight w:val="20"/>
        </w:trPr>
        <w:tc>
          <w:tcPr>
            <w:tcW w:w="70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gross-to-net adjustments </w:t>
            </w:r>
            <w:r>
              <w:rPr>
                <w:rFonts w:ascii="Times New Roman" w:cs="Times New Roman" w:eastAsia="Times New Roman" w:hAnsi="Times New Roman"/>
                <w:sz w:val="10"/>
                <w:szCs w:val="10"/>
                <w:color w:val="auto"/>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(4,448 )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(4,558 )</w:t>
            </w:r>
          </w:p>
        </w:tc>
      </w:tr>
      <w:tr>
        <w:trPr>
          <w:trHeight w:val="281"/>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-976630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-350520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0" w:lineRule="exact"/>
        <w:rPr>
          <w:sz w:val="20"/>
          <w:szCs w:val="20"/>
          <w:color w:val="auto"/>
        </w:rPr>
      </w:pPr>
    </w:p>
    <w:p>
      <w:pPr>
        <w:ind w:left="520" w:right="740" w:hanging="512"/>
        <w:spacing w:after="0" w:line="261"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approximately $1.4 million of estimated gross-to-net accruals have been recorded within accounts payable and accrued expenses on the condensed consolidated balance sheets.</w:t>
      </w:r>
    </w:p>
    <w:p>
      <w:pPr>
        <w:spacing w:after="0" w:line="163"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INVENTORY</w:t>
      </w:r>
    </w:p>
    <w:p>
      <w:pPr>
        <w:spacing w:after="0" w:line="337"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All of our inventories are related to the manufacturing of RYTELO. The following table presents our inventory as of September 30, 2024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r>
      <w:tr>
        <w:trPr>
          <w:trHeight w:val="187"/>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7"/>
        </w:trPr>
        <w:tc>
          <w:tcPr>
            <w:tcW w:w="8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00" w:type="dxa"/>
            <w:vAlign w:val="bottom"/>
            <w:shd w:val="clear" w:color="auto" w:fill="CFF0FC"/>
          </w:tcPr>
          <w:p>
            <w:pPr>
              <w:spacing w:after="0"/>
              <w:rPr>
                <w:sz w:val="20"/>
                <w:szCs w:val="20"/>
                <w:color w:val="auto"/>
              </w:rPr>
            </w:pPr>
          </w:p>
        </w:tc>
      </w:tr>
      <w:tr>
        <w:trPr>
          <w:trHeight w:val="23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00" w:type="dxa"/>
            <w:vAlign w:val="bottom"/>
          </w:tcPr>
          <w:p>
            <w:pPr>
              <w:spacing w:after="0"/>
              <w:rPr>
                <w:sz w:val="20"/>
                <w:szCs w:val="20"/>
                <w:color w:val="auto"/>
              </w:rPr>
            </w:pPr>
          </w:p>
        </w:tc>
      </w:tr>
      <w:tr>
        <w:trPr>
          <w:trHeight w:val="243"/>
        </w:trPr>
        <w:tc>
          <w:tcPr>
            <w:tcW w:w="8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100" w:type="dxa"/>
            <w:vAlign w:val="bottom"/>
          </w:tcPr>
          <w:p>
            <w:pPr>
              <w:spacing w:after="0"/>
              <w:rPr>
                <w:sz w:val="20"/>
                <w:szCs w:val="20"/>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restricted cash and marketable securities by security type at September 30, 2024 were as follows: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4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31,854</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31,854</w:t>
            </w:r>
          </w:p>
        </w:tc>
        <w:tc>
          <w:tcPr>
            <w:tcW w:w="100" w:type="dxa"/>
            <w:vAlign w:val="bottom"/>
          </w:tcPr>
          <w:p>
            <w:pPr>
              <w:spacing w:after="0"/>
              <w:rPr>
                <w:sz w:val="20"/>
                <w:szCs w:val="20"/>
                <w:color w:val="auto"/>
              </w:rPr>
            </w:pPr>
          </w:p>
        </w:tc>
      </w:tr>
      <w:tr>
        <w:trPr>
          <w:trHeight w:val="243"/>
        </w:trPr>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040" w:type="dxa"/>
            <w:vAlign w:val="bottom"/>
          </w:tcPr>
          <w:p>
            <w:pPr>
              <w:spacing w:after="0"/>
              <w:rPr>
                <w:sz w:val="20"/>
                <w:szCs w:val="20"/>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36,824</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36,826</w:t>
            </w:r>
          </w:p>
        </w:tc>
        <w:tc>
          <w:tcPr>
            <w:tcW w:w="10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deposit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r>
      <w:tr>
        <w:trPr>
          <w:trHeight w:val="276"/>
        </w:trPr>
        <w:tc>
          <w:tcPr>
            <w:tcW w:w="4040" w:type="dxa"/>
            <w:vAlign w:val="bottom"/>
            <w:shd w:val="clear" w:color="auto" w:fill="CFF0FC"/>
          </w:tcPr>
          <w:p>
            <w:pPr>
              <w:spacing w:after="0"/>
              <w:rPr>
                <w:sz w:val="24"/>
                <w:szCs w:val="24"/>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shd w:val="clear" w:color="auto" w:fill="CFF0FC"/>
          </w:tcPr>
          <w:p>
            <w:pPr>
              <w:spacing w:after="0"/>
              <w:rPr>
                <w:sz w:val="24"/>
                <w:szCs w:val="24"/>
                <w:color w:val="auto"/>
              </w:rPr>
            </w:pPr>
          </w:p>
        </w:tc>
      </w:tr>
      <w:tr>
        <w:trPr>
          <w:trHeight w:val="228"/>
        </w:trPr>
        <w:tc>
          <w:tcPr>
            <w:tcW w:w="40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 (due in</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35,481</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35,537</w:t>
            </w:r>
          </w:p>
        </w:tc>
        <w:tc>
          <w:tcPr>
            <w:tcW w:w="100" w:type="dxa"/>
            <w:vAlign w:val="bottom"/>
          </w:tcPr>
          <w:p>
            <w:pPr>
              <w:spacing w:after="0"/>
              <w:rPr>
                <w:sz w:val="18"/>
                <w:szCs w:val="18"/>
                <w:color w:val="auto"/>
              </w:rPr>
            </w:pPr>
          </w:p>
        </w:tc>
      </w:tr>
      <w:tr>
        <w:trPr>
          <w:trHeight w:val="241"/>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less than 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securities (due in less than 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shd w:val="clear" w:color="auto" w:fill="CFF0FC"/>
          </w:tcPr>
          <w:p>
            <w:pPr>
              <w:spacing w:after="0"/>
              <w:rPr>
                <w:sz w:val="21"/>
                <w:szCs w:val="21"/>
                <w:color w:val="auto"/>
              </w:rPr>
            </w:pPr>
          </w:p>
        </w:tc>
      </w:tr>
      <w:tr>
        <w:trPr>
          <w:trHeight w:val="211"/>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(due in one to two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18"/>
        </w:trPr>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 (due in less than</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135,717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136,043</w:t>
            </w: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88,141</w:t>
            </w:r>
          </w:p>
        </w:tc>
        <w:tc>
          <w:tcPr>
            <w:tcW w:w="100" w:type="dxa"/>
            <w:vAlign w:val="bottom"/>
          </w:tcPr>
          <w:p>
            <w:pPr>
              <w:spacing w:after="0"/>
              <w:rPr>
                <w:sz w:val="20"/>
                <w:szCs w:val="20"/>
                <w:color w:val="auto"/>
              </w:rPr>
            </w:pPr>
          </w:p>
        </w:tc>
      </w:tr>
      <w:tr>
        <w:trPr>
          <w:trHeight w:val="243"/>
        </w:trPr>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100" w:type="dxa"/>
            <w:vAlign w:val="bottom"/>
            <w:shd w:val="clear" w:color="auto" w:fill="CFF0FC"/>
          </w:tcPr>
          <w:p>
            <w:pPr>
              <w:spacing w:after="0"/>
              <w:rPr>
                <w:sz w:val="21"/>
                <w:szCs w:val="2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315,736</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316,742</w:t>
            </w:r>
          </w:p>
        </w:tc>
        <w:tc>
          <w:tcPr>
            <w:tcW w:w="100" w:type="dxa"/>
            <w:vAlign w:val="bottom"/>
          </w:tcPr>
          <w:p>
            <w:pPr>
              <w:spacing w:after="0"/>
              <w:rPr>
                <w:sz w:val="20"/>
                <w:szCs w:val="20"/>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-2965450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-2965450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-2965450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-2965450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-1996440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-1979295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-1996440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-1979295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-1996440</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-1979295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-1996440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-1979295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restricted cash and marketable securities by security type at December 31,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60" w:type="dxa"/>
            <w:vAlign w:val="bottom"/>
          </w:tcPr>
          <w:p>
            <w:pPr>
              <w:spacing w:after="0"/>
              <w:rPr>
                <w:sz w:val="15"/>
                <w:szCs w:val="15"/>
                <w:color w:val="auto"/>
              </w:rPr>
            </w:pPr>
          </w:p>
        </w:tc>
      </w:tr>
      <w:tr>
        <w:trPr>
          <w:trHeight w:val="187"/>
        </w:trPr>
        <w:tc>
          <w:tcPr>
            <w:tcW w:w="58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6"/>
                <w:szCs w:val="16"/>
                <w:color w:val="auto"/>
              </w:rPr>
            </w:pPr>
          </w:p>
        </w:tc>
      </w:tr>
      <w:tr>
        <w:trPr>
          <w:trHeight w:val="232"/>
        </w:trPr>
        <w:tc>
          <w:tcPr>
            <w:tcW w:w="580" w:type="dxa"/>
            <w:vAlign w:val="bottom"/>
          </w:tcPr>
          <w:p>
            <w:pPr>
              <w:spacing w:after="0"/>
              <w:rPr>
                <w:sz w:val="20"/>
                <w:szCs w:val="20"/>
                <w:color w:val="auto"/>
              </w:rPr>
            </w:pPr>
          </w:p>
        </w:tc>
        <w:tc>
          <w:tcPr>
            <w:tcW w:w="4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9"/>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deposit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040" w:type="dxa"/>
            <w:vAlign w:val="bottom"/>
            <w:shd w:val="clear" w:color="auto" w:fill="CFF0FC"/>
          </w:tcPr>
          <w:p>
            <w:pPr>
              <w:spacing w:after="0"/>
              <w:rPr>
                <w:sz w:val="24"/>
                <w:szCs w:val="24"/>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40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 (due in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less than one year)</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26,752</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8"/>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 (due in</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one to two years)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8"/>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(due in one to two years)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 (due in less than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580" w:type="dxa"/>
            <w:vAlign w:val="bottom"/>
          </w:tcPr>
          <w:p>
            <w:pPr>
              <w:spacing w:after="0"/>
              <w:rPr>
                <w:sz w:val="24"/>
                <w:szCs w:val="24"/>
                <w:color w:val="auto"/>
              </w:rPr>
            </w:pPr>
          </w:p>
        </w:tc>
        <w:tc>
          <w:tcPr>
            <w:tcW w:w="40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306,784</w:t>
            </w:r>
          </w:p>
        </w:tc>
        <w:tc>
          <w:tcPr>
            <w:tcW w:w="26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306,974</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849"/>
        </w:trPr>
        <w:tc>
          <w:tcPr>
            <w:tcW w:w="580" w:type="dxa"/>
            <w:vAlign w:val="bottom"/>
          </w:tcPr>
          <w:p>
            <w:pPr>
              <w:spacing w:after="0"/>
              <w:rPr>
                <w:sz w:val="24"/>
                <w:szCs w:val="24"/>
                <w:color w:val="auto"/>
              </w:rPr>
            </w:pPr>
          </w:p>
        </w:tc>
        <w:tc>
          <w:tcPr>
            <w:tcW w:w="40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-4302760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-4302760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-4302760</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-4302760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-3333750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-3317240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-3333750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-3317240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-3333750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-3317240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-3317240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-1071245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-1053465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-1071245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-1053465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-1071245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-1053465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-1071245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with unrealized losses that have been in a continuous unrealized loss position for less than 12 months and 12 months or longer at September 30, 2024 and December 31, 2023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6"/>
                <w:szCs w:val="16"/>
                <w:color w:val="auto"/>
              </w:rPr>
            </w:pPr>
          </w:p>
        </w:tc>
        <w:tc>
          <w:tcPr>
            <w:tcW w:w="200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98"/>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left="108"/>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8"/>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5"/>
                <w:szCs w:val="15"/>
                <w:color w:val="auto"/>
              </w:rPr>
            </w:pPr>
          </w:p>
        </w:tc>
        <w:tc>
          <w:tcPr>
            <w:tcW w:w="8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7"/>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86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Commercial paper (due in less than</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one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Corporate notes (due in less than</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one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Corporate notes (due in one to</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3"/>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two years)</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12,842</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14,828</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7"/>
        </w:trPr>
        <w:tc>
          <w:tcPr>
            <w:tcW w:w="33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Government-sponsored enterprise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securities (due in less than one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69,377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(92 )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Commercial paper (due in less than</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one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58,622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(33 )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58,622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Corporate notes (due in</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less than one year)</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34,567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(63 )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34,567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(63 )</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Corporate notes (due in</w:t>
            </w:r>
          </w:p>
        </w:tc>
        <w:tc>
          <w:tcPr>
            <w:tcW w:w="1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(23 )</w:t>
            </w:r>
          </w:p>
        </w:tc>
        <w:tc>
          <w:tcPr>
            <w:tcW w:w="16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23"/>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one to two years)</w:t>
            </w:r>
          </w:p>
        </w:tc>
        <w:tc>
          <w:tcPr>
            <w:tcW w:w="16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(211 )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8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(211 )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-1602105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-1584960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-1602105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-1584960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-1602105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-1584960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-1602105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-1584960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-1602105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-1584960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-179070</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-179070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-179070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-179070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-179070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gross unrealized losses related to U.S. Treasury securities, municipal securities, government-sponsored enterprise securities, commercial paper and corporate notes as of September 30, 2024 and December 31, 2023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and nine months ended September 30, 2024 and 2023 as we have not identified any unrealized losses for these securities attributable to credit factors. Our exposure to unrealized losses may increase in the future due to the economic pressures or uncertainties associated with macroeconomic or other global economic conditions, including those resulting from inflation, rising interest rates, prospects of a recession, bank failures and other disruptions to financial systems, civil or political unrest, military conflicts, pandemics or other health crises.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on a Recurring Basis</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We categorize financial instruments recorded at fair value on our condensed consolidated balance sheets based upon the level of judgment associated with inputs used to measure their fair value. The categories are as follows:</w:t>
      </w:r>
    </w:p>
    <w:p>
      <w:pPr>
        <w:spacing w:after="0" w:line="81" w:lineRule="exact"/>
        <w:rPr>
          <w:sz w:val="20"/>
          <w:szCs w:val="20"/>
          <w:color w:val="auto"/>
        </w:rPr>
      </w:pPr>
    </w:p>
    <w:p>
      <w:pPr>
        <w:ind w:left="1380" w:right="260" w:hanging="112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Level 1</w:t>
        <w:tab/>
        <w:t>— Inputs are unadjusted, quoted prices in active markets for identical assets or liabilities at the measurement date. An active market for an asset or liability is a market in which transactions for the asset or liability occur with sufficient frequency and volume to provide pricing information on an ongoing basis.</w:t>
      </w:r>
    </w:p>
    <w:p>
      <w:pPr>
        <w:spacing w:after="0" w:line="95" w:lineRule="exact"/>
        <w:rPr>
          <w:sz w:val="20"/>
          <w:szCs w:val="20"/>
          <w:color w:val="auto"/>
        </w:rPr>
      </w:pPr>
    </w:p>
    <w:p>
      <w:pPr>
        <w:ind w:left="1380" w:right="420" w:hanging="1120"/>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Level 2</w:t>
        <w:tab/>
        <w:t>—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81" w:lineRule="exact"/>
        <w:rPr>
          <w:sz w:val="20"/>
          <w:szCs w:val="20"/>
          <w:color w:val="auto"/>
        </w:rPr>
      </w:pPr>
    </w:p>
    <w:p>
      <w:pPr>
        <w:ind w:left="1380" w:right="80" w:hanging="1120"/>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Level 3</w:t>
        <w:tab/>
        <w:t>—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75"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Money market funds are categorized as Level 1 within the fair value hierarchy as their fair values are based on quoted prices available in active markets. U.S. Treasury securities, municipal securities, government-sponsored enterprise securities, commercial paper, and corporate notes are categorized as Level 2 within the fair value hierarchy as their fair values are estimated by using pricing models, quoted prices of securities with similar characteristics or discounted cash flows.</w:t>
      </w:r>
    </w:p>
    <w:p>
      <w:pPr>
        <w:sectPr>
          <w:pgSz w:w="11900" w:h="16838" w:orient="portrait"/>
          <w:cols w:equalWidth="0" w:num="1">
            <w:col w:w="11240"/>
          </w:cols>
          <w:pgMar w:left="320" w:top="76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 w:name="page20"/>
    <w:bookmarkEnd w:id="19"/>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instruments that are measured at fair value on a recurring basis as of September 30, 2024 and December 31, 2023 and indicates the fair value category assigned.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4"/>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280" w:type="dxa"/>
            <w:vAlign w:val="bottom"/>
            <w:tcBorders>
              <w:bottom w:val="single" w:sz="8" w:color="auto"/>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33,435</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Certificate of deposit</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460" w:type="dxa"/>
            <w:vAlign w:val="bottom"/>
            <w:gridSpan w:val="3"/>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Government-sponsored enterprise</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3460" w:type="dxa"/>
            <w:vAlign w:val="bottom"/>
            <w:gridSpan w:val="3"/>
            <w:shd w:val="clear" w:color="auto" w:fill="CFF0FC"/>
          </w:tcPr>
          <w:p>
            <w:pPr>
              <w:ind w:left="320"/>
              <w:spacing w:after="0" w:line="267"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4"/>
                <w:szCs w:val="24"/>
                <w:color w:val="auto"/>
                <w:vertAlign w:val="superscript"/>
              </w:rPr>
              <w:t>(3)(4)</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tcBorders>
              <w:bottom w:val="single" w:sz="8" w:color="CFF0FC"/>
            </w:tcBorders>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Corporate notes</w:t>
            </w:r>
            <w:r>
              <w:rPr>
                <w:rFonts w:ascii="Times New Roman" w:cs="Times New Roman" w:eastAsia="Times New Roman" w:hAnsi="Times New Roman"/>
                <w:sz w:val="24"/>
                <w:szCs w:val="24"/>
                <w:color w:val="auto"/>
                <w:vertAlign w:val="superscript"/>
              </w:rPr>
              <w:t>(3)(4)</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3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33,708</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321,712</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3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Certificate of deposit</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(3)(4)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460" w:type="dxa"/>
            <w:vAlign w:val="bottom"/>
            <w:gridSpan w:val="3"/>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Government-sponsored enterprise</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3460" w:type="dxa"/>
            <w:vAlign w:val="bottom"/>
            <w:gridSpan w:val="3"/>
            <w:shd w:val="clear" w:color="auto" w:fill="CFF0FC"/>
          </w:tcPr>
          <w:p>
            <w:pPr>
              <w:ind w:left="320"/>
              <w:spacing w:after="0" w:line="267"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4"/>
                <w:szCs w:val="24"/>
                <w:color w:val="auto"/>
                <w:vertAlign w:val="superscript"/>
              </w:rPr>
              <w:t>(3)(4)</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tcBorders>
              <w:bottom w:val="single" w:sz="8" w:color="CFF0FC"/>
            </w:tcBorders>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Corporate notes</w:t>
            </w:r>
            <w:r>
              <w:rPr>
                <w:rFonts w:ascii="Times New Roman" w:cs="Times New Roman" w:eastAsia="Times New Roman" w:hAnsi="Times New Roman"/>
                <w:sz w:val="24"/>
                <w:szCs w:val="24"/>
                <w:color w:val="auto"/>
                <w:vertAlign w:val="superscript"/>
              </w:rPr>
              <w:t>(3)(4)</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75,092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3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306,974</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-1687830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-1687830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-1687830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-1687830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-281940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-281940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-281940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our condensed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restricted cash on our condensed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current portion of marketable securities on our condensed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noncurrent portion of marketable securities on our condensed consolidated balance sheets.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as of September 30, 2024 and December 31, 2023:</w:t>
      </w:r>
    </w:p>
    <w:p>
      <w:pPr>
        <w:spacing w:after="0" w:line="3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CRO and clinical trial costs</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23,541</w:t>
            </w:r>
          </w:p>
        </w:tc>
        <w:tc>
          <w:tcPr>
            <w:tcW w:w="80" w:type="dxa"/>
            <w:vAlign w:val="bottom"/>
            <w:shd w:val="clear" w:color="auto" w:fill="CFF0FC"/>
          </w:tcPr>
          <w:p>
            <w:pPr>
              <w:spacing w:after="0"/>
              <w:rPr>
                <w:sz w:val="20"/>
                <w:szCs w:val="20"/>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activities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legal and accounting fees</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40,308</w:t>
            </w:r>
          </w:p>
        </w:tc>
        <w:tc>
          <w:tcPr>
            <w:tcW w:w="8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September 30, 2020, we, Hercules Capital, Inc., or Hercules, and Silicon Valley Bank, a Division of First-Citizens Bank &amp; Trust Company (successor by purchase to the Federal Deposit Insurance Corporation as receiver for Silicon Valley Bridge Bank, N.A. (as successor to Silicon Valley Bank)), or SVB, entered into a term loan facility, or the Original Loan Agreement, consisting of up to $75.0 million aggregate principal amount available to us, as amended in August 2021. On June 30, 2022, or the Effective Date, we entered into a second amendment to the Original Loan Agreement, or as amended, the Hercules Loan Agreement. Under the second amendment, the aggregate principal amount available to us increased from $75.0 million to $125.0 million, with such principal being</w:t>
      </w:r>
    </w:p>
    <w:p>
      <w:pPr>
        <w:sectPr>
          <w:pgSz w:w="11900" w:h="16838" w:orient="portrait"/>
          <w:cols w:equalWidth="0" w:num="1">
            <w:col w:w="11220"/>
          </w:cols>
          <w:pgMar w:left="320" w:top="765" w:right="359" w:bottom="1014"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014" w:gutter="0" w:footer="0" w:header="0"/>
          <w:type w:val="continuous"/>
        </w:sectPr>
      </w:pPr>
    </w:p>
    <w:bookmarkStart w:id="20" w:name="page21"/>
    <w:bookmarkEnd w:id="20"/>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available in a series of tranches, subject to certain terms and conditions. On December 14, 2023, we entered into a third amendment to the Hercules Loan Agreement. As of September 30, 2024, a total of $80.0 million had been drawn under the Hercules Loan Agreement.</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the effective date of the second amendment, we paid $100,000 as a facility charge that we recognized as a debt discount and are amortizing such cost to interest expense over the life of the loan using the effective interest rate method. Additional facility charges applied to future drawdowns will be treated similarly. We also incurred legal fees in connection with the second amendment, which we recognized as debt issuance costs and are amortizing such cost to interest expense over the life of the loan using the effective interest rate method.</w:t>
      </w:r>
    </w:p>
    <w:p>
      <w:pPr>
        <w:spacing w:after="0" w:line="180"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Under the third amendment, the aggregate principal amount drawn down and remaining available to us under the Hercules Loan Agreement remained at $125.0 million at September 30, 2024, with such principal available in a series of tranches, subject to certain terms and conditions. The third amendment also provided that (i) the fourth tranche of the Hercules Loan Agreement was increased from $10.0 million to $30.0 million, (ii) the commitment period for the fifth tranche of the Hercules Loan Agreement of $20.0 million, which was made available due to achievement of a regulatory milestone and satisfaction of certain capitalization requirements and was extended through December 15, 2024, (iii) the variable annual interest rate on the outstanding loans was decreased to the greater of: (x) 9.0%, or (y) the sum of (A) the Prime Rate (as reported in The Wall Street Journal) minus 4.5%, plus</w:t>
      </w:r>
    </w:p>
    <w:p>
      <w:pPr>
        <w:spacing w:after="0" w:line="5" w:lineRule="exact"/>
        <w:rPr>
          <w:sz w:val="20"/>
          <w:szCs w:val="20"/>
          <w:color w:val="auto"/>
        </w:rPr>
      </w:pPr>
    </w:p>
    <w:p>
      <w:pPr>
        <w:ind w:right="60" w:firstLine="8"/>
        <w:spacing w:after="0" w:line="251" w:lineRule="auto"/>
        <w:tabs>
          <w:tab w:leader="none" w:pos="2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and (iv) the interest only period of the Hercules Loan Agreement was extended from June 30, 2024 through December 31, 2024, due to regulatory approval of RYTELO and satisfaction of certain financial and capitalization requirements. In connection with the third amendment, on the third amendment effective date, we borrowed and received the entire fourth tranche of the Hercules Loan Agreement in the amount of $30.0 million. After giving effect to such borrowing, the outstanding principal amount under the Hercules Loan Agreement was $80.0 million at September 30, 2024. On the effective date of the third amendment, we paid $300,000 as a facility charge that we recognized as a debt discount and are amortizing such cost to interest expense over the life of the loan using the effective interest rate method. Additional facility charges applied to future drawdowns will be treated similarly. We also incurred legal fees in connection with the third amendment, which we recognize as debt issuance costs and amortize such cost to interest expense over the life of the loan using the effective interest rate method. The third amendment of the Hercules Loan Agreement was not substantially different as compared to the Original Loan Agreement, and accordingly, we treated the amendment as a modification of the debt in accordance with ASC 470. On September 15, 2023, the third tranche of $20.0 million of the Hercules Loan Agreement expired and was no longer available for us, but was added to the fourth tranche as part of the third amendment to the Hercules Loan Agreement.</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Under the Hercules Loan Agreement as amended, the Hercules Loan Agreement matures on October 1, 2025, or the Loan Maturity Date, which was extended from April 1, 2025 upon regulatory approval of RYTELO. The Hercules Loan Agreement bears interest at a floating rate per annum equal to the greater of either (i) 9.0% or (ii) the sum of (A) the Prime Rate (as reported in The Wall Street Journal) minus 4.5%, plus (B) 9.0% (12.5% as of September 30, 2024). The interest only period of the Hercules Loan Agreement was extended from June 30, 2024 through December 31, 2024. due to regulatory approval of RYTELO and satisfaction of certain financial and capitalization requirements. Following the expiration of the interest-only period, we are required to repay the Hercules Loan Agreement in equal monthly amortization payments of principal and interest until the Loan Maturity Date. Upon full repayment of the Hercules Loan Agreement, we are also obligated to pay an end of term charge in an amount equal to 6.55% of the amount of the Hercules Loan Agreement actually borrowed. Such end of term charge is being accrued to interest expense over the term of the Loan Agreement using the effective interest rate method. At our option, upon at least seven business days’ prior written notice to Hercules, we are able to prepay all or any portion greater than or equal to $5.0 million of the outstanding loan by paying the entire principal balance (or portion thereof) and all accrued and unpaid interest. There was no prepayment charge for prepayments of drawdowns under Tranche 1 or Tranche 2. Prepayments of drawdowns under Tranche 3, Tranche 4, Tranche 5 or Tranche 6 are subject to a prepayment charge of 1.5% of the prepayment amount, if the prepayment is made prior to June 30, 2025. Thereafter, any prepayment of Tranche 3, Tranche 4, Tranche 5 or Tranche 6 is not subject to a prepayment charge. We were in compliance with the covenants under the Hercules Loan Agreement as of September 30, 2024.</w:t>
      </w:r>
    </w:p>
    <w:p>
      <w:pPr>
        <w:spacing w:after="0" w:line="19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the net carrying value of the debt under the Hercules Loan Agreement was $83.8 million, which includes the principal amount of $80.0 million less net unamortized debt discounts and issuance costs of $258,000 plus accrued end of term charge of $4.1 million. The carrying value of the debt approximates the fair value as of September 30, 2024. The debt discounts and debt issuance costs are being amortized to interest expense over the life of the outstanding loan amounts using the effective interest rate method.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1" w:name="page22"/>
    <w:bookmarkEnd w:id="21"/>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future minimum payments, including interest and the end of term charge, under the Loan Agreement as of September 30, 2024 (in thousands):</w:t>
      </w:r>
    </w:p>
    <w:p>
      <w:pPr>
        <w:spacing w:after="0" w:line="180" w:lineRule="exact"/>
        <w:rPr>
          <w:sz w:val="20"/>
          <w:szCs w:val="20"/>
          <w:color w:val="auto"/>
        </w:rPr>
      </w:pPr>
    </w:p>
    <w:tbl>
      <w:tblPr>
        <w:tblLayout w:type="fixed"/>
        <w:tblInd w:w="2820" w:type="dxa"/>
        <w:tblCellMar>
          <w:top w:w="0" w:type="dxa"/>
          <w:left w:w="0" w:type="dxa"/>
          <w:bottom w:w="0" w:type="dxa"/>
          <w:right w:w="0" w:type="dxa"/>
        </w:tblCellMar>
      </w:tblPr>
      <w:tr>
        <w:trPr>
          <w:trHeight w:val="24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tcPr>
          <w:p>
            <w:pPr>
              <w:spacing w:after="0"/>
              <w:rPr>
                <w:sz w:val="21"/>
                <w:szCs w:val="21"/>
                <w:color w:val="auto"/>
              </w:rPr>
            </w:pPr>
          </w:p>
        </w:tc>
      </w:tr>
      <w:tr>
        <w:trPr>
          <w:trHeight w:val="23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89,955</w:t>
            </w:r>
          </w:p>
        </w:tc>
        <w:tc>
          <w:tcPr>
            <w:tcW w:w="20" w:type="dxa"/>
            <w:vAlign w:val="bottom"/>
          </w:tcPr>
          <w:p>
            <w:pPr>
              <w:spacing w:after="0"/>
              <w:rPr>
                <w:sz w:val="20"/>
                <w:szCs w:val="20"/>
                <w:color w:val="auto"/>
              </w:rPr>
            </w:pPr>
          </w:p>
        </w:tc>
      </w:tr>
      <w:tr>
        <w:trPr>
          <w:trHeight w:val="241"/>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spacing w:after="0"/>
              <w:rPr>
                <w:sz w:val="20"/>
                <w:szCs w:val="2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92,503</w:t>
            </w:r>
          </w:p>
        </w:tc>
        <w:tc>
          <w:tcPr>
            <w:tcW w:w="20" w:type="dxa"/>
            <w:vAlign w:val="bottom"/>
          </w:tcPr>
          <w:p>
            <w:pPr>
              <w:spacing w:after="0"/>
              <w:rPr>
                <w:sz w:val="20"/>
                <w:szCs w:val="20"/>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(7,263 )</w:t>
            </w: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unaccrued end of term charge</w:t>
            </w: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(1,145 )</w:t>
            </w:r>
          </w:p>
        </w:tc>
      </w:tr>
      <w:tr>
        <w:trPr>
          <w:trHeight w:val="25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(71,562 )</w:t>
            </w:r>
          </w:p>
        </w:tc>
      </w:tr>
      <w:tr>
        <w:trPr>
          <w:trHeight w:val="23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2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-650875</wp:posOffset>
            </wp:positionV>
            <wp:extent cx="356616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66160" cy="15430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-342265</wp:posOffset>
            </wp:positionV>
            <wp:extent cx="3566160"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566160" cy="162560"/>
                    </a:xfrm>
                    <a:prstGeom prst="rect">
                      <a:avLst/>
                    </a:prstGeom>
                    <a:noFill/>
                  </pic:spPr>
                </pic:pic>
              </a:graphicData>
            </a:graphic>
          </wp:anchor>
        </w:drawing>
      </w:r>
    </w:p>
    <w:p>
      <w:pPr>
        <w:spacing w:after="0" w:line="17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Subsequent to September 30, 2024, all obligations outstanding under the Hercules Loan Agreement, amounting to $86.5 million, were repaid in full by us in connection with our entry into and funding under a new loan agreement, with BioPharma Credit PLC and the lenders party thereto. See Note 9 on Subsequent Events in Notes to Condensed Consolidated Financial Statements of this Report for additional information.</w:t>
      </w:r>
    </w:p>
    <w:p>
      <w:pPr>
        <w:spacing w:after="0" w:line="280" w:lineRule="exact"/>
        <w:rPr>
          <w:sz w:val="20"/>
          <w:szCs w:val="20"/>
          <w:color w:val="auto"/>
        </w:rPr>
      </w:pPr>
    </w:p>
    <w:p>
      <w:pPr>
        <w:ind w:right="7560" w:firstLine="8"/>
        <w:spacing w:after="0" w:line="412"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UNCERTAINTIES Legal Proceedings</w:t>
      </w:r>
    </w:p>
    <w:p>
      <w:pPr>
        <w:spacing w:after="0" w:line="49" w:lineRule="exact"/>
        <w:rPr>
          <w:sz w:val="20"/>
          <w:szCs w:val="20"/>
          <w:color w:val="auto"/>
        </w:rPr>
      </w:pPr>
    </w:p>
    <w:p>
      <w:pPr>
        <w:ind w:right="80" w:firstLine="524"/>
        <w:spacing w:after="0" w:line="253" w:lineRule="auto"/>
        <w:rPr>
          <w:sz w:val="20"/>
          <w:szCs w:val="20"/>
          <w:color w:val="auto"/>
        </w:rPr>
      </w:pPr>
      <w:r>
        <w:rPr>
          <w:rFonts w:ascii="Times New Roman" w:cs="Times New Roman" w:eastAsia="Times New Roman" w:hAnsi="Times New Roman"/>
          <w:sz w:val="18"/>
          <w:szCs w:val="18"/>
          <w:color w:val="auto"/>
        </w:rPr>
        <w:t>We are not currently a party to any material pending legal proceedings. From time to time, we may and have previously been involved in legal proceedings arising in the ordinary course of business, including potential securities lawsuits. Such lawsuits are subject to inherent uncertainties, and the actual defense and disposition costs will depend upon many unknown factors. We could be forced to expend significant resources in the defense of any additional lawsuits, and we may not prevail.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 Expenses associated with any potential future lawsuits could be material to our consolidated financial statements if we do not prevail in the defense of such lawsuits, or even if we do prevail. We have not established any reserve for any potential liability relating to any potential future lawsuits. It is possible that we could, in the future, incur judgments or enter into settlements of claims for monetary damages.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 to Officers and Directors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Plan</w:t>
      </w:r>
    </w:p>
    <w:p>
      <w:pPr>
        <w:spacing w:after="0" w:line="121"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We have adopted two severance plans that apply to all of our employees who are not subject to performance improvement plans, one plan covering employees above the Vice President level, i.e., executives, and all other employees hired before January 1, 2022, and the other plan covering all non-executive employees hired on or after January 1, 2022. The severance plans provide for, among other benefits: (i) a severance payment upon a Change of Control Triggering Event and Separation from Service and (ii) a severance payment for each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employee upon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of Control Triggering Event and Separation from Service. As defined in the severance plans, a Change of Control Triggering Event and Separation from Service requires a “double trigger” where: (i) an employee is terminated by us without cause in connection with a change of control or within 12 months following a change of control provided, however, that if an employee is terminated by us in connection with a change of control but immediately accepts employment with our successor or acquirer, the employee will not be eligible for the benefits outlined in the plans, (ii) an employee resigns because in connection with a change of control, the offered terms of employment (new or continuing) by us or our successor or acquirer within 30 days after the change of control results in a material change in the terms of employment, or (iii) after accepting (or continuing) employment with us after a change of control, an employee resigns within 12 months following a change of control due to a material change in the terms of employment. Under the severance plans,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of Control Triggering Event and Separation</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Service is defined as an event where an employee is terminated by us without cause. Severance payments range from three to 18 months of base salary in connection with a Change of Control Triggering Event or from six weeks to 12 months of base salary in connection with a Non-Change of Control Triggering Event, as well as a pro-rata portion of the employee’s annual target bonus, depending on the employee’s position with us, payable in a lump sum payment, and monthly COBRA payments for the severance period. The severance plans also provide that they shall not supersede the provisions of any individual employment agreements entered into between us and our employees, and that the employees with such agreements will be entitled to whichever benefits are greater under the severance plan or their employment agreement. A copy of the severance plan covering our executive officers is filed as an exhibit to the 2023 Form 10-K. As of September 30, 2024, all our executive officers have employment agreements with severance provisions and will receive the greater severance benefits of their agreements or those in the severance plan applicable to them.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88" w:lineRule="exact"/>
        <w:rPr>
          <w:sz w:val="20"/>
          <w:szCs w:val="20"/>
          <w:color w:val="auto"/>
        </w:rPr>
      </w:pPr>
    </w:p>
    <w:p>
      <w:pPr>
        <w:ind w:right="140" w:firstLine="509"/>
        <w:spacing w:after="0" w:line="228" w:lineRule="exact"/>
        <w:rPr>
          <w:sz w:val="20"/>
          <w:szCs w:val="20"/>
          <w:color w:val="auto"/>
        </w:rPr>
      </w:pPr>
      <w:r>
        <w:rPr>
          <w:rFonts w:ascii="Times New Roman" w:cs="Times New Roman" w:eastAsia="Times New Roman" w:hAnsi="Times New Roman"/>
          <w:sz w:val="18"/>
          <w:szCs w:val="18"/>
          <w:color w:val="auto"/>
        </w:rPr>
        <w:t>We have engaged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and have re-established our own manufacturing supply chain to manufacture and supply additional quantities of RYTELO that meet applicable regulatory standards for current and potential future clinical trials and commercial uses. Related to those contract manufacturing agreements, we have noncancelable commercial purchase commitments for approximately $62.4 million in the aggregate as of September 30, 2024. These purchase commitments can vary based on the commercial demand of RYTELO and are binding based on future manufacturing needs.</w:t>
      </w:r>
    </w:p>
    <w:p>
      <w:pPr>
        <w:spacing w:after="0" w:line="19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CROs for clinical trials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91" w:lineRule="exact"/>
        <w:rPr>
          <w:sz w:val="20"/>
          <w:szCs w:val="20"/>
          <w:color w:val="auto"/>
        </w:rPr>
      </w:pPr>
    </w:p>
    <w:p>
      <w:pPr>
        <w:ind w:right="8720" w:firstLine="8"/>
        <w:spacing w:after="0" w:line="378"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Registered Offering</w:t>
      </w:r>
    </w:p>
    <w:p>
      <w:pPr>
        <w:ind w:firstLine="509"/>
        <w:spacing w:after="0" w:line="274" w:lineRule="auto"/>
        <w:rPr>
          <w:sz w:val="20"/>
          <w:szCs w:val="20"/>
          <w:color w:val="auto"/>
        </w:rPr>
      </w:pPr>
      <w:r>
        <w:rPr>
          <w:rFonts w:ascii="Times New Roman" w:cs="Times New Roman" w:eastAsia="Times New Roman" w:hAnsi="Times New Roman"/>
          <w:sz w:val="17"/>
          <w:szCs w:val="17"/>
          <w:color w:val="auto"/>
        </w:rPr>
        <w:t>On March 21, 2024, we completed an underwritten public offering of 41,999,998 shares of our common stock and a pre-funded warrant to purchase 8,002,668 shares of our common stock, or the 2024 pre-funded warrant. All of the securities were issued separately. The public offering price of the common stock was $3.00 per share. The public offering price of the 2024 pre-funded warrant was $2.99 per share. The 2024 pre-funded warrant has an exercise price of $0.001 per share and may be exercised at any time until the 2024 pre-funded warrant is exercised in full. As of September 30, 2024, none of the 2024 pre-funded warrant has been exercised. The net cash proceeds from the March 2024 offering were approximately $141.0 million, after deducting the underwriting discount and other offering expenses paid by us, and excluding any future proceeds from the exercise of the pre-funded warrant.</w:t>
      </w:r>
    </w:p>
    <w:p>
      <w:pPr>
        <w:spacing w:after="0" w:line="173"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Upon the issuance of the 2024 pre-funded warrant, we evaluated the warrant terms to determine the appropriate accounting and classification pursuant to FASB Accounting Standards Codification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FASB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Warrants are classified as liabilities when the warrant terms allow settlement of the warrant exercise in cash and classified as equity when the warrant terms only allow settlement in shares of common stock. The terms of the 2024 pre-funded warrant include certain provisions related to fundamental transactions and a cashless exercise provision in the event registered shares are not available, and do not include any mandatory redemption provisions. Based on our evaluation, we concluded the 2024 pre-funded warrant should be classified as equity with no subsequent remeasurement as long as such warrant continue to be classified as equity.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Exercises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first quarter of 2024, warrants to purchase 37,640 shares of our common stock were exercised for net cash proceeds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$49,000. In the second quarter of 2024, warrants to purchase 281,211 shares of our common stock were exercised for net cash proceeds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$365,000. In the third quarter of 2024, warrants to purchase 3,080 shares of our common stock were exercised for net cash proceeds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 The warrants were issued in connection with underwritten public offerings of common stock and pre-funded warrants, together with accompanying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purchase warrants in May 2020. As of September 30, 2024, the following warrants remained outstanding:</w:t>
      </w:r>
    </w:p>
    <w:p>
      <w:pPr>
        <w:spacing w:after="0" w:line="99" w:lineRule="exact"/>
        <w:rPr>
          <w:sz w:val="20"/>
          <w:szCs w:val="20"/>
          <w:color w:val="auto"/>
        </w:rPr>
      </w:pPr>
    </w:p>
    <w:p>
      <w:pPr>
        <w:ind w:left="1020" w:right="7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with an exercise price of $0.001 per share to purchase 59,433,145 shares of our common stock, which have no expiration date; and</w:t>
      </w:r>
    </w:p>
    <w:p>
      <w:pPr>
        <w:sectPr>
          <w:pgSz w:w="11900" w:h="16838" w:orient="portrait"/>
          <w:cols w:equalWidth="0" w:num="1">
            <w:col w:w="11220"/>
          </w:cols>
          <w:pgMar w:left="320" w:top="765"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23" w:name="page24"/>
    <w:bookmarkEnd w:id="23"/>
    <w:p>
      <w:pPr>
        <w:jc w:val="center"/>
        <w:ind w:right="-342"/>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342"/>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42"/>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 w:lineRule="exact"/>
        <w:rPr>
          <w:sz w:val="20"/>
          <w:szCs w:val="20"/>
          <w:color w:val="auto"/>
        </w:rPr>
      </w:pPr>
    </w:p>
    <w:p>
      <w:pPr>
        <w:jc w:val="center"/>
        <w:ind w:right="-342"/>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503"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warrants with an exercise price of $1.30 per share to purchase 2,152,570 shares of our common stock related to the public offering of our common stock in May 2020, which expire on December 31, 2025.</w:t>
      </w:r>
    </w:p>
    <w:p>
      <w:pPr>
        <w:spacing w:after="0" w:line="162" w:lineRule="exact"/>
        <w:rPr>
          <w:sz w:val="20"/>
          <w:szCs w:val="20"/>
          <w:color w:val="auto"/>
        </w:rPr>
      </w:pPr>
    </w:p>
    <w:p>
      <w:pPr>
        <w:jc w:val="center"/>
        <w:ind w:right="157"/>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3"/>
          </w:cols>
          <w:pgMar w:left="837" w:top="765" w:right="679" w:bottom="1440" w:gutter="0" w:footer="0" w:header="0"/>
        </w:sectPr>
      </w:pPr>
    </w:p>
    <w:bookmarkStart w:id="24" w:name="page25"/>
    <w:bookmarkEnd w:id="24"/>
    <w:p>
      <w:pPr>
        <w:spacing w:after="0" w:line="41" w:lineRule="exact"/>
        <w:rPr>
          <w:sz w:val="20"/>
          <w:szCs w:val="20"/>
          <w:color w:val="auto"/>
        </w:rPr>
      </w:pPr>
    </w:p>
    <w:p>
      <w:pPr>
        <w:ind w:right="8980" w:firstLine="8"/>
        <w:spacing w:after="0" w:line="503"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Pharmakon Loan Agreement</w:t>
      </w: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(i) a Tranche A Loan in an aggregate principal amount of $125.0 million, or the Tranche A Loan, which was funded on November 1, 2024, or the Tranche A Closing Date;</w:t>
      </w:r>
    </w:p>
    <w:p>
      <w:pPr>
        <w:spacing w:after="0" w:line="3" w:lineRule="exact"/>
        <w:rPr>
          <w:sz w:val="20"/>
          <w:szCs w:val="20"/>
          <w:color w:val="auto"/>
        </w:rPr>
      </w:pPr>
    </w:p>
    <w:p>
      <w:pPr>
        <w:jc w:val="both"/>
        <w:ind w:firstLine="8"/>
        <w:spacing w:after="0" w:line="252" w:lineRule="auto"/>
        <w:tabs>
          <w:tab w:leader="none" w:pos="2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B Loan in an aggregate principal amount of $75.0 million, or the Tranche B Loan, which is available, subject to certain limited conditions, at our option; and (iii) a Tranche C Loan in an aggregate principal amount of $50.0 million, or the Tranche C Loan, and together with the Tranche A Loan and the Tranche B Loan, collectively, the Term Loans, which is available to us upon reaching a specified trailing twelve-month RYTELO revenue milestone. The Tranche B Loan and the Tranche C Loan, once available, may be requested on or prior to December 31, 2025. A portion of the proceeds from the Tranche A Loan were used to repay, in full, all amounts owed ($86.5 million) under the Hercules Loan Agreement, which was terminated effective November 1, 2024. The remaining proceeds will be used to fund our general corporate and working capital requirements.</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Loans mature on November 1, 2029. The Term Loans bear interest at a variable rate per annum equal to 5.75% plus the three-month Secured Overnight Financing Rate, or SOFR, with a SOFR floor of 3.00%. As of inception of the Tranche A Loan, the interest rate applicable to the Tranche A Loan was 10.32%. Interest is due and payable quarterly on the last day of each quarter with the first payment due on December 31, 2024. The Pharmakon Loan Agreement requires we pay an amount equal to 2.50% of the Lenders’ total committed amount to fund the Term Loans, payable with respect to each Term Loan on the funding date of such Term Loan.</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elect to prepay the Term Loans in part or in whole prior to the Maturity Date with such prepayments being subject to a prepayment premium equal to the principal amount so prepaid multiplied by 3% if made prior to the 3rd anniversary of the funding date of the applicable Term Loan, 2% if made on or after the 3rd anniversary of the funding date of the applicable Term Loan but prior to the 4th anniversary of the funding date of the applicable Term Loan, and 1% if made on or after the 4th anniversary of the funding date of the applicable Term Loan but prior to the Maturity Date. In addition to the prepayment premium, prepayments of any Term Loan prior to the 2nd anniversary of the funding date of such Term Loan are subject to a makewhole amount equal to the sum of all interest that would have accrued through such 2nd anniversary.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obligations under the Pharmakon Loan Agreement are secured by substantially all of our assets, including our intellectual property. Certain of our subsidiaries may, from time to time after the Tranche A Closing Date, be required to guarantee our obligations under the Pharmakon Loan Agreement and, in connection with such guarantee, pledge substantially all of their assets, including intellectual property, to secure such guarantee.</w:t>
      </w:r>
    </w:p>
    <w:p>
      <w:pPr>
        <w:spacing w:after="0" w:line="17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Pharmakon Loan Agreement contains customary affirmative and restrictive covenants and representations and warranties. We and our subsidiaries are bound by certain affirmative covenants setting forth actions that are required during the term of the Pharmakon Loan Agreement, including, without limitation, certain information delivery requirements, obligations to maintain certain insurance, and certain notice requirements. There are no financial covenants. Additionally, we and our subsidiaries are bound by certain restrictive covenants setting forth actions that are not permitted to be taken during the term of the Pharmakon Loan Agreement, including, without limitation, (i) selling or disposing of assets, (ii) amending, modifying or waiving our rights under material agreements, (iii) consummating change in control transactions unless all amounts becoming due under the Loan Agreement are paid in full immediately upon (and concurrent with) the consummation of any such change in control transaction, (iv) incurring additional indebtedness, (v) incurring non-permitted liens or encumbrance on our or our subsidiaries’ assets, (vi) paying dividends or making any distribution or payment on or redeeming, retiring or purchasing any equity interests, and (vii) making payments on subordinated indebtedness, in each case, subject to specified exceptions. The Pharmakon Loan Agreement also contains the following events of default: (i) failure to pay principal, interest and other amounts when due,</w:t>
      </w:r>
    </w:p>
    <w:p>
      <w:pPr>
        <w:spacing w:after="0" w:line="5"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the covenants under the Loan Agreement, (iii) the occurrence of a material adverse change or a withdrawal event in respect of RYTELO,</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3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attachments of the credit parties assets and restraints on their business, (v) certain insolvency, liquidation, bankruptcy or similar events, (vi) certain cross-default of third-party indebtedness and royalty revenue contracts, (vii) the failure to pay certain judgements, (viii) material misrepresentations,</w:t>
      </w:r>
    </w:p>
    <w:p>
      <w:pPr>
        <w:jc w:val="both"/>
        <w:ind w:firstLine="8"/>
        <w:spacing w:after="0" w:line="252" w:lineRule="auto"/>
        <w:tabs>
          <w:tab w:leader="none" w:pos="3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documents ceasing to create a valid security interest in a material portion of the collateral, (x) the occurrence of certain ERISA events and (xi) the occurrence of a default under any subordination or intercreditor agreement, in each case subject to the grace periods, cure period and thresholds as specified in the Pharmakon Loan Agreement. Upon the occurrence of an event of default, the Lenders may, among other things, accelerate our obligations under the Pharmakon Loan Agreement (including all obligations for principal, interest and any applicable makewhole and prepayment premiums); provided that upon an event of default relating to certain insolvency, liquidation, bankruptcy or similar events, all outstanding obligations will be immediately accelerated.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Hercules Loan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obligations outstanding under the Hercules Loan Agreement were repaid in full on November 1, 2024, upon which the Hercules Loan Agreement was terminated and all liens on our assets in granted in connection with the Hercules Loan Agreement were released. See Note 6 on Debt in Notes to Condensed Consolidated Financial Statements of this Report for additional information about the Hercules Loan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Pharma Revenue Participation Right Purchase Agreement</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November 1, 2024, we entered into a revenue participation right purchase and sale agreement, or the Royalty Pharma Agreement, with Royalty Pharma Development Funding, LLC, or Royalty Pharma.</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Royalty Pharma Agreement, we received an upfront payment of $125.0 million, or the Purchase Price, in exchange for which Royalty Pharma obtained the right to receive tiered revenue interest payments with respect to annual U.S. net sales, or Annual Net Sales, of RYTELO beginning on July 1, 2024, ranging from: (i) 7.75% of Annual Net Sales up to $500.0 million; (ii) 3.0% of Annual Net Sales in excess of $500.0 million but less than or equal to $1.0 billion; and (iii) 1.0% in respect of Annual Net Sales in excess of $1.0 billion, or the Revenue Interest Payments. The Revenue Interest Payments to Royalty Pharma are capped, such that they will cease upon reaching a multiple of 1.65 times the Purchase Price if Royalty Pharma receives Revenue Interest Payments in that amount in respect of net sales occurring on or before June 30, 2031, or upon reaching a multiple of 2.0 times the Purchase Price thereafter. Our revenue payment obligations under the Royalty Pharma Agreement may be discharged in connection with a change of control of the Company in an amount equal to 1.65 times the Purchase Price minus the aggregate Revenue Interest Payments received by Royalty Pharma as of the date of the closing of the change of control, if the closing of the change of control occurs on or prior to December 31, 2027, or in an amount equal to 2.0 times the Purchase Price minus the aggregate Revenue Interest Payments received by Royalty Pharma as of the date of the closing of the change of control, if the closing of the change of control occurs after December 31, 2027. There are no other royalties payable on RYTELO, which was developed internally and is exclusively owned by Geron.</w:t>
      </w:r>
    </w:p>
    <w:p>
      <w:pPr>
        <w:spacing w:after="0" w:line="1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Royalty Pharma Agreement contains customary representations, warranties and indemnities of the Company and Royalty Pharma and customary covenants relating to the Revenue Interest Payments.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This Form 10-Q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the Form 10-Q and are statements regarding our intent, belief, or current expectations, primarily with respect to our business and related industry developments. You should not place undue reliance on these forward-looking statements, which apply only as of the date of this Form 10-Q. Our actual results could differ materially from those anticipated in these forward-looking statements for many reasons, including the risks faced by us and described in Part II, Item 1A, entitled “Risk Factors,” and in “Management’s Discussion and Analysis of Financial Condition and Results of Operations” in Part I, Item 2 of this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unaudited condensed consolidated financial statements and notes thereto included in Part I, Item 1 of this Form 10-Q; and the sections entitled “Business” and “Management’s Discussion and Analysis of Financial Condition and Results of Operations” contained in our Form 10-K for the year ended December 31, 2023 as filed with the SEC on February 28, 2024, or 2023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ind w:right="20" w:firstLine="509"/>
        <w:spacing w:after="0" w:line="236" w:lineRule="auto"/>
        <w:rPr>
          <w:sz w:val="20"/>
          <w:szCs w:val="20"/>
          <w:color w:val="auto"/>
        </w:rPr>
      </w:pPr>
      <w:r>
        <w:rPr>
          <w:rFonts w:ascii="Times New Roman" w:cs="Times New Roman" w:eastAsia="Times New Roman" w:hAnsi="Times New Roman"/>
          <w:sz w:val="18"/>
          <w:szCs w:val="18"/>
          <w:color w:val="auto"/>
        </w:rPr>
        <w:t>We are a commercial-stage biopharmaceutical company aiming to change lives by changing the course of blood cancer. Our first-in-class telomerase inhibitor, RYTELO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(imetelstat), harnesses Nobel Prize winning science in a treatment that aims to potentially reduce proliferation and induce death of malignant cells in the bone marrow, potentially altering the underlying course of these hematologic malignancies.</w:t>
      </w:r>
    </w:p>
    <w:p>
      <w:pPr>
        <w:spacing w:after="0" w:line="19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June 6, 2024, the U.S. Food and Drug Administration (FDA) approved RYTELO for the treatment of adult patients with low- to intermediate-1 risk myelodysplastic syndromes, or lower-risk MDS, with transfusion-dependent, or TD, anemia requiring four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6" w:name="page27"/>
    <w:bookmarkEnd w:id="26"/>
    <w:p>
      <w:pPr>
        <w:ind w:right="60"/>
        <w:spacing w:after="0" w:line="256" w:lineRule="auto"/>
        <w:rPr>
          <w:sz w:val="20"/>
          <w:szCs w:val="20"/>
          <w:color w:val="auto"/>
        </w:rPr>
      </w:pPr>
      <w:r>
        <w:rPr>
          <w:rFonts w:ascii="Times New Roman" w:cs="Times New Roman" w:eastAsia="Times New Roman" w:hAnsi="Times New Roman"/>
          <w:sz w:val="18"/>
          <w:szCs w:val="18"/>
          <w:color w:val="auto"/>
        </w:rPr>
        <w:t>or more red blood cell units over eight weeks who have not responded to or have lost response to or are ineligible for erythropoiesis-stimulating agents, or ESAs. In September 2023, we submitted a marketing authorization application, or MAA, in the European Union, or EU, that was validated for review by the European Medicines Agency, or EMA, for RYTELO for the same proposed indication as in the U.S. We expect review of the MAA by the Committee for Medicinal Products for Human Use, or CHMP, could be completed in late 2024 or early 2025, with a potential approval decision by the European Commission in the first half of 2025. We are continuing to prepare for the potential launch of RYTELO in the EU and subject to regulatory approval, are planning to commercialize RYTELO in select EU markets commencing in 2026.</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regulatory approval in the U.S. for lower-risk MDS and our EMA submission are each based on positive data from the IMerge Phase 3 clinical trial. The trial met its primary endpoint of ≥ 8-week red blood cell transfusion independence rate and a key secondary endpoint of ≥ 24-week red blood cell transfusion independence rate, demonstrating highly statistically significant (i.e., p&lt;0.001 for both) and clinically meaningful benefits with imetelstat treatment versus placebo. Furthermore, statistically significant and clinically meaningful efficacy results were observed in the trial across key MDS patient subtypes, including patients who were ringed sideroblast positive, or RS positive, and ringed sideroblast negative, or RS negative; patients with high (4-6 RBC units/8 weeks) and very high baseline transfusion burden (&gt;6 RBC units/8 weeks); and patients classified as Low or Intermediate-1 risk according to the International Prognostic Scoring System, or IPSS. The most common Grade 3/4 adverse reactions were neutropenia (72%) and thrombocytopenia (65%), which lasted a median duration of less than two weeks, and in more than 80% of patients were resolved to Grade &lt;2 in under four weeks.</w:t>
      </w:r>
    </w:p>
    <w:p>
      <w:pPr>
        <w:spacing w:after="0" w:line="19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addition to lower-risk MDS, we are developing imetelstat for the treatment of several myeloid hematologic malignancies. Our Phase 3 clinical trial IMpactMF is evaluating imetelstat in patients with Intermediate-2 or High-Risk myelofibrosis who have relapsed after or are refractory to treatment with a janus associate kinase inhibitor, or JAK inhibitor, or relapsed/refractory MF, or R/R MF, with overall survival, or OS, as the primary endpoint. In August 2024, the trial reached approximately 70% enrollment. Based on our current planning assumptions for enrollment and event (death) rates in the trial, we expect the interim analysis for OS in IMpactMF may occur in early 2026, and the final analysis may occur in early 2027.</w:t>
      </w:r>
    </w:p>
    <w:p>
      <w:pPr>
        <w:spacing w:after="0" w:line="18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also conducting a Phase 1 combination therapy clinical trial, named IMproveMF, in first-line Intermediate-1, Intermediate-2 or High-Risk myelofibrosis, or frontline MF, that currently is enrolling patients.</w:t>
      </w:r>
    </w:p>
    <w:p>
      <w:pPr>
        <w:spacing w:after="0" w:line="162"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Imetelstat is also being studied in an investigator-led Phase 2 clinical trial, named IMpress, in Intermediate-2 or High-Risk myelodysplastic syndromes, or higher risk MDS, and acute myeloid leukemia, or AML, patients that are relapsed or refractory to hypomethylating agent, or HMA, treatment, in which the first patient was dosed in June 2023.</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positive data from IMerge Phase 3 and IMerge Phase 2, as well as our prior Phase 2 clinical trial of imetelstat in patients with relapsed/refractory MF, provide strong evidence that imetelstat targets telomerase to inhibit the uncontrolled proliferation of malignant stem and progenitor cells enabling recovery of bone marrow and normal blood cell production.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October 3, 2024, the U.S. Centers for Medicare &amp; Medicaid Services assigned a permanent and product-specific J-code (J0870) for RYTELO, which will become effective on January 1, 2025. J-codes are permanent reimbursement codes used by government payers and commercial insurers to facilitate billing of Medicare Part B treatments, which must be administered by a healthcare professional.</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November 1, 2024, we entered into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to us in an aggregate principal amount of up to $250.0 million, divided into three committed tranches: (i) a Tranche A Loan in an aggregate principal amount of $125.0 million, which was funded on November 1, 2024; (ii) a Tranche B Loan in an aggregate principal amount of $75.0 million, which is available, subject to certain limited conditions, at our option; and (iii) a Tranche C Loan in an aggregate principal amount of $50.0 million, which is available to us upon reaching a specified trailing twelve-month RYTELO revenue milestone. The Tranche B Loan and the Tranche C Loan, once available, may be requested on or prior to December 31, 2025. A portion of the proceeds from the Tranche A Loan were used to repay, in full, all amounts owed ($86.5 million) under the Hercules Loan Agreement, which was terminated effective November 1, 2024. The remaining proceeds will be used to fund the Company’s general corporate and working capital requirements.</w:t>
      </w:r>
    </w:p>
    <w:p>
      <w:pPr>
        <w:spacing w:after="0" w:line="18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November 1, 2024, we entered into the Royalty Pharma Agreement with Royalty Pharma. Pursuant to the Royalty Pharma Agreement, we received an upfront payment of $125.0 million, or the Purchase Price, in exchange for which Royalty Pharma obtained the right to receive tiered Revenue Interest Payments with respect to Annual Net Sales of RYTELO beginning on July 1, 2024, ranging from: (i) 7.75% of Annual Net Sales up to $500.0 million; (ii) 3.0% of Annual Net Sales in excess of $500.0 million but less than or equal to $1.0 billion; and (iii) 1.0% in respect of Annual Net Sales in excess of $1.0 billion. The Revenue Interest Payments to Royalty Pharma are capped, such that they will cease upon reaching a multiple of 1.65 times the Purchase Price if Royalty Pharma receives Revenue Interest Payments in that amount in respect of net sales occurring on or before June 30, 2031, or upon reaching a</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27" w:name="page28"/>
    <w:bookmarkEnd w:id="27"/>
    <w:p>
      <w:pPr>
        <w:ind w:right="40"/>
        <w:spacing w:after="0" w:line="256" w:lineRule="auto"/>
        <w:rPr>
          <w:sz w:val="20"/>
          <w:szCs w:val="20"/>
          <w:color w:val="auto"/>
        </w:rPr>
      </w:pPr>
      <w:r>
        <w:rPr>
          <w:rFonts w:ascii="Times New Roman" w:cs="Times New Roman" w:eastAsia="Times New Roman" w:hAnsi="Times New Roman"/>
          <w:sz w:val="18"/>
          <w:szCs w:val="18"/>
          <w:color w:val="auto"/>
        </w:rPr>
        <w:t>multiple of 2.0 times the Purchase Price thereafter. Our revenue payment obligations under the Royalty Pharma Agreement may be discharged in connection with a change of control of the Company in an amount equal to 1.65 times the Purchase Price minus the aggregate Revenue Interest Payments received by Royalty Pharma as of the date of the closing of the change of control, if the closing of the change of control occurs on or prior to December 31, 2027, or in an amount equal to 2.0 times the Purchase Price minus the aggregate Revenue Interest Payments received by Royalty Pharma as of the date of the closing of the change of control, if the closing of the change of control occurs after December 31, 2027. There are no other royalties payable on RYTELO, which was developed internally and is exclusively owned by Geron.</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Royalty Pharma Agreement contains customary representations, warranties and indemnities of the Company and Royalty Pharma and customary covenants relating to the Revenue Interest Payments.</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See Note 9 on Subsequent Events in Notes to Condensed Consolidated Financial Statements of this Report for additional information about the Pharmakon Loan Agreement, Royalty Pharma Agreement and the repayment and termination of the Hercules Loan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primarily financed our operations through the sale of equity securities, draw downs on our debt facilities, interest income on our marketable securities and payments we received under the Royalty Pharma Agreement and our prior collaborative and licensing arrangements. As of September 30, 2024, we had approximately $378.9 million in cash, cash equivalents, restricted cash and marketable securities. On a pro forma basis, including gross proceeds from the upfront payment under the Royalty Pharma Agreement and the Tranche A Loan, and after repayment of our existing debt under the Hercules Loan Agreement, we had approximately $542.4 million in cash, cash equivalents, restricted cash, and marketable securities as of September 30, 2024.</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began commercializing RYTELO in June 2024, and the commercial potential of and our ability to successfully commercialize RYTELO is unproven. Our success in commercializing RYTELO will require, among other things, effective sales, marketing, manufacturing, distribution, information systems and pricing strategies, as well as compliance with applicable laws and regulations. In addition, although we recently began commercializing RYTELO, substantially all of our revenues to date have been payments under prior collaboration agreements, and milestones, royalties and other revenues from our licensing arrangements. We reported a small profit for the year ended December 31, 2015,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September 30, 2024, we had an accumulated deficit of approximately $1.7 billion.</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significance of future losses, future revenues and any potential future profitability will depend primarily on the clinical and commercial success of RYTELO, our sole product. In addition, we are developing RYTELO for the treatment of several myeloid hematologic malignancies that will continue to require additional time and significant investment in clinical trials to complete. We also expect to continue to seek regulatory approvals of RYTELO in jurisdictions outside of the United States. As a result, we expect research and development expenses and selling, general and administrative expenses to increase in future periods as we continue to support the commercialization of RYTELO in the U.S. and further development of RYTELO, including the conduct and completion of IMpactMF, IMproveMF and IMpress, as well as the potential commercialization of RYTELO in the EU, if approved, in lower-risk MDS. In addition, we expect our interest expense to increase due to the draw down of the Tranche A Loan and potential future draw downs of the other Term Loans under the Pharmakon Loan Agreement, and our royalty expense to increase due to our revenue interest payments associated with the Royalty Pharma Agreement.</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March 21, 2024, we completed an underwritten offering of 41,999,998 shares of our common stock and a pre-funded warrant to purchase 8,002,668 shares of our common stock. All of the securities were issued separately. The offering price of the common stock was $3.00 per share. The offering price of the pre-funded warrant was $2.99 per share. The pre-funded warrant has an exercise price of $0.001 per share and may be exercised at any time until it is exercised in full. As of September 30, 2024, the 2024 pre-funded warrant had not been exercised. The net cash proceeds from the March 2024 public offering were approximately $141.0 million, after deducting the underwriting discount and other offering expenses paid by us, and excluding any future proceeds from the exercise of the 2024 pre-funded warrant.</w:t>
      </w:r>
    </w:p>
    <w:p>
      <w:pPr>
        <w:spacing w:after="0" w:line="7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As described above, we entered into the Pharmakon Loan Agreement and the Royalty Pharma Agreement on November 1, 2024, and in connection with these transactions all obligations outstanding under the Hercules Loan Agreement were repaid in full on November 1, 2024, upon which the Hercules Loan Agreement was terminated and all liens on our assets in granted in connection with the Hercules Loan Agreement were released.</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Successful drug development and commercialization requires significant amounts of capital. As of September 30, 2024, we had approximately $378.9 million in cash, cash equivalents, restricted cash and marketable securities. On a pro forma basis, including gross proceeds from the upfront payment under the Royalty Pharma Agreement and the Tranche A Loan, and after repayment of our existing debt under the Hercules Loan Agreement, we had approximately $542.4 million in cash, cash equivalents, restricted cash, and marketable securities as of September 30, 2024. Based on our current operating plans and assumptions, we believe that our existing cash, cash equivalents, and marketable securities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including the $250 million received under the Pharmakon Loan Agreement and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8" w:name="page29"/>
    <w:bookmarkEnd w:id="28"/>
    <w:p>
      <w:pPr>
        <w:ind w:right="120"/>
        <w:spacing w:after="0" w:line="271" w:lineRule="auto"/>
        <w:rPr>
          <w:sz w:val="20"/>
          <w:szCs w:val="20"/>
          <w:color w:val="auto"/>
        </w:rPr>
      </w:pPr>
      <w:r>
        <w:rPr>
          <w:rFonts w:ascii="Times New Roman" w:cs="Times New Roman" w:eastAsia="Times New Roman" w:hAnsi="Times New Roman"/>
          <w:sz w:val="17"/>
          <w:szCs w:val="17"/>
          <w:color w:val="auto"/>
        </w:rPr>
        <w:t>Royalty Pharma Agreement), together with anticipated revenues from U.S. sales of RYTELO, will be sufficient to fund our projected operating requirements for at least the next 12 months from the date of this filing. We believe that our projected financial resources will be sufficient to (i) support commercial launch of RYTELO in the U.S. and potential launch in the EU, (ii) complete the Phase 3 IMpactMF trial in relapsed/refractory MF, (iii) invest in supply chain redundancy for RYTELO, and (iv) fund our general working capital requirements. If we do not generate sufficient funds from commercial sales of RYTELO, or if we experience regulatory delays or other unforeseen events or choose to make other investments in our business,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If adequate funds are not available on a timely basis, if at all, our RYTELO commercialization efforts may be adversely affected and we may be unable to pursue further development of imetelstat, which would severely harm our business and we might cease operations.</w:t>
      </w:r>
    </w:p>
    <w:p>
      <w:pPr>
        <w:spacing w:after="0" w:line="17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If approved for marketing in the EU by the EMA, we are planning to commercialize RYTELO in select EU markets commencing in 2026. Until international regulatory authorities approve RYTELO for marketing, if at all, we cannot begin commercialization activities outside of the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Item 1 of this Report and in Item 7, “Critical Accounting Policies and Estimates” in our Annual Report on Form 10-K. There have been no significant changes in our critical accounting policies and estimates during the nine months ended September 30, 2024, as compared to the critical accounting policies and estimates disclosed in our 2023 Form 10-K.</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 Note 1 on Summary of Significant Accounting Policies in Notes to Condensed Consolidated Financial Statements of this Report describes the significant accounting policies used in the preparation of the condensed consolidated financial statements.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United States, and present a meaningful presentation of our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9" w:name="page30"/>
    <w:bookmarkEnd w:id="29"/>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 In this regard, although we have begun to recognize revenue from RYTELO product sales in the U.S., we are early in the product launch. We expect that our sales revenue may vary significantly from period to period as the launch progresses.</w:t>
      </w:r>
    </w:p>
    <w:p>
      <w:pPr>
        <w:spacing w:after="0" w:line="1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RYTELO is our only product approved for marketing by the FDA and is approved solely for certain patients with lower-risk MDS. Revenue based on sales of RYTELO is dependent on our ability to execute a successful commercial launch of RYTELO in the U.S., and obtaining regulatory approval to commercialize RYTELO in other countries and other indications. We are subject to risks common to companies in our industry and at our stage of development, including, but not limited to, risks inherent in research and development efforts, including the development, manufacture, regulatory approval for and commercialization of RYTELO; uncertainty of non-clinical and clinical trial results or regulatory approvals or clearances; the future development of imetelstat by us and its use by patients generally, including any future efficacy or safety results from clinical or commercial use that may cause the benefit-risk profile of imetelstat to become unacceptable; the uncertain and unpredictable drug research and discovery process; overcoming disruptions and/or delays due to macroeconomic or other global conditions, such as inflation, rising interest rates, prospects of a recession, bank failures and other disruptions to financial systems, civil or political unrest, military conflicts, pandemics or other health crises and supply chain and resource issues; our need for substantial additional capital; enforcement of our patent and proprietary rights; reliance upon our CROs, contract manufacturing organizations, or CMOs, consultants, licensees, investigators and other third parties; and potential competition.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nine months ended September 30:</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2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Change $</w:t>
            </w:r>
          </w:p>
        </w:tc>
        <w:tc>
          <w:tcPr>
            <w:tcW w:w="8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93"/>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 data)</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revenues, net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2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Royalties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28,107</w:t>
            </w: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29,243</w:t>
            </w:r>
          </w:p>
        </w:tc>
        <w:tc>
          <w:tcPr>
            <w:tcW w:w="2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(9,273 )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(11,830 )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5"/>
        </w:trPr>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17,527</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54,627</w:t>
            </w:r>
          </w:p>
        </w:tc>
        <w:tc>
          <w:tcPr>
            <w:tcW w:w="220" w:type="dxa"/>
            <w:vAlign w:val="bottom"/>
          </w:tcPr>
          <w:p>
            <w:pPr>
              <w:spacing w:after="0"/>
              <w:rPr>
                <w:sz w:val="19"/>
                <w:szCs w:val="19"/>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00" w:type="dxa"/>
            <w:vAlign w:val="bottom"/>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43,270</w:t>
            </w:r>
          </w:p>
        </w:tc>
        <w:tc>
          <w:tcPr>
            <w:tcW w:w="2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(3,046 )</w:t>
            </w: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(2,066 )</w:t>
            </w: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(980 )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(9,798 )</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(5,991 )</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(3,807 )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(63 )</w:t>
            </w:r>
          </w:p>
        </w:tc>
        <w:tc>
          <w:tcPr>
            <w:tcW w:w="2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(188 )</w:t>
            </w:r>
          </w:p>
        </w:tc>
        <w:tc>
          <w:tcPr>
            <w:tcW w:w="1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7"/>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0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(26,447 )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(44,805 )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18,358</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(149,220 )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(132,154 )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(17,066 )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-1228090</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-1862455</wp:posOffset>
            </wp:positionV>
            <wp:extent cx="713232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-782320</wp:posOffset>
            </wp:positionV>
            <wp:extent cx="713232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Percentage not meaningful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 Net</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June 6, 2024, we announced that the FDA approved RYTELO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 To date, our only source of product revenue has been from the U.S. sales of RYTELO, which we began shipping to our customers in June 2024. We did not generate any revenue from product sales prior to the three months ended June 30, 2024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Total product revenue, net for the three and nine months ended September 30, 2024 was approximately $28.2 million and $29.0 million, respectively. We expect product revenues, net to increase through the remainder of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divestiture of our human embryonic stem cell assets, including intellectual property and proprietary technology, to Lineage Cell Therapeutics, Inc., or Lineage, (formerly BioTime, Inc. which acquired Asterias Biotherapeutics, Inc.) in</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2013, we are entitled to receive royalties on sales from certain research or commercial products utilizing our divested intellectual property.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recognized royalty revenues of $62,000 and $468,000 in the three and nine months ended September 30, 2024, respectively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$164,000 and $214,000 respectively, for the same period in 2023. Royalty revenues in 2024 and 2023 primarily reflect estimated royalties from sales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cell-based research products from our divested stem cell assets.</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Future license fee and royalty revenues are dependent on additional agreements being signed, if any, our current license agreement with Lineage being maintained and the underlying patent rights for the license remaining active. We expect royalty revenues for the full-year of 2024 to be lower than the full-year of 2023 as a result of reduced royalties from sales of cell-based research products from our divested stem cell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FDA approval of RYTELO on June 6, 2024, we subsequently begin capitalizing inventory manufactured or purchased after this date. As a result, we expensed certain manufacturing costs of RYTELO as research and development expense prior to FDA approval and, therefore, these costs are not included in cost of goods sold. We expect our operating expenses to remain consistent through the remainder of 2024.</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cost of goods sold consist of raw materials, third-party manufacturing costs to manufacture the raw materials into finished product, freight, and indirect overhead costs associated with the sale of RYTELO in the U.S.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our expenses, including as a percentage of total expenses, for the three and nine months ended September 30:</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2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23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69"/>
        </w:trPr>
        <w:tc>
          <w:tcPr>
            <w:tcW w:w="340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29,426</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-32 %</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92,135</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8"/>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96 %</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47,734</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7"/>
        </w:trPr>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40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56,486</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47,775</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139,869</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5715</wp:posOffset>
            </wp:positionV>
            <wp:extent cx="4903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Percentage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-116205</wp:posOffset>
            </wp:positionV>
            <wp:extent cx="4903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Cost of goods sold was approximately $456,000 and $473,000 for the three and nine months ended September 30, 2024, respectively, which consisted of costs to manufacture, and distribute our market product, RYTELO. We began capitalizing inventory upon FDA approval of RYTELO. All product costs incurred prior to FDA approval of RYTELO in June 2024 were expensed as research and development expenses.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Prior to receiving FDA approval for RYTELO in June 2024, we manufactured inventory to be sold upon commercialization and recorded the costs as research and development expense. As a result, the manufacturing costs related to the inventory manufactured prior to receiving FDA approval were expensed in a prior period and are therefore excluded from the cost of goods sold for the three and nine months ended September 30, 2024. We estimate our cost of sales related to product revenue as a percentage of net product revenue will continue to be positively affected for the next 18 to 24 months as we sell through certain inventory that was previously expensed prior to FDA approval.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our RYTELO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and nine months ended September 30, 2024 and 2023, research and development expenses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supply, manufacturing costs for research and clinical trial materials, sponsored research at other labs, consulting, costs to maintain technology licenses and research-related overhead.</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69" w:right="27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2024 and 2023 were as follows: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280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740" w:type="dxa"/>
            <w:vAlign w:val="bottom"/>
            <w:gridSpan w:val="2"/>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18,756</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53,584</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29,426</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80,305</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-187960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0" w:firstLine="749"/>
        <w:spacing w:after="0" w:line="218" w:lineRule="exact"/>
        <w:rPr>
          <w:sz w:val="20"/>
          <w:szCs w:val="20"/>
          <w:color w:val="auto"/>
        </w:rPr>
      </w:pPr>
      <w:r>
        <w:rPr>
          <w:rFonts w:ascii="Times New Roman" w:cs="Times New Roman" w:eastAsia="Times New Roman" w:hAnsi="Times New Roman"/>
          <w:sz w:val="18"/>
          <w:szCs w:val="18"/>
          <w:color w:val="auto"/>
        </w:rPr>
        <w:t>The decrease in research and development expenses for the three and nine months ended September 30, 2024, compared to the same period in 2023, was primarily due to manufacturing and quality costs that were capitalized in the current period due to FDA approval of RYTELO, versus being expensed in the prior period. The decrease is partially offset by an increase in labor costs due to higher headcount, incentive and stock-based compensation expense recognized due to the vesting of performance-based stock options upon FDA approval. A discussion of the risks and uncertainties associated with the development of imetelstat can be found in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sections entitled “Risks Related to the Development of Imetelstat” and “Risks Related to the Commercialization of RYTELO” and “Risks Related to Regulatory Approval of RYTELO” in Part II, Item 1A entitled “Risk Factors” and elsewhere in this Report. As a result of these risks and uncertainties, we are unable to determine with any degree of certainty the duration and completion costs of ongoing and potential future imetelstat research and development projects, anticipated completion dates, or when and to what extent we will receive cash inflows from the commercialization and sale of RYTELO in any other jurisdictions or indications we are pursuing or may in the future pursue, if at all.</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$35.9 million and $102.4 million for the three and nine months ended September 30, 2024, respectively, compared to $18.4 million and $47.7 million for the same period in 2023. The increase in selling, general and administrative expenses for the three and nine months ended September 30, 2024, compared to the same period in 2023, primarily reflects higher personnel-related expenses and stock-based compensation recognized upon FDA approval of RYTELO due to the vesting of performance-based stock options.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Interest income was $4.9 million and $14.4 million for the three and nine months ended September 30, 2024, compared to $5.0 million and $13.6 million for the same period in 2023. The decrease in interest income for the three months ended September 30, 2024, compared to the same period in 2023 was due to a decrease in interest rates. The increase in interest income for the nine months ended September 30, 2024, compared to the same period in 2023, primarily reflects a larger marketable securities portfolio with the receipt of net cash proceeds from the underwritten offering completed in March 2024, as well as higher yields from marketable securities purchases. Interest earned in future periods will depend on the size of our marketable securities portfolio and prevailing interest rates.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Interest expense was $3.0 million and $9.8 million for the three and nine months ended September 30, 2024, compared to $2.1 million and $6.0 million for the same period in 2023. The increase in interest expense for the three and nine months ended September 30, 2024, compared to the same period in 2023, primarily reflects higher interest rates. As of September 30, 2024, we had $80.0 million in principal debt outstanding. Interest expense reflects interest owed under the Hercules Loan Agreement, as well as amortization of associated debt issuance costs and debt discounts using the effective interest method and accrual for an end of term charge. See Note 6 on Debt in Notes to Condensed Consolidated Financial Statements of this Report for additional information about the Hercules Loan Agreement.</w:t>
      </w:r>
    </w:p>
    <w:p>
      <w:pPr>
        <w:spacing w:after="0" w:line="7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November 1, 2024, we entered into the Pharmakon Loan Agreement and the Royalty Pharma Agreement, and in connection with these transactions, all obligations outstanding under the Hercules Loan Agreement were repaid in full on November 1, 2024, upon which the Hercules Loan Agreement was terminated. See Note 9 on Subsequent Events in Notes to Condensed Consolidated Financial Statements of this Report for additional information about the Pharmakon Loan Agreement, Royalty Pharma Agreement and the repayment and termination of the Hercules Loan Agreement. We expect our interest expense to increase in future periods due to the draw down of the Tranche A Loan and potential future draw downs of the other Term Loans under the Pharmakon Loan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Net</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Other income and expense, net was an expense of $63,000 and $188,000 for the three and nine months ended September 30, 2024, respectively, compared to an expense of $92,000 and $64,000 for the three and nine months ended September 30,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2" w:name="page33"/>
    <w:bookmarkEnd w:id="32"/>
    <w:p>
      <w:pPr>
        <w:ind w:right="460"/>
        <w:spacing w:after="0" w:line="282" w:lineRule="auto"/>
        <w:rPr>
          <w:sz w:val="20"/>
          <w:szCs w:val="20"/>
          <w:color w:val="auto"/>
        </w:rPr>
      </w:pPr>
      <w:r>
        <w:rPr>
          <w:rFonts w:ascii="Times New Roman" w:cs="Times New Roman" w:eastAsia="Times New Roman" w:hAnsi="Times New Roman"/>
          <w:sz w:val="18"/>
          <w:szCs w:val="18"/>
          <w:color w:val="auto"/>
        </w:rPr>
        <w:t>respectively. Other income and expense primarily reflects bank charges related to our cash operating accounts and marketable securities portfolio and foreign currency transaction adjustments.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we had cash, restricted cash, cash equivalents, and marketable securities of $378.9 million, compared to $378.1 million at December 31, 2023. The slight increase in cash, restricted cash, cash equivalents and marketable securities during the nine months ended September 30, 2024 was primarily the net result of the receipt of net cash proceeds of $141.0 million from our underwritten offering completed in March 2024, offset by cash used in operations.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March 21, 2024, we completed an underwritten public offering consisting of 41,999,998 shares of our common stock and a pre-funded warrant to purchase 8,002,668 shares of our common stock. All of the securities were issued separately. The offering price of the common stock was $3.00 per share. The offering price of the pre-funded warrant was $2.99 per share. The pre-funded warrant has an exercise price of $0.001 per share and may be exercised at any time until it is exercised in full. As of September 30, 2024, the 2024 pre-funded warrant had not been exercised. The net cash proceeds from this offering were approximately $141.0 million, after deducting the underwriting discount and other offering expenses paid by us, and excluding any future proceeds from the exercise of the pre-funded warrant. See Note 8 on Stockholders’ Equity in Notes to Condensed Consolidated Financial Statements of this Report for additional information about the underwritten offering completed in March 2024.</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January 1, 2024 through September 30, 2024, we received $419,000 in cash proceeds from the exercise of warrants we issued in 2020, covering 321,931 shares of our common stock. As of September 30, 2024, we had warrants remaining from our 2020 issuance covering 2,152,570 shares of our common stock, which if exercised in full for cash, would provide $2.8 million in cash proceeds.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2024, we had a long-term principal debt balance of $80.0 million under the Hercules Loan Agreement with Hercules and SVB. On November 1, 2024, we entered into the Pharmakon Loan Agreement. We drew the Tranche A Loan of $125.0 million on November 1, 2024, a portion of which was utilized to repay all outstanding indebtedness associated with the Hercules Loan Agreement. The Pharmakon Loan Agreement provides two additional committed term loan tranches, the Tranche B Loan and the Tranche C Loan, in principal amounts of $75.0 million and $50.0 million, respectively, subject to customary conditions to fund and, in the case of the Tranche C Loan, achieving certain minimum net sales milestone. The Tranche B Loan and the Tranche C Loan may be requested on or prior to December 31, 2025. The Term Loans mature on November 1, 2029. The Term Loans bear interest at a variable rate per annum equal to 5.75% plus three-month SOFR with a SOFR floor of 3.00%.</w:t>
      </w:r>
    </w:p>
    <w:p>
      <w:pPr>
        <w:spacing w:after="0" w:line="18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On November 1, 2024, we entered into a the Royalty Pharma Agreement with Royalty Pharma. Pursuant to the Royalty Pharma Agreement, we received the Purchase Price in exchange for which Royalty Pharma obtained the right to receive the Revenue Interest Payments. The Revenue Interest Payments to Royalty Pharma are capped, such that they will cease upon reaching a multiple of 1.65 times the Purchase Price if Royalty Pharma receives Revenue Interest Payments in that amount in respect of net sales occurring on or before June 30, 2031, or upon reaching a multiple of 2.0 times the Purchase Price thereafter. There are no other royalties payable on RYTELO, which was developed internally and is exclusively owned by Geron.</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November 1, 2023, we entered into an At Market Issuance Sales Agreement, or the 2023 Sales Agreement, with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To date, no sales of common stock have occurred under the 2023 Sales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Strategy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3" w:name="page34"/>
    <w:bookmarkEnd w:id="33"/>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Based on our current operating plans and assumptions, we believe that our existing cash, cash equivalents, and marketable securities (including the $250 million received under the Pharmakon Loan Agreement and the Royalty Pharma Agreement), together with anticipated revenues from U.S. sales of RYTELO, will be sufficient to fund our projected operating requirements for at least the next 12 months from the date of this filing. We believe that our projected financial resources will be sufficient to (i) support commercial launch of RYTELO in the U.S. and potential launch in the EU, (ii) complete the Phase 3 IMpactMF trial in relapsed/refractory MF, (iii) invest in supply chain redundancy for RYTELO, and (iv) fund our general working capital requirements. If we do not generate sufficient funds from commercial sales of RYTELO, or if we experience regulatory delays or other unforeseen events or choose to make other investments in our business,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 If adequate funds are not available on a timely basis, if at all, our RYTELO commercialization efforts may be adversely affected and we may be unable to pursue further development of imetelstat, which would severely harm our business and we might cease operations.</w:t>
      </w:r>
    </w:p>
    <w:p>
      <w:pPr>
        <w:spacing w:after="0" w:line="192"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Despite FDA approval of RYTELO in June 2024, the outcome of any clinical activities and/or regulatory approval process is highly uncertain, we cannot reasonably estimate whether our future development activities may succeed; whether we will obtain regulatory approval for RYTELO in the EU in lower-risk MDS, or in any other jurisdictions or indications we are pursuing or may in the future pursue, or whether we will be able to effectively commercialize RYTELO in the U.S. for lower-risk MDS or other potential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80"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underlying our estimates for our capital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and market acceptance of RYTELO;</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magnitude and costs of non-clinical and clinical development, manufacturing and commercialization of imetelstat, including potential commercialization in the EU for lower-risk MDS, if approved, or in any other jurisdictions or other indication we may pursue, subject to clearances and approvals by the FDA and similar international regulatory authorities;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opening sites, screening and enrolling patients or treating and following patients, in our current or any potential future clinical trials of RYTELO;</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or other regulatory actions related to RYTELO, including with respect to our MAA submission for RYTELO in the EU for lower-risk MDS;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developing, commercializing and marketing RYTELO, including with respect to third-party vendors and service providers and our ability to achieve any meaningful reduction in manufacturing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third-party reimbursement for RYTELO;</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enter into and conduct successful arrangements with third parties, including for the commercialization and marketing of RYTELO in certain regions outside of the U.S., if approved for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selling, general and administrative expenses, including expenses associated with potential future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associated debt service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and operating facilities in California and New Jersey, as well as higher expenses for travel;</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or other global conditions that may reduce our ability to access equity or debt capital or other financing on preferable terms, which may adversely affect future capital requirements and forecasts;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enabling our personnel to work remotely, including providing supplies, equipment and technology necessary for them to perform their responsibilities.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Until we can generate a sufficient amount of revenue from sales of RYTELO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our clinical trials, regulatory developments, or the other risks described in this section.</w:t>
      </w:r>
    </w:p>
    <w:p>
      <w:pPr>
        <w:spacing w:after="0" w:line="1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Additional financing through public or private debt or equity financings, including pursuant to the 2023 Sales Agreement with B. Riley Securities, Inc., the Tranche B Loan and the Tranche C Loan under the Pharmakon Loan Agreement, which is subject to certain funding conditions,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or establish alternative collaborative arrangements with third-party collaborative partners for RYTELO, the development and commercialization of RYTELO may be further delayed, altered or abandoned, which might cause us to cease operations.</w:t>
      </w:r>
    </w:p>
    <w:p>
      <w:pPr>
        <w:spacing w:after="0" w:line="19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the Pharmakon Loan Agreement or potentially pursuant to new arrangements with different lenders. We may borrow funds on terms under agreements, such as the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operations for the nine months ended September 30, 2024 and 2023 was $174.7 million and $126.8 million, respectively. The increase in net cash used in operations for the nine months ended September 30, 2024, compared to the same period in 2023, primarily reflects an increase in net loss to $149.2 million, adjusted for non-cash items including stock based compensation expense related for employees and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$2.5 million for the nine months ended September 30, 2024 and $227.9 million for the nine months ended September 30, 2023. The decrease in net cash used in investing activities for the nine months ended September 30, 2024, compared to the same period in 2023, primarily reflects decreased purchases of marketable securities, as well as increased proceeds from maturities of marketable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and 2023 was $168.2 million and $328.7 million, respectively. Financing activities in 2024 primarily reflect an underwriting offering of 41,999,998 shares of common stock and a pre-funded warrant to purchase 8,002,668 shares of common stock, resulting in net cash proceeds of $141.0 million completed in March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5" w:name="page36"/>
    <w:bookmarkEnd w:id="35"/>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 the short- and long-term consist of the following operational and manufacturing expenditures, a portion of which contain contractual or other obligations. We plan to fund our material cash requirements with our current financial resources and may consider additional funding through a combination of additional equity and debt financings, new collaborative arrangements, strategic alliances, or from other 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 Our contractual obligations as of September 30, 2024 primarily consisted of our current and noncurrent debt obligations under the Hercules Loan Agreement with Hercules and SVB, as described above and in Note 6 on Debt in Notes to Condensed Consolidated Financial Statements of this Report, and obligations under non-cancellable operating leases. The aggregate amount of our future operating lease payments was reported in our 2023 Form 10-K and there have been no changes to the contractual terms of our operating leases during the nine months ended September 30, 2024. Subsequent to September 30, 2024, we entered into the Pharmakon Loan Agreement, as described above in Note 9 on Subsequent Events to Condensed Consolidated Financial Statements of this Report.</w:t>
      </w:r>
    </w:p>
    <w:p>
      <w:pPr>
        <w:spacing w:after="0" w:line="148" w:lineRule="exact"/>
        <w:rPr>
          <w:sz w:val="20"/>
          <w:szCs w:val="20"/>
          <w:color w:val="auto"/>
        </w:rPr>
      </w:pPr>
    </w:p>
    <w:p>
      <w:pPr>
        <w:ind w:right="120" w:firstLine="509"/>
        <w:spacing w:after="0" w:line="228" w:lineRule="exact"/>
        <w:rPr>
          <w:sz w:val="20"/>
          <w:szCs w:val="20"/>
          <w:color w:val="auto"/>
        </w:rPr>
      </w:pPr>
      <w:r>
        <w:rPr>
          <w:rFonts w:ascii="Times New Roman" w:cs="Times New Roman" w:eastAsia="Times New Roman" w:hAnsi="Times New Roman"/>
          <w:sz w:val="18"/>
          <w:szCs w:val="18"/>
          <w:color w:val="auto"/>
        </w:rPr>
        <w:t>We have engaged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and have re-established our own manufacturing supply chain to manufacture and supply additional quantities of RYTELO that meet applicable regulatory standards for current and potential future clinical trials and commercial uses. Related to those contract manufacturing agreements, we have noncancelable commercial purchase commitments for approximately $62.4 million in the aggregate as of September 30, 2024. These purchase commitments can vary based on the commercial demand of RYTELO and are binding based on future manufacturing needs.</w:t>
      </w:r>
    </w:p>
    <w:p>
      <w:pPr>
        <w:spacing w:after="0" w:line="19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CROs for clinical trials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there were no material changes to our quantitative and qualitative disclosures about market risk as set forth in Part II, Item 7A "Quantitative and Qualitative Disclosures About Market Risk" of our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right="400" w:firstLine="58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our disclosure controls and procedures as defined in Rules 13a-15(e) and 15d-15(e) under the Exchange Act, prior to the filing of this Report. Based on that evaluation, our Chief Executive Officer and our Chief Financial Officer have concluded that, as of the end of the period covered by this Report,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to which this report relates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See Note 7 on Contingencies and Uncertainties in Notes to Condensed Consolidated Financial Statements of this Report for information on legal proceedings.</w:t>
      </w:r>
    </w:p>
    <w:p>
      <w:pPr>
        <w:spacing w:after="0" w:line="26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are described under the heading “Risk Factors” below, and this summary is qualified in its entirety by that discussion.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the heading “Risk Factors” below.</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Commercialization of RYTELO</w:t>
      </w:r>
      <w:r>
        <w:rPr>
          <w:rFonts w:ascii="Times New Roman" w:cs="Times New Roman" w:eastAsia="Times New Roman" w:hAnsi="Times New Roman"/>
          <w:sz w:val="24"/>
          <w:szCs w:val="24"/>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(Imetelstat)</w:t>
      </w:r>
    </w:p>
    <w:p>
      <w:pPr>
        <w:spacing w:after="0" w:line="275" w:lineRule="exact"/>
        <w:rPr>
          <w:sz w:val="20"/>
          <w:szCs w:val="20"/>
          <w:color w:val="auto"/>
        </w:rPr>
      </w:pPr>
    </w:p>
    <w:p>
      <w:pPr>
        <w:jc w:val="both"/>
        <w:ind w:left="1020" w:right="10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our sales, marketing, and distribution of RYTELO may be unsuccessful or less successful than anticipated.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execute on our sales, marketing and distribution plans to commercialize RYTELO, we may be unable to generate meaningful product revenue.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acceptable prices or adequate reimbursement for RYTELO, the use of RYTELO could be severely limited.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commercially successful, RYTELO must be accepted by the healthcare community, which can be slow to adopt or unreceptive to new technologies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RYTELO are smaller than we believe, our revenue may be adversely affected and our business may suffer.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network of third party distributors, specialty pharmacies and other vendors to distribute RYTELO, and any failure by such distributors, specialty pharmacies and vendors could adversely affect our revenues, financial condition, or results of operations.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regulatory approval to commercialize RYTELO in the EU, and any such approval, if received, will be subject to pricing, drug marketing and reimbursement regulations in the EU, which may materially affect our ability to commercialize and receive reimbursement coverage for RYTELO in the EU.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of RYTELO</w:t>
      </w:r>
    </w:p>
    <w:p>
      <w:pPr>
        <w:spacing w:after="0" w:line="121" w:lineRule="exact"/>
        <w:rPr>
          <w:sz w:val="20"/>
          <w:szCs w:val="20"/>
          <w:color w:val="auto"/>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regulatory approval from the FDA for RYTELO in the U.S. for lower-risk MDS, which would severely and adversely affect our business and business prospects, and might cause us to cease operations.</w:t>
      </w:r>
    </w:p>
    <w:p>
      <w:pPr>
        <w:spacing w:after="0" w:line="53"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approval for RYTELO in the U.S. for lower-risk MDS is subject to certain post-marketing requirements and commitments, and we may be subject to penalties or product withdrawal if we fail to comply with such regulatory requirements or commitments, or if we experience unanticipated problems with RYTELO.</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spacing w:after="0" w:line="6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orphan drug designation has been granted to RYTELO for the treatment of MDS and MF in the U.S. and in the EU, these designations may not be maintained, which would eliminate the benefits associated with orphan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-391160</wp:posOffset>
            </wp:positionV>
            <wp:extent cx="285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ind w:left="1020" w:right="220"/>
        <w:spacing w:after="0" w:line="282" w:lineRule="auto"/>
        <w:rPr>
          <w:sz w:val="20"/>
          <w:szCs w:val="20"/>
          <w:color w:val="auto"/>
        </w:rPr>
      </w:pPr>
      <w:r>
        <w:rPr>
          <w:rFonts w:ascii="Times New Roman" w:cs="Times New Roman" w:eastAsia="Times New Roman" w:hAnsi="Times New Roman"/>
          <w:sz w:val="18"/>
          <w:szCs w:val="18"/>
          <w:color w:val="auto"/>
        </w:rPr>
        <w:t>designation, including market exclusivity, which could limit the period of exclusivity we are able to maintain for the commercialization of RYTELO, and would likely harm our business and business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Compliance with Healthcare Laws</w:t>
      </w:r>
    </w:p>
    <w:p>
      <w:pPr>
        <w:spacing w:after="0" w:line="121" w:lineRule="exact"/>
        <w:rPr>
          <w:sz w:val="20"/>
          <w:szCs w:val="20"/>
          <w:color w:val="auto"/>
        </w:rPr>
      </w:pPr>
    </w:p>
    <w:p>
      <w:pPr>
        <w:ind w:left="1020" w:right="18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Department Of Justice, or DOJ, and other regulatory authorities actively enforce regulations related to the promotion and advertisement of pharmaceutical products, and if we were found to have violated the Food, Drug and Cosmetic Act, we could be subject to significant penalties, including civil, criminal and administrative penalties.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business activities become subject to challenge under supranational, national, federal, state or international healthcare laws, including fraud and abuse, transparency, and health information privacy and security laws, we could face substantial penalties and our business, results of operations, financial condition and prospects could be adversely affected.</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health policy changes and healthcare reform both in the U.S. and outside the U.S. may adversely affect our business and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Further Development of RYTELO (Imetelstat)</w:t>
      </w:r>
    </w:p>
    <w:p>
      <w:pPr>
        <w:spacing w:after="0" w:line="121" w:lineRule="exact"/>
        <w:rPr>
          <w:sz w:val="20"/>
          <w:szCs w:val="20"/>
          <w:color w:val="auto"/>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will be able to continue to develop RYTELO (imetelstat) or advance it in clinical trials, or that we will be able to receive regulatory approval for RYTELO in any other indications in the U.S., the EU or any other region, on a timely basis or at all.</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(imetelstat) may cause, or have attributed to it, undesirable or unintended side effects or other adverse events that could halt or limit its commercialization, delay or prevent its regulatory approval in any other jurisdiction or indication, or cause us to delay or terminate our clinical trials.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or our imetelstat development program as a whole.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Manufacturing RYTELO</w:t>
      </w:r>
    </w:p>
    <w:p>
      <w:pPr>
        <w:spacing w:after="0" w:line="121" w:lineRule="exact"/>
        <w:rPr>
          <w:sz w:val="20"/>
          <w:szCs w:val="20"/>
          <w:color w:val="auto"/>
        </w:rPr>
      </w:pPr>
    </w:p>
    <w:p>
      <w:pPr>
        <w:ind w:left="1020" w:right="1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that manufacture RYTELO fail to perform as needed, the commercial and clinical supply of RYTELO will be limited, and we may be unable to successfully commercialize RYTELO or conduct or complete current or potential future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Operating Results, Financial Position and Need for Additional Capital</w:t>
      </w:r>
    </w:p>
    <w:p>
      <w:pPr>
        <w:spacing w:after="0" w:line="121" w:lineRule="exact"/>
        <w:rPr>
          <w:sz w:val="20"/>
          <w:szCs w:val="20"/>
          <w:color w:val="auto"/>
        </w:rPr>
      </w:pPr>
    </w:p>
    <w:p>
      <w:pPr>
        <w:ind w:left="1020" w:right="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We expect to continue to incur net losses in the near term and may not achieve consistent future profitability for some time, if ever.</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unpredictable and may fluctuate. If our operating results are below the expectations of securities analysts or investors, the trading price of our common stock could decline.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additional capital when needed would force us to further delay, reduce or eliminate the further development of imetelstat, or to halt the commercialization of RYTELO, any of which would severely and adversely affect our financial results, business and business prospects, and might cause us to cease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 and Liabilities</w:t>
      </w:r>
    </w:p>
    <w:p>
      <w:pPr>
        <w:spacing w:after="0" w:line="121" w:lineRule="exact"/>
        <w:rPr>
          <w:sz w:val="20"/>
          <w:szCs w:val="20"/>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debt service obligations could adversely affect our financial condition, and may make it more difficult for us to fund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Protecting Our Intellectual Property</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38" w:name="page39"/>
    <w:bookmarkEnd w:id="38"/>
    <w:p>
      <w:pPr>
        <w:ind w:left="1020" w:right="60" w:hanging="503"/>
        <w:spacing w:after="0" w:line="312"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sufficient intellectual property protection for RYTELO, our competitors could develop and commercialize products similar or identical to RYTELO, and our ability to successfully commercialize RYTELO may be adversely affected.</w:t>
      </w:r>
    </w:p>
    <w:p>
      <w:pPr>
        <w:spacing w:after="0" w:line="31" w:lineRule="exact"/>
        <w:rPr>
          <w:rFonts w:ascii="Times New Roman" w:cs="Times New Roman" w:eastAsia="Times New Roman" w:hAnsi="Times New Roman"/>
          <w:sz w:val="17"/>
          <w:szCs w:val="17"/>
          <w:color w:val="auto"/>
        </w:rPr>
      </w:pPr>
    </w:p>
    <w:p>
      <w:pPr>
        <w:jc w:val="both"/>
        <w:ind w:left="1020" w:right="20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RYTELO for an adequate amount of time.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scope and enforceability of any patents listed in the Orange Book that cover RYTELO or its methods of use can be challenged by third parties and may not protect us from generic or innovator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Systems, Data Security and Data Privacy</w:t>
      </w:r>
    </w:p>
    <w:p>
      <w:pPr>
        <w:spacing w:after="0" w:line="121" w:lineRule="exact"/>
        <w:rPr>
          <w:sz w:val="20"/>
          <w:szCs w:val="20"/>
          <w:color w:val="auto"/>
        </w:rPr>
      </w:pPr>
    </w:p>
    <w:p>
      <w:pPr>
        <w:ind w:left="1020" w:right="18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 and Financial Reporting</w:t>
      </w:r>
    </w:p>
    <w:p>
      <w:pPr>
        <w:spacing w:after="0" w:line="121"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our stock price has been extremely volatile, and your investment may suffer a decline in value.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and those described below may not be the only risks and uncertainties we face. You should carefully consider the following risk factors, together with the information contained herein and in our Annual Report on Form 10-K for the year ended December 31, 2023, filed with the Securities and Exchange Commission, or SEC, on February 28, 2024, including our consolidated financial statements and the related notes, and our other filings with the SEC, before deciding whether to invest in our common stock.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RYTELO</w:t>
      </w:r>
    </w:p>
    <w:p>
      <w:pPr>
        <w:spacing w:after="0" w:line="22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spacing w:after="0" w:line="175"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In June 2024, we received FDA approval to commercialize RYTELO in the U.S. for certain patients with lower-risk MDS, and we initiated a commercial launch of RYTELO in the U.S. in that indication. RYTELO is our only product approved for marketing by the FDA, and our ability to generate revenue from product sales and achieve profitability is wholly dependent on our ability to successfully commercialize RYTELO in the U.S. for lower-risk MDS or to expand its indications of use. We may not be able to successfully commercialize RYTELO for a number of reasons, including:</w:t>
      </w:r>
    </w:p>
    <w:p>
      <w:pPr>
        <w:spacing w:after="0" w:line="72" w:lineRule="exact"/>
        <w:rPr>
          <w:sz w:val="20"/>
          <w:szCs w:val="20"/>
          <w:color w:val="auto"/>
        </w:rPr>
      </w:pPr>
    </w:p>
    <w:p>
      <w:pPr>
        <w:ind w:left="1020" w:right="2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establish or demonstrate in the medical community the safety and efficacy of RYTELO and its potential advantages over and side effects compared to existing treatments;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may be reluctant to prescribe RYTELO until longer-term efficacy and safety data exists;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historical experience in marketing, selling and distributing RYTELO;</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coverage policies of government and private payers such as Medicare, Medicaid, insurance companies, health maintenance organizations and other plan administrators;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price of RYTELO as compared to alternative treatment options;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low incidence and prevalence of patients in RYTELO’s approved indication, including the reliability of our market and sales estimates;</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competitive or other market factors may adversely affect the commercial potential of RYTELO;</w:t>
      </w:r>
    </w:p>
    <w:p>
      <w:pPr>
        <w:spacing w:after="0" w:line="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regulatory approvals for RYTELO in any other jurisdictions or for any other indications, including in the EU for lower-risk MDS or in any other jurisdiction for relapsed/refractory MF;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9" w:name="page40"/>
    <w:bookmarkEnd w:id="39"/>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or increased regulatory restrictions;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label for RYTELO that further restrict how we market and sell RYTELO, including adverse events observed in ongoing and future studies of imetelstat such as our Phase 3 IMpactMF clinical trial;</w:t>
      </w: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capabilities of third party manufacturers may adversely affect the success of our commercialization of RYTELO;</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financial or other resources to successfully commercialize RYTELO;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adequate commercial supplies of RYTELO to meet demand or at an acceptable cost or at all.</w:t>
      </w:r>
    </w:p>
    <w:p>
      <w:pPr>
        <w:spacing w:after="0" w:line="25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Moreover, successful commercialization of RYTELO may not generate sufficient revenue from product sales, and we may not become profitable in the near term, or at all. In any event, if we are unable to successfully commercialize RYTELO in the U.S. for lower-risk MDS, or to expand its indications of use, our ability to generate meaningful revenue from product sales and achieve profitability will be materially and adversely affected, which in turn would severely and adversely affect our financial results, business and business prospects, and might cause us to cease operations.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our sales, marketing, and distribution of RYTELO may be unsuccessful or less successful than anticipated.</w:t>
      </w:r>
    </w:p>
    <w:p>
      <w:pPr>
        <w:spacing w:after="0" w:line="159"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As a company, we have limited prior experience in selling and marketing or commercializing an approved drug product in the U.S., and we have no experience marketing or commercializing an approved drug outside of the U.S. The success of our commercialization efforts is subject to, among other things, managing our internal sales, marketing, and distribution capabilities and our ability to navigate the significant expenses and risks involved with the management of such capabilities. For example, our commercial launch of RYTELO in the U.S. may not continue as planned or anticipated, which may require us to, among others, adjust or amend our commercialization plan and incur significant expenses. Further, given our limited historical experience commercializing drug products, we do not have a track record of successfully executing a commercial launch. If we are unsuccessful in accomplishing our objectives or if our commercialization efforts do not continue as planned, we may not be able to successfully commercialize RYTELO in lower-risk MDS, we may require significant additional capital and financial resources, we may not become profitable, and we may not be able to compete against more established companies in our industry, any of which would severely and adversely affect our financial results, business and business prospects, and might cause us to cease operations.</w:t>
      </w:r>
    </w:p>
    <w:p>
      <w:pPr>
        <w:spacing w:after="0" w:line="19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execute on our sales, marketing and distribution plans to commercialize RYTELO, we may be unable to generate meaningful product revenue.</w:t>
      </w:r>
    </w:p>
    <w:p>
      <w:pPr>
        <w:spacing w:after="0" w:line="159"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To successfully commercialize RYTELO in the U.S., we need to continue to execute on our sales, marketing and distribution plans. The ongoing execution of our sales, marketing and distribution plans is, and will continue to be, expensive and time-consuming and we cannot be certain that we will be able to continue to execute on these plans successfully. In addition, we compete with many companies that currently have extensive, experienced and well-funded sales, distribution and marketing operations to recruit, hire, train and retain marketing and sales personnel. If we are unable to recruit as needed, and to retain and effectively train marketing and sales personnel and equip them with compliant and effective materials, our efforts to successfully commercialize RYTELO could be adversely affected.</w:t>
      </w:r>
    </w:p>
    <w:p>
      <w:pPr>
        <w:spacing w:after="0" w:line="187"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We currently have no marketing or sales organization outside of the U.S. We do not yet have any products approved for sale outside of the U.S, and we, as a company, have no experience selling and marketing approved drugs outside of the U.S. To successfully commercialize any approved drugs outside of the U.S, we will need to develop these capabilities, either on our own or with others. Doing so will be expensive, difficult and time-consuming. If we receive regulatory approval to commercialize RYTELO in any other regions, such as the EU, we may seek strategic partnerships, collaborations, alliances or licensing arrangements, at an appropriate time, to assist us in the potential development and commercialization of RYTELO, or we may seek to self-commercialize and need to establish business operations in such regions. We may be unsuccessful in our efforts to recruit, hire, train and retain personnel to support such business operations; or we may be unable to enter into and conduct successful strategic partnerships, collaborations, alliances or licensing arrangements with third parties to commercialize RYTELO in such regions, should we seek to do so. Any failure or delay in the development of our internal sales, marketing and distribution capabilities would adversely impact the commercialization of RYTELO outside the U.S.. Further, given our lack of prior experience in marketing and selling our product, our initial estimate of the size of the required sales force may be materially more or less than the size of the sales force actually required to effectively commercialize our product. As such, we may be required to hire substantially more sales representatives and medical support liaisons to adequately support the commercialization of RYTELO, if approved, or we may incur excess costs as a result of hiring more sales representatives than necessary. With respect to certain geographical markets, we may enter into arrangements with other entities to utilize their local marketing and distribution capabilities, but we may be unable to enter into such arrangements on favorable terms, if at all. If our potential future partners do not commit sufficient resources to commercialize our future products, if any, and we are unable to develop the necessary marketing capabilities on our own, we will be unable to generate sufficient product revenue to sustain our business. If we are unable to establish sales and marketing capabilities for RYTELO, whether on our own or through collaborations, our results of operations will be negatively impacted. Any of the foregoing would negatively impact our business and business prospects, severely and adversely affect our financial results, and might cause us to cease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acceptable prices or adequate reimbursement for RYTELO, the use of RYTELO could be severely limited.</w:t>
      </w:r>
    </w:p>
    <w:p>
      <w:pPr>
        <w:spacing w:after="0" w:line="229"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ability to successfully commercialize RYTELO will depend significantly on obtaining acceptable prices and the availability of coverage and adequate reimbursement to patients from third-party payors. Government payors, such as the Medicare and Medicaid programs, and other third-party payors, such as private health insurers and health maintenance organizations, determine which medications they will cover and the reimbursement levels. Although we have received a permanent and product-specific J-code (J0870) for RYTELO which will become effective on January 1, 2025, the resulting reimbursement payment rates may not be adequate or may require significant restrictions on use or increased co-payments from commercially insured patients that patients may find unacceptably high. Patients are unlikely to use RYTELO unless coverage is provided, and reimbursement is adequate to cover all or a significant portion of its cost. Therefore, coverage and adequate reimbursement will be critical to market acceptance of RYTELO.</w:t>
      </w:r>
    </w:p>
    <w:p>
      <w:pPr>
        <w:spacing w:after="0" w:line="18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Further, the status of reimbursement codes for RYTELO could also affect reimbursement. J-Codes are reimbursement codes maintained by the Centers for Medicare and Medicaid Services, or CMS, that are a component of the Healthcare Common Procedure Coding System and are typically used to report drugs that ordinarily cannot be self-administered. On October 3, 2024, CMS assigned a permanent and product specific J-code (J0870) for RYTELO, which will become effective on January 1, 2025. For the remainder of 2024, and until CMS systems are updated, physicians will continue to use the non-specific miscellaneous J-Code to bill third-party payors for RYTELO. Because miscellaneous J-Codes may be used for a wide variety of products, health plans may have more difficulty determining the actual product used and billed for the patient. These claims increase the provider administrative burden and must often be submitted with additional information and manually processed, which can delay claims processing times as well as increase the likelihood for claim denials and claim errors.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government authorities and other third-party payors in the U.S. and other jurisdictions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The Inflation Reduction Act of 2022, or the Inflation Reduction Act, includes several provisions to lower prescription drug costs for people with Medicare and reduce drug spending by the federal government, which may ultimately have a negative effect on the pricing for RYTELO. However, the Medicare drug pricing negotiation program provisions of the law are currently subject to legal challenges. Further, no uniform policy requirement for coverage and reimbursement for drug products exists among third-party payors in the U.S. As a result, the coverage determination process is often a time-consuming and costly process that will require us to provide scientific and clinical support for the use of RYTELO to each payor separately, with no assurance that coverage and adequate reimbursement will be applied consistently or obtained in the first instance.</w:t>
      </w:r>
    </w:p>
    <w:p>
      <w:pPr>
        <w:spacing w:after="0" w:line="19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RYTELO, and, if reimbursement is available, what the level of reimbursement will be. Although we have received a permanent and product-specific J-code (J0870) for RYTELO which will become effective on January 1, 2025, there may also be significant delays in obtaining coverage and reimbursement for newly approved drugs, and coverage may be more limited than the purposes for which the drug is approved by the FDA or similar international regulatory authorities. Coverage and reimbursement may impact the demand for, or the price of RYTELO. If coverage and reimbursement are not available or reimbursement is available only to limited levels, we may not be able to successfully commercialize RYTELO, which would negatively impact our business and business prospects.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be commercially successful, RYTELO must be accepted by the healthcare community, which can be slow to adopt or unreceptive to new technologies and products.</w:t>
      </w:r>
    </w:p>
    <w:p>
      <w:pPr>
        <w:spacing w:after="0" w:line="15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RYTELO may not achieve market acceptance in the U.S. for lower-risk MDS or any other indication that might be approved in the future, or achieve the potential U.S. or international revenue we believe may be possible if approved outside the U.S., since hospitals, physicians, patients or the medical community in general may decide not to accept and utilize RYTELO. RYTELO competes with a number of conventional and widely accepted drugs and therapies manufactured and marketed by major pharmaceutical companies. The degree of market acceptance of RYTELO depends on a number of factors, including:</w:t>
      </w:r>
    </w:p>
    <w:p>
      <w:pPr>
        <w:spacing w:after="0" w:line="75"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RYTELO is or may in the future be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demonstration to the medical community of the clinical efficacy and safety of RYTELO;</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that RYTELO is superior to alternatives on the market at the time, including with respect to efficacy, safety, cost or route of administration;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medical professionals to prescribe, and patients to use, RYTELO, or to continue to use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unfavorable safety or efficacy data concerning RYTELO by third parties 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use of RYTELO alone or in combination with other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41" w:name="page42"/>
    <w:bookmarkEnd w:id="41"/>
    <w:p>
      <w:pPr>
        <w:ind w:left="1020" w:right="8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 for RYTELO, as well as any such claims allowed by similar international regulatory authorities for RYTELO, if any, including usage for only certain indications and any limitations or warnings about the prevalence or severity of any side effects;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RYTELO as well as competitive products, including sequencing of available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and distribution support for RYTELO;</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 party distributors and specialty pharmacies we contract with to process prescriptions and dispense RYTELO and the processes required to place orders with such distributors and specialty pharmacies;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RYTELO is approved for inclusion on formularies in hospitals and managed care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RYTELO, both in absolute terms and relative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government and third-party payors;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including governmental authorities.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be unable to demonstrate any therapeutic or economic advantage for RYTELO compared to established or standard-of-care therapies, or newly developed therapies, for myeloid hematologic malignancies. Third-party payors may decide that any potential benefit that RYTELO may provide to clinical outcomes in myeloid hematologic malignancies is not adequate to justify the potential adverse effects or the costs of treatment with RYTELO. If the healthcare community does not accept RYTELO for any of the foregoing reasons, or for any other reasons, our ability to commercialize RYTELO in the U.S. for lower-risk MDS may be negatively impacted or precluded altogether, which would seriously and adversely affect our business and business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opportunities for RYTELO are smaller than we believe, our revenue may be adversely affected, and our business may suffer.</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are commercializing RYTELO in lower-risk MDS, and the addressable patient population in lower-risk MDS is based on our estimates. These estimates, which have been derived from a variety of sources, including scientific literature, surveys of clinics, patient foundations and market research, may prove to be incorrect. Further, new information from us or others may change the estimated incidence or prevalence of patients with lower-risk MDS in the U.S. Additionally, the potentially addressable patient population for RYTELO may not ultimately be amenable to treatment with RYTELO, or we may be unable to successfully identify patients and achieve a significant market share in RYTELO’s approved indication, or initial sales of RYTELO may deplete the prevalence pool of patients in the RYTELO’s approved indication more quickly than expected, which would have a negative impact on sales of RYTELO in the future. Our commercialization of RYTELO in the U.S. is limited to lower-risk MDS, and any future potential commercialization will be limited to the therapeutic indications examined in our clinical trials and as determined by the FDA and similar international regulatory authorities, which would not permit us to market RYTELO for any other indications not expressly approved by those regulatory authorities. Future regulatory approvals for RYTELO, if any, could be conditioned upon label restrictions that materially limit the addressable patient population.</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market opportunity may also be limited by the pricing, reimbursement and access we are able to achieve for RYTELO, the quality and expiration of our intellectual property rights and regulatory exclusivity, duration of RYTELO treatment in lower-risk MDS and future competitor treatments that enter the market. If any of our estimates prove to be inaccurate, the market opportunities for RYTELO that we or any potential future collaborative partners develop could be significantly diminished, which would have a material adverse impact on our business and business prospects, and would adversely affect our ability to achieve profitability.</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select network of third party distributors, specialty pharmacies and other vendors to distribute RYTELO in the U.S., and any failure by such distributors, specialty pharmacies and vendors could adversely affect our revenues, financial condition, or results of operations.</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rely on a select network of third party distributors, specialty pharmacies and other vendors to distribute RYTELO, and the financial failure of any of these parties could adversely affect our revenues, financial condition or results of operations. We rely on such distributors and specialty pharmacies to effectively distribute RYTELO in a timely manner, provide certain patient support services, manage prescription intake, collect accurate patient and inventory data and collect payments from payors. While we have entered into agreements with each of these parties, they may not perform as agreed, our strategic priorities may change or they may terminate their agreements with us. Further, an inability by our distributors or specialty pharmacies to meet our patients’ needs may lead to reputational harm or patient loss. In the event that such network fails to properly meet our or our patients’ needs, we may need to partner with other distributors, specialty pharmacies or vendors to replace or supplement our current network and there is no guarantee that we will be able to do so on commercially reasonable terms or at 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2" w:name="page43"/>
    <w:bookmarkEnd w:id="42"/>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seeking regulatory approval to commercialize RYTELO in the EU, and any such approval, if received, will be subject to pricing, drug marketing, post-market and reimbursement regulations in the EU, which may materially affect our ability to commercialize and receive reimbursement coverage for RYTELO in the EU.</w:t>
      </w:r>
    </w:p>
    <w:p>
      <w:pPr>
        <w:spacing w:after="0" w:line="1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seeking approval to market RYTELO in the EU for lower-risk MDS. Even if we obtain approval for RYTELO in the EU, t</w:t>
      </w:r>
      <w:r>
        <w:rPr>
          <w:rFonts w:ascii="Times New Roman" w:cs="Times New Roman" w:eastAsia="Times New Roman" w:hAnsi="Times New Roman"/>
          <w:sz w:val="18"/>
          <w:szCs w:val="18"/>
          <w:color w:val="808080"/>
        </w:rPr>
        <w:t>he competent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 xml:space="preserve">regulatory authorities may still impose significant restrictions on the indicated uses or marketing of our product or impose ongoing requirements for potentially costly post-approval studies, post-market surveillance or patient or drug restrictions. </w:t>
      </w:r>
      <w:r>
        <w:rPr>
          <w:rFonts w:ascii="Times New Roman" w:cs="Times New Roman" w:eastAsia="Times New Roman" w:hAnsi="Times New Roman"/>
          <w:sz w:val="18"/>
          <w:szCs w:val="18"/>
          <w:color w:val="000000"/>
        </w:rPr>
        <w:t>We will also be subject to rules and regulations in the EU</w:t>
      </w:r>
      <w:r>
        <w:rPr>
          <w:rFonts w:ascii="Times New Roman" w:cs="Times New Roman" w:eastAsia="Times New Roman" w:hAnsi="Times New Roman"/>
          <w:sz w:val="18"/>
          <w:szCs w:val="18"/>
          <w:color w:val="808080"/>
        </w:rPr>
        <w:t xml:space="preserve"> </w:t>
      </w:r>
      <w:r>
        <w:rPr>
          <w:rFonts w:ascii="Times New Roman" w:cs="Times New Roman" w:eastAsia="Times New Roman" w:hAnsi="Times New Roman"/>
          <w:sz w:val="18"/>
          <w:szCs w:val="18"/>
          <w:color w:val="231F20"/>
        </w:rPr>
        <w:t>applicable to the manufacturing, marketing, promotion and sale of medicinal products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808080"/>
        </w:rPr>
        <w:t>If we or a regulatory authority discovers previously unknown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808080"/>
        </w:rPr>
        <w:t>problems with RYTELO, such as adverse events of unanticipated severity or frequency, or problems with a facility where RYTELO is manufactured, a regulatory authority may impose restrictions relative to RYTELO or the manufacturing facility, including requiring recall or withdrawal of RYTELO from the market or suspension of manufacturing. Moreover, product labeling, advertising and promotion for RYTELO will be subject to regulatory requirements and continuing regulatory review.</w:t>
      </w:r>
    </w:p>
    <w:p>
      <w:pPr>
        <w:spacing w:after="0" w:line="19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the pricing of RYTELO will be subject to governmental control and other market regulations which could put pressure on the pricing and usage of RYTELO. In the EU, pricing negotiations with governmental authorities can take considerable time after obtaining marketing approval of a product candidate. In addition, if approved, market acceptance and sales of RYTELO will depend significantly on the availability of adequate coverage and reimbursement from third-party payors for RYTELO and may be affected by existing and future healthcare reform measures.</w:t>
      </w:r>
    </w:p>
    <w:p>
      <w:pPr>
        <w:spacing w:after="0" w:line="180"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If RYTELO is approved for commercialization in the EU, in some countries, we may be required to conduct a clinical study or other studies that compare the cost-effectiveness of RYTELO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RYTELO, if it is approved for marketing in the EU. Historically, products launched in the EU do not follow price structures of the U.S.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RYTELO is unavailable or limited in scope or amount, our revenues from sales and the potential profitability of RYTELO in those countries would be negatively affected.</w:t>
      </w:r>
    </w:p>
    <w:p>
      <w:pPr>
        <w:spacing w:after="0" w:line="179"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Much like the federal Anti-Kickback Statute prohibition in the U.S., the provision of benefits or advantages to physicians and other healthcare professionals to induce or encourage the prescription, recommendation, endorsement, purchase, supply, order or use of medicinal products is also prohibited in the EU.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imprisonment.Infringement of related laws could result in substantial fines and imprisonment.</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and other healthcare professionals in certain EU Member States must be publicly disclosed. Moreover, agreements with physicians may require prior notification or approval by the physician’s or healthcare professional’s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have existing products or develop new products, product candidates or technologies that are superior to or more cost-effective than RYTELO, this could significantly impact the commercial viability and further development of RYTELO, which would severely and adversely affect our financial results, business and business prospects.</w:t>
      </w:r>
    </w:p>
    <w:p>
      <w:pPr>
        <w:spacing w:after="0" w:line="1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telomeres and telomerase; clinical data to date; and knowledge and expertise around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18"/>
          <w:szCs w:val="18"/>
          <w:color w:val="auto"/>
        </w:rPr>
        <w:t>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RYTELO will compete with other products and therapies that currently exist, are being developed or will in the future be developed, some of which we may not currently be aware of. For a description of the competition that RYTELO may face in our lead indications of lower-risk MDS and relapsed/refractory MF, see Item 1, “Business - Competition” in our 2023 Form 10-K.</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w:t>
      </w:r>
    </w:p>
    <w:p>
      <w:pPr>
        <w:spacing w:after="0" w:line="16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Competitors may have or develop more commercially desirable or affordable products than RYTELO, or achieve earlier or longer patent and regulatory exclusivity protection or product commercialization than we may be able to achieve with RYTELO. Some of these products may have an entirely different approach or means of accomplishing therapeutic effects similar or superior to those that may be demonstrated by RYTELO. Competitors may have or develop products that are safer, more effective, or less costly than RYTELO, or more convenient to administer to patients. In addition, competitors may price their products below our price for RYTELO, may receive better third-party payor coverage and/or reimbursement, or may be more cost-effective than RYTELO. Such competitive products or activities by competitors may limit the commercial potential of RYTELO, which may cause us to cease commercialization and any further development of RYTELO, which would severely and adversely affect our financial results, business and business prospects, and might cause us to cease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RYTELO</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regulatory approval from the FDA for RYTELO in the U.S. for lower-risk MDS, which would severely and adversely affect our business and business prospects, and might cause us to cease operations.</w:t>
      </w:r>
    </w:p>
    <w:p>
      <w:pPr>
        <w:spacing w:after="0" w:line="159"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In June 2024, we received regulatory approval from the FDA to commercialize RYTELO in the U.S. in lower-risk MDS. Federal, state and local governments in the U.S. have significant regulations in place that may limit or prevent us from successfully commercializing RYTELO in the U.S. for lower-risk MDS. We do not currently have regulatory approval for RYTELO in any other jurisdiction or for any other indication, and governments in other jurisdictions have significant regulations that may limit or prevent us from successfully commercializing RYTELO in other jurisdictions. Failure to maintain regulatory approval for RYTELO from the FDA in the U.S. for lower-risk MDS, or delays in obtaining, failure to obtain, or limitations in the scope of such approvals in any other jurisdictions or for any other indications, could:</w:t>
      </w:r>
    </w:p>
    <w:p>
      <w:pPr>
        <w:spacing w:after="0" w:line="79" w:lineRule="exact"/>
        <w:rPr>
          <w:sz w:val="20"/>
          <w:szCs w:val="20"/>
          <w:color w:val="auto"/>
        </w:rPr>
      </w:pPr>
    </w:p>
    <w:p>
      <w:pPr>
        <w:ind w:left="1020" w:right="6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withdrawal of RYTELO from the market or could otherwise delay, limit or preclude any revenue we may receive from the commercialization of RYTELO in the U.S. for lower-risk MDS;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harm the commercial potential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halt or increase the costs of our activities and plans for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may have been available to us; or</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preclude any revenue we may receive from the future commercialization of RYTELO in any other jurisdictions or for any other indications, if any.</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approved products and their manufacturers are subject to continual review, and discovery of previously unknown problems with a product or its manufacturer may result in restrictions on the product or manufacturer, including import restrictions, seizure and withdrawal of the product from the market. Commercialization and sales of RYTELO are subject to government regulations related to numerous matters, including the processes of:</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and to the extent that, we are unable to comply with these regulations, our ability to earn revenue from the commercialization of RYTELO will be materially and adversely impacted.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4" w:name="page45"/>
    <w:bookmarkEnd w:id="4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if RYTELO causes serious or unexpected side effects, or if other safety risks are observed as a result of our commercialization efforts for RYTELO in the U.S. in lower-risk MDS or in current or potential future clinical trials, a number of potential significant negative consequences could result, including:</w:t>
      </w:r>
    </w:p>
    <w:p>
      <w:pPr>
        <w:spacing w:after="0" w:line="6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withdraw its approval of RYTELO;</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RYTELO, seek to change the way it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revisions to the labeling of RYTELO, including limitations on approved uses or the addition of further warnings, contraindications or other safety information, or may impose restrictions on distribution in the form of REMS;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and supply disruptions if regulatory inspectors identify regulatory noncompliance by third-party manufacturers requiring remediation;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may be rendered less competitive and sales, if any, may decrease;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generally both among clinicians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potential lawsuits and associated legal expenses, including costs of resolving claims;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international regulatory authorities may refuse to approve pending applications, such as our MAA in the EU, or supplements to approved applications filed by us, or may suspend or revoke license approvals; or</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or stop ongoing clinical trials of RYTELO (imetelstat), which would negatively impact the development of RYTELO (imetelstat) for other potential indications.</w:t>
      </w:r>
    </w:p>
    <w:p>
      <w:pPr>
        <w:spacing w:after="0" w:line="16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for RYTELO, could substantially increase the costs and expenses of commercializing RYTELO, or could limit its commercial potential, which in turn could delay or prevent us from generating any meaningful revenues from the sale of the RYTELO. If RYTELO is approved outside the U.S., we will be subject to similar requirements, considerations and risks in other regions.</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regulatory approval for RYTELO in the U.S. for lower-risk MDS is subject to post-marketing requirements and commitments, and we may be subject to penalties or product withdrawal if we fail to comply with these regulatory requirements and commitments or if we experience unanticipated problems with RYTELO.</w:t>
      </w:r>
    </w:p>
    <w:p>
      <w:pPr>
        <w:spacing w:after="0" w:line="175"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Our regulatory approval for RYTELO in lower-risk MDS is subject to clinical, non-clinical and manufacturing post-marketing requirements and commitments, including the requirement of continuing to assess long-term safety of RYTELO (imetelstat) in the IMerge trial and a clinical trial to evaluate alternative dosing regimens in lower-risk MDS, with timelines for completion and reporting established by the FDA. In addition, RYTELO and the manufacturing processes and facilities, post-approval clinical data, labeling, advertising and promotional activities related to RYTELO will be subject to continual requirements of, and review by, the FDA and comparable regulatory authorities. These requirements include submissions of safety and other post-marketing information and reports, registration requirements, current Good Manufacturing Practice, or cGMP, requirements relating to quality control, quality assurance and corresponding maintenance of records and documents, and requirements regarding promotional interactions with healthcare professionals.</w:t>
      </w:r>
    </w:p>
    <w:p>
      <w:pPr>
        <w:spacing w:after="0" w:line="192" w:lineRule="exact"/>
        <w:rPr>
          <w:sz w:val="20"/>
          <w:szCs w:val="20"/>
          <w:color w:val="auto"/>
        </w:rPr>
      </w:pPr>
    </w:p>
    <w:p>
      <w:pPr>
        <w:ind w:right="100" w:firstLine="584"/>
        <w:spacing w:after="0" w:line="282" w:lineRule="auto"/>
        <w:rPr>
          <w:sz w:val="20"/>
          <w:szCs w:val="20"/>
          <w:color w:val="auto"/>
        </w:rPr>
      </w:pPr>
      <w:r>
        <w:rPr>
          <w:rFonts w:ascii="Times New Roman" w:cs="Times New Roman" w:eastAsia="Times New Roman" w:hAnsi="Times New Roman"/>
          <w:sz w:val="18"/>
          <w:szCs w:val="18"/>
          <w:color w:val="auto"/>
        </w:rPr>
        <w:t>Failure to comply with these post-marketing requirements and commitments or any other regulatory requirements, or later discovery of previously unknown problems with RYTELO, or our manufacturers, or manufacturing processes for RYTELO, may result in actions such as:</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RYTELO manufacturing,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labeling or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post-marketing requirements or commitments; warning letters, withdrawal of RYTELO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 of imetelstat in other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civil, criminal and administrative penalties, including fines, restitutions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 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3"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If we are unable to fulfill the post-marketing requirements and commitments established by the FDA for RYTELO in lower-risk MDS, or that may be applied to the approval and commercialization of RYTELO by any regulatory authority, or are unable to adapt to changes in existing regulatory requirements or adoption of new regulatory requirements or policies, there may be a negative impact to our business and continued regulatory approval of RYTELO. Under such circumstances, we or our respective service providers may be subject to the actions listed above, including losing marketing approval for RYTELO, which would severely and adversely affect our business and business prospects, and might cause us to cease operations. If RYTELO is approved outside the U.S., we will be subject to similar requirements, considerations and risks in other regions.</w:t>
      </w:r>
    </w:p>
    <w:p>
      <w:pPr>
        <w:spacing w:after="0" w:line="18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spacing w:after="0" w:line="175" w:lineRule="exact"/>
        <w:rPr>
          <w:sz w:val="20"/>
          <w:szCs w:val="20"/>
          <w:color w:val="auto"/>
        </w:rPr>
      </w:pPr>
    </w:p>
    <w:p>
      <w:pPr>
        <w:ind w:right="100" w:firstLine="584"/>
        <w:spacing w:after="0" w:line="256" w:lineRule="auto"/>
        <w:rPr>
          <w:sz w:val="20"/>
          <w:szCs w:val="20"/>
          <w:color w:val="auto"/>
        </w:rPr>
      </w:pPr>
      <w:r>
        <w:rPr>
          <w:rFonts w:ascii="Times New Roman" w:cs="Times New Roman" w:eastAsia="Times New Roman" w:hAnsi="Times New Roman"/>
          <w:sz w:val="18"/>
          <w:szCs w:val="18"/>
          <w:color w:val="auto"/>
        </w:rPr>
        <w:t>We may never receive regulatory approval for RYTELO in any other jurisdictions or for any new indications. It can take many years to obtain approval, if approval is obtained at all. Of the large number of drugs in development, only a small percentage complete the development and regulatory approval process and are successfully commercialized. In addition, the lengthy review process and the unpredictability of future or ongoing clinical trials may result in a delay in obtaining, or our failure to obtain, regulatory approval for RYTELO in lower-risk MDS in any jurisdiction other than the U.S., and for relapsed/refractory MF or for any other indications, which could significantly harm our business and business prospects, and might cause us to cease operations.</w:t>
      </w:r>
    </w:p>
    <w:p>
      <w:pPr>
        <w:spacing w:after="0" w:line="187"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non-clinical and clinical data and supporting information to regulatory authorities for each therapeutic indication to establish to the satisfaction of such regulatory authorities the product candidate’s safety and efficacy, as well as information about the product manufacturing process and any inspections of manufacturing facilities conducted by regulatory authorities through the filing of an NDA in the U.S. and an MAA in the EU. Although RYTELO is approved in the U.S. in lower-risk MDS and the EMA has validated our MAA for RYTELO for lower-risk MDS, there can be no assurance that we will receive regulatory approval from the European Commission for the commercialization of RYTELO for lower-risk MDS in the EU in a timely manner, or at all. Further, because non-clinical and clinical data are often susceptible to varying interpretations and analyses, the EMA may disagree with our interpretation of the data and may require additional clinical testing and/or further analyses from completed clinical or non-clinical trials before we can obtain regulatory approval and begin commercialization of RYTELO for lower-risk MDS in the EU, if at all, any of which could result in increased costs to us, or could delay or limit our ability to generate revenue from sales in the EU and adversely affect our commercial prospects.</w:t>
      </w:r>
    </w:p>
    <w:p>
      <w:pPr>
        <w:spacing w:after="0" w:line="194"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Even though we reported positive top-line results from IMerge Phase 3 in January 2023 and received regulatory approval from the FDA in June 2024 to commercialize RYTELO in lower-risk MDS, the top-line results from IMerge Phase 3 are not necessarily predictive of RYTELO’s activity in other indications and for other pivotal trials that may be needed to support any application to the FDA or similar international regulatory authorities for such other indications, such as from IMpactMF.</w:t>
      </w:r>
    </w:p>
    <w:p>
      <w:pPr>
        <w:spacing w:after="0" w:line="180" w:lineRule="exact"/>
        <w:rPr>
          <w:sz w:val="20"/>
          <w:szCs w:val="20"/>
          <w:color w:val="auto"/>
        </w:rPr>
      </w:pPr>
    </w:p>
    <w:p>
      <w:pPr>
        <w:ind w:right="300" w:firstLine="584"/>
        <w:spacing w:after="0" w:line="282" w:lineRule="auto"/>
        <w:rPr>
          <w:sz w:val="20"/>
          <w:szCs w:val="20"/>
          <w:color w:val="auto"/>
        </w:rPr>
      </w:pPr>
      <w:r>
        <w:rPr>
          <w:rFonts w:ascii="Times New Roman" w:cs="Times New Roman" w:eastAsia="Times New Roman" w:hAnsi="Times New Roman"/>
          <w:sz w:val="18"/>
          <w:szCs w:val="18"/>
          <w:color w:val="auto"/>
        </w:rPr>
        <w:t>Any of these events may result in a failure to further develop, obtain regulatory approval for or commercialize RYTELO in any indication other than lower-risk MDS in the U.S., which could severely and adversely affect our business and business prospects.</w:t>
      </w:r>
    </w:p>
    <w:p>
      <w:pPr>
        <w:spacing w:after="0" w:line="162"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sodium dose and schedule of 9.4 mg/kg every three weeks. Our belief may ultimately be incorrect. Therefore, our failure to add a third dosing arm could result in a failure to maintain regulatory clearance from the FDA and similar international regulatory authorities for relapsed/refractory MF, could result in the trial’s failure, or could otherwise delay, limit or prevent marketing approval of imetelstat for relapsed/refractory MF by the FDA or similar international regulatory authorities.</w:t>
      </w:r>
    </w:p>
    <w:p>
      <w:pPr>
        <w:spacing w:after="0" w:line="188" w:lineRule="exact"/>
        <w:rPr>
          <w:sz w:val="20"/>
          <w:szCs w:val="20"/>
          <w:color w:val="auto"/>
        </w:rPr>
      </w:pPr>
    </w:p>
    <w:p>
      <w:pPr>
        <w:jc w:val="both"/>
        <w:ind w:right="60" w:firstLine="584"/>
        <w:spacing w:after="0" w:line="282"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can delay, limit or deny approval of RYTELO in other indications or outside of the U.S. for any indication, or require us to conduct additional non-clinical or clinical testing or abandon a program for many reasons, including:</w:t>
      </w:r>
    </w:p>
    <w:p>
      <w:pPr>
        <w:spacing w:after="0" w:line="270" w:lineRule="exact"/>
        <w:rPr>
          <w:sz w:val="20"/>
          <w:szCs w:val="20"/>
          <w:color w:val="auto"/>
        </w:rPr>
      </w:pPr>
    </w:p>
    <w:p>
      <w:pPr>
        <w:ind w:left="5540" w:right="1780" w:hanging="5023"/>
        <w:spacing w:after="0" w:line="532" w:lineRule="auto"/>
        <w:tabs>
          <w:tab w:leader="none" w:pos="10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our clinical trials, including our statistical analysis of trial results;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6" w:name="page47"/>
    <w:bookmarkEnd w:id="46"/>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RYTELO’s efficacy results provide sufficient evidence of overall clinical benefit;</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benefit-to-risk assessment, in the case of marginal efficacy and/or clinically relevant safety concerns, for any proposed indication;</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clinical trials or by individuals using RYTELO or drugs similar to RYTELO;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non-clinical studies or clinical trials;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by the FDA of foreign data included in any future supplemental NDA, or sNDA, submissions for any future indications and the non-applicability of this data to the U.S. population and U.S. medical practice;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critical issues as a result of a pre-approval health authority inspection that could negatively impact the integrity of data in the MAA and any future sNDA and lead to a rejection by the FDA, EMA, or similar international regulatory authorities;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EMA, or similar international regulatory authorities that regulatory approval for RYTELO should be narrowed or made more restrictive than our current approval in the U.S. for lower-risk MDS, or any future indication for which approval is sought, if any;</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satisfy the requirement to develop a risk management plan for the EU, including any post-marketing studies, as a potential condition to approval in the EU for lower-risk MDS;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regarding the formulation, labeling and/or the specifications for RYTELO in the EU;</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quality or stability of RYTELO to meet acceptable regulatory standards;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or the competent authorities of the individual EU Member States or similar international regulatory authorities may lack resources or be delayed in conducting pre-approval inspections due to lack of resources or other reasons;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third-party service providers may be unable to demonstrate compliance with GMP, GCP, or other applicable regulatory and other requirements to the satisfaction of the FDA, the EMA, the competent authorities of the individual EU Member States or similar international regulatory authorities; or</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approval processes, or potential reduction of unmet medical need with the entry of competitive therapies to the market, could render our clinical efficacy or safety data insufficient for approval.</w:t>
      </w:r>
    </w:p>
    <w:p>
      <w:pPr>
        <w:spacing w:after="0" w:line="162"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8"/>
          <w:szCs w:val="18"/>
          <w:color w:val="auto"/>
        </w:rPr>
        <w:t>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w:t>
      </w:r>
    </w:p>
    <w:p>
      <w:pPr>
        <w:spacing w:after="0" w:line="176" w:lineRule="exact"/>
        <w:rPr>
          <w:sz w:val="20"/>
          <w:szCs w:val="20"/>
          <w:color w:val="auto"/>
        </w:rPr>
      </w:pPr>
    </w:p>
    <w:p>
      <w:pPr>
        <w:jc w:val="both"/>
        <w:ind w:right="220" w:firstLine="584"/>
        <w:spacing w:after="0" w:line="266" w:lineRule="auto"/>
        <w:rPr>
          <w:sz w:val="20"/>
          <w:szCs w:val="20"/>
          <w:color w:val="auto"/>
        </w:rPr>
      </w:pPr>
      <w:r>
        <w:rPr>
          <w:rFonts w:ascii="Times New Roman" w:cs="Times New Roman" w:eastAsia="Times New Roman" w:hAnsi="Times New Roman"/>
          <w:sz w:val="18"/>
          <w:szCs w:val="18"/>
          <w:color w:val="auto"/>
        </w:rPr>
        <w:t>Any marketing approval that we may receive for RYTELO in the EU for lower-risk MDS, or in any other country for any other indication, may also be limited or subject to restrictions or post-approval commitments that increase our costs or render RYTELO not commercially viable, which would harm our business and business prospects.</w:t>
      </w:r>
    </w:p>
    <w:p>
      <w:pPr>
        <w:spacing w:after="0" w:line="176"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Regulatory authorities may also not approve the labeling claims that are necessary or desirable for the successful commercialization of a drug, such as RYTELO. For example, although we received regulatory approval from the FDA in June 2024 to commercialize RYTELO in lower-risk MDS, any future regulatory clearances that we might obtain for RYTELO may be limited to fewer or narrower indications than we might request, or may be granted subject to the performance of post-marketing studies, which may impose further requirements or restrictions on the distribution or use of RYTELO,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RYTELO and affect reimbursement by third-party payors. Future regulatory clearances, if any, may be limited to a smaller patient population, or may require a different drug formulation or a different manufacturing process, than we might in the future decide to seek.</w:t>
      </w:r>
    </w:p>
    <w:p>
      <w:pPr>
        <w:spacing w:after="0" w:line="192"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of RYTELO in any other jurisdictions or for any other indications, or limitations on any regulatory approval that we might receive in the future, if any, could reduce the potential commercial use of RYTELO, and potential market demand for RYTELO and therefore result in decreased revenue for us from any commercialization of RYTELO in any other jurisdictions or for any other indications, any of which could severely and adversely affect our financial results and ability to raise additional capital, the price of our common stock, our business and business prospects, and might cause us to cease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7" w:name="page48"/>
    <w:bookmarkEnd w:id="47"/>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regulatory approval to commercialize RYTELO in the EU for lower-risk MDS or any other indication, we may experience additional risks related to marketing outside of the U.S. that could materially adversely affect our business.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seeking regulatory approval to market RYTELO in the EU, and may be subject to additional risks, including, if regulatory approval is obtained from the European Commission, risks related to operating outside of the U.S., such as:</w:t>
      </w:r>
    </w:p>
    <w:p>
      <w:pPr>
        <w:spacing w:after="0" w:line="54" w:lineRule="exact"/>
        <w:rPr>
          <w:sz w:val="20"/>
          <w:szCs w:val="20"/>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Commission and other foreign regulatory approvals, if any, may take longer and be more costly to obtain than approvals in the U.S., due to differing regulatory requirements in foreign countries;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and other regulatory authorities outside of the U.S. may disagree with the design, implementation or results of our clinical trials or our interpretation of data from nonclinical studies or clinical trials;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in the EU or of regulatory authorities outside of the U.S. may significantly change in a manner rendering our clinical data insufficient for potential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potential noncompliance with legal requirements applicable to privacy, data protection, information security and other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potential noncompliance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taxes outside of the U.S., including withholding and payroll taxes;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operations outside of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and government payors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regulations outside of the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the EU and increase our costs. We cannot predict the impact of such changes and future regulation on our business or the results of our operations.</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FDA granted orphan drug designation to RYTELO in June 2015 for the treatment of MF and for the treatment of MDS in December 2015, and the European Commission granted orphan drug designation in December 2015 to RYTELO for the treatment of MF and in July 2020 for the treatment of MDS. Orphan drug exclusivity confers seven and 10 years of exclusivity in the U.S. and E.U., respectively, following approval, subject to satisfying regulatory requirements. The FDA has confirmed seven years of orphan drug exclusivity for RYTELO following its approval on June 6, 2024 for its approved indication in lower-risk MDS. Designation as an orphan drug does not guarantee that any regulatory authority will accelerate regulatory review of, or ultimately approve, RYTELO for any indication, or at all, in the U.S., EU or any other country, nor does it limit the ability of any regulatory authority to grant orphan drug designation to product candidates of other companies that treat the same indications as RYTELO prior to RYTELO receiving any exclusive marketing approval.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8" w:name="page49"/>
    <w:bookmarkEnd w:id="48"/>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may lose orphan drug exclusivity for certain reasons, including if the FDA or the European Commission determines that the request for orphan drug designation was materially defective or if we cannot ensure sufficient quantities of RYTELO to meet the needs of patients with lower-risk MDS or MF. Failure to maintain orphan designation status, or failure to agree to and complete any agreed upon pediatric plan, would lead to the inability to obtain or the loss of such regulatory exclusivity.</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maintain orphan drug exclusivity for RYTELO, the exclusivity may not effectively protect RYTELO from all competition because different drugs with different active moieties can be approved for the same condition. Even after an orphan drug product is approved, such as the approval of RYTELO in the U.S. for lower-risk MDS in June 2024, the FDA or the European Commission can subsequently approve a different drug with the same active moiety for the same condition, if the FDA or the European Commission concludes that the later drug is safer, more effective, or makes a major contribution to patient care. The occurrence of any of these events could limit the period of exclusivity we are able to maintain for RYTELO, and may harm our business and business prospects. In addition, for any other indication that we are currently or may in the future seek to develop or obtain regulatory approval for RYTELO, such as our pending MAA for RYTELO in lower-risk MDS in the EU, orphan drug designation will neither shorten the development time nor regulatory review time for RYTELO, and it does not give RYTELO any advantage in the regulatory review or approval process.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COMPLIANCE WITH HEALTHCARE LAWS</w:t>
      </w:r>
    </w:p>
    <w:p>
      <w:pPr>
        <w:spacing w:after="0" w:line="225"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FDA, DOJ and other regulatory authorities actively enforce regulations related to the promotion and advertisement of pharmaceutical products, and if we were found to have violated the Food, Drug and Cosmetic Act, we could be subject to significant civil, criminal and administrative penalties.</w:t>
      </w:r>
    </w:p>
    <w:p>
      <w:pPr>
        <w:spacing w:after="0" w:line="13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FDA strictly regulates the promotional claims that may be made about drug products. In particular, a product may not be promoted for uses that are not approved by the FDA as reflected in the product’s approved labeling. The FDA, DOJ and other agencies actively enforce regulations related to the promotion and advertisement of pharmaceutical products. If we were found to have violated the Food, Drug, and Cosmetic Act, we could be subject to significant civil, criminal and administrative penalties, which could inhibit our ability to commercialize RYTELO and generate revenue, require us to expend significant time and resources in response, and generate negative publicity. Enforcement actions include, among others:</w:t>
      </w:r>
    </w:p>
    <w:p>
      <w:pPr>
        <w:spacing w:after="0" w:line="291"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imposition of any of these penalties or other commercial limitations, including equivalent penalties or commercial limitations imposed by foreign regulatory authorities, could severely and adversely affect our financial results, business and business prospects, including the commercialization of RYTELO, and might cause us to cease operations. Similar requirements and related consequences apply outside the U.S.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business activities become subject to challenge under supranational, national, federal, state or international healthcare laws, including fraud and abuse, transparency, and health information privacy and security laws, we could face substantial penalties and our business, results of operations, financial condition and prospects could be adversely affected.</w:t>
      </w:r>
    </w:p>
    <w:p>
      <w:pPr>
        <w:spacing w:after="0" w:line="17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9" w:name="page50"/>
    <w:bookmarkEnd w:id="49"/>
    <w:p>
      <w:pPr>
        <w:ind w:right="20"/>
        <w:spacing w:after="0" w:line="277" w:lineRule="auto"/>
        <w:rPr>
          <w:sz w:val="20"/>
          <w:szCs w:val="20"/>
          <w:color w:val="auto"/>
        </w:rPr>
      </w:pPr>
      <w:r>
        <w:rPr>
          <w:rFonts w:ascii="Times New Roman" w:cs="Times New Roman" w:eastAsia="Times New Roman" w:hAnsi="Times New Roman"/>
          <w:sz w:val="17"/>
          <w:szCs w:val="17"/>
          <w:color w:val="auto"/>
        </w:rPr>
        <w:t>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market, sell and distribute RYTELO. For details regarding the restrictions under applicable federal and state healthcare laws and regulations that may affect our ability to operate, see Item 1 “Business-Government Regulation- Fraud and Abuse, and Transparency Laws and Regulations” in our 2023 Form 10-K.</w:t>
      </w:r>
    </w:p>
    <w:p>
      <w:pPr>
        <w:spacing w:after="0" w:line="1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w:t>
      </w:r>
    </w:p>
    <w:p>
      <w:pPr>
        <w:spacing w:after="0" w:line="7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significant civil, criminal and administrative penalties, damages, monetary fines, disgorgement and imprisonment;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participation in Medicare, Medicaid and other federal healthcare programs or comparable foreign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profits and future earnings;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reporting requirements and oversight if we become subject to a corporate integrity agreement or similar agreement to resolve allegations of non-compliance with these laws;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our operations.</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adoption of health policy changes and healthcare reform both in the U.S. and outside the U.S. may adversely affect our business and financial results.</w:t>
      </w:r>
    </w:p>
    <w:p>
      <w:pPr>
        <w:spacing w:after="0" w:line="159"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Healthcare Reform” in our 2023 Form 10-K.</w:t>
      </w:r>
    </w:p>
    <w:p>
      <w:pPr>
        <w:spacing w:after="0" w:line="189" w:lineRule="exact"/>
        <w:rPr>
          <w:sz w:val="20"/>
          <w:szCs w:val="20"/>
          <w:color w:val="auto"/>
        </w:rPr>
      </w:pPr>
    </w:p>
    <w:p>
      <w:pPr>
        <w:ind w:right="60" w:firstLine="584"/>
        <w:spacing w:after="0" w:line="254" w:lineRule="auto"/>
        <w:rPr>
          <w:sz w:val="20"/>
          <w:szCs w:val="20"/>
          <w:color w:val="auto"/>
        </w:rPr>
      </w:pPr>
      <w:r>
        <w:rPr>
          <w:rFonts w:ascii="Times New Roman" w:cs="Times New Roman" w:eastAsia="Times New Roman" w:hAnsi="Times New Roman"/>
          <w:sz w:val="18"/>
          <w:szCs w:val="18"/>
          <w:color w:val="auto"/>
        </w:rPr>
        <w:t>If future legislation were to impose direct governmental price controls and access restrictions, it could have a significant adverse impact on our business and financial results. Managed care organizations, as well as Medicaid and other government authorities,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sales of RYTELO in the U.S. and outside the U.S. if approved.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FURTHER DEVELOPMENT OF RYTELO (IMETELSTAT)</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be able to continue to develop RYTELO (imetelstat) or advance it in clinical trials, or that we will be able to receive regulatory approval for RYTELO in any other indications in the U.S., the EU or any other region, on a timely basis or at all.</w:t>
      </w:r>
    </w:p>
    <w:p>
      <w:pPr>
        <w:spacing w:after="0" w:line="159" w:lineRule="exact"/>
        <w:rPr>
          <w:sz w:val="20"/>
          <w:szCs w:val="20"/>
          <w:color w:val="auto"/>
        </w:rPr>
      </w:pPr>
    </w:p>
    <w:p>
      <w:pPr>
        <w:ind w:right="80" w:firstLine="584"/>
        <w:spacing w:after="0" w:line="261" w:lineRule="auto"/>
        <w:rPr>
          <w:sz w:val="20"/>
          <w:szCs w:val="20"/>
          <w:color w:val="auto"/>
        </w:rPr>
      </w:pPr>
      <w:r>
        <w:rPr>
          <w:rFonts w:ascii="Times New Roman" w:cs="Times New Roman" w:eastAsia="Times New Roman" w:hAnsi="Times New Roman"/>
          <w:sz w:val="18"/>
          <w:szCs w:val="18"/>
          <w:color w:val="auto"/>
        </w:rPr>
        <w:t>We are wholly dependent on the success of RYTELO (imetelstat), which is our only product approved for marketing by the FDA and our ability to generate revenue from product sales and achieve profitability is wholly dependent on our ability to successfully commercialize RYTELO for lower-risk MDS or to expand its indications of use. In this regard, in addition to lower-risk MDS, which is the only indication for which RYTELO has received marketing approval in the U.S., we are developing imetelstat for the treatment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0" w:name="page51"/>
    <w:bookmarkEnd w:id="50"/>
    <w:p>
      <w:pPr>
        <w:ind w:right="180"/>
        <w:spacing w:after="0" w:line="282" w:lineRule="auto"/>
        <w:rPr>
          <w:sz w:val="20"/>
          <w:szCs w:val="20"/>
          <w:color w:val="auto"/>
        </w:rPr>
      </w:pPr>
      <w:r>
        <w:rPr>
          <w:rFonts w:ascii="Times New Roman" w:cs="Times New Roman" w:eastAsia="Times New Roman" w:hAnsi="Times New Roman"/>
          <w:sz w:val="18"/>
          <w:szCs w:val="18"/>
          <w:color w:val="auto"/>
        </w:rPr>
        <w:t>of several myeloid hematologic malignancies. Our ability to further develop imetelstat and to expand its indications of use to other myeloid hematologic malignancies is subject to significant risks and uncertainties, including, among other things, our ability to:</w:t>
      </w:r>
    </w:p>
    <w:p>
      <w:pPr>
        <w:spacing w:after="0" w:line="270" w:lineRule="exact"/>
        <w:rPr>
          <w:sz w:val="20"/>
          <w:szCs w:val="20"/>
          <w:color w:val="auto"/>
        </w:rPr>
      </w:pPr>
    </w:p>
    <w:p>
      <w:pPr>
        <w:ind w:left="1020" w:right="8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to commercialize RYTELO in lower-risk MDS from the European Commission without the requirement for the conduct and completion of additional pre-approval clinical trials or further analyses, testing or development commitments, if at all, any of which could result in increased costs to us, and delay, limit or preclude our ability to generate revenue in the EU;</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safety and efficacy data from the IMpactMF clinical trial to support any application for regulatory approval in relapsed/refractory MF, without clinically meaningful safety issues, side effects or dose-limiting toxicities related to imetelstat that may negatively impact its benefit-risk profile;</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that the use of imetelstat does not result in significant systemic or organ toxicities, including hepatotoxicity, or other safety issues resulting in an unacceptable benefit-risk profile;</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capital when needed in order to enable us to further advance imetelstat clinical trials in other myeloid hematologic malignancies;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required regulatory clearances and approvals to enable continued clinical development of imetelstat;</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commercially reasonable arrangements with third parties to provide services needed to further research, develop and commercialize RYTELO, including maintaining the agreements with our contract research organizations, or CROs, and third-party manufacturers;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sufficient qualified and experienced personnel to support the development and commercialization of RYTELO in potential other approved indications and outside the U.S. if approved;</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arrangements with third parties to provide services needed to support the commercialization of RYTELO for territories outside of the U.S. in compliance with applicable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acceptance of RYTELO treatment by patients and the relevant medical communities;</w:t>
      </w:r>
    </w:p>
    <w:p>
      <w:pPr>
        <w:spacing w:after="0" w:line="117" w:lineRule="exact"/>
        <w:rPr>
          <w:rFonts w:ascii="Times New Roman" w:cs="Times New Roman" w:eastAsia="Times New Roman" w:hAnsi="Times New Roman"/>
          <w:sz w:val="18"/>
          <w:szCs w:val="18"/>
          <w:color w:val="auto"/>
        </w:rPr>
      </w:pPr>
    </w:p>
    <w:p>
      <w:pPr>
        <w:ind w:left="1020" w:right="10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with other approved treatments in lower-risk MDS, and relapsed/refractory MF if imetelstat is approved in relapsed/refractory MF, and potentially other myeloid hematologic malignancies;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RYTELO from governmental authorities, private health insurers and other third-party payors;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enforce adequate intellectual property and regulatory exclusivity for RYTELO both in the U.S. and globally.</w:t>
      </w:r>
    </w:p>
    <w:p>
      <w:pPr>
        <w:spacing w:after="0" w:line="225" w:lineRule="exact"/>
        <w:rPr>
          <w:sz w:val="20"/>
          <w:szCs w:val="20"/>
          <w:color w:val="auto"/>
        </w:rPr>
      </w:pPr>
    </w:p>
    <w:p>
      <w:pPr>
        <w:ind w:right="460" w:firstLine="629"/>
        <w:spacing w:after="0" w:line="261" w:lineRule="auto"/>
        <w:rPr>
          <w:sz w:val="20"/>
          <w:szCs w:val="20"/>
          <w:color w:val="auto"/>
        </w:rPr>
      </w:pPr>
      <w:r>
        <w:rPr>
          <w:rFonts w:ascii="Times New Roman" w:cs="Times New Roman" w:eastAsia="Times New Roman" w:hAnsi="Times New Roman"/>
          <w:sz w:val="18"/>
          <w:szCs w:val="18"/>
          <w:color w:val="auto"/>
        </w:rPr>
        <w:t>If we are not able to successfully achieve these goals and overcome other challenges that we may encounter in the research, development, manufacturing and commercialization of RYTELO in indications other than lower-risk MDS, we may be forced to abandon our development and/or commercialization of RYTELO in indications other than lower-risk MDS, which could severely harm our business, prospects and our ability to raise additional capital.</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of imetelstat could be interrupted, delayed, terminated or abandoned for a variety of reasons which could severely and adversely affect our financial results, business and business prospects.</w:t>
      </w:r>
    </w:p>
    <w:p>
      <w:pPr>
        <w:spacing w:after="0" w:line="159" w:lineRule="exact"/>
        <w:rPr>
          <w:sz w:val="20"/>
          <w:szCs w:val="20"/>
          <w:color w:val="auto"/>
        </w:rPr>
      </w:pPr>
    </w:p>
    <w:p>
      <w:pPr>
        <w:ind w:right="460" w:firstLine="584"/>
        <w:spacing w:after="0" w:line="282" w:lineRule="auto"/>
        <w:rPr>
          <w:sz w:val="20"/>
          <w:szCs w:val="20"/>
          <w:color w:val="auto"/>
        </w:rPr>
      </w:pPr>
      <w:r>
        <w:rPr>
          <w:rFonts w:ascii="Times New Roman" w:cs="Times New Roman" w:eastAsia="Times New Roman" w:hAnsi="Times New Roman"/>
          <w:sz w:val="18"/>
          <w:szCs w:val="18"/>
          <w:color w:val="auto"/>
        </w:rPr>
        <w:t>The conduct and completion of our clinical trials could be interrupted, delayed or abandoned for a variety of reasons, including as a result of clinical trial failures, suspensions, terminations or delays related to:</w:t>
      </w:r>
    </w:p>
    <w:p>
      <w:pPr>
        <w:spacing w:after="0" w:line="270" w:lineRule="exact"/>
        <w:rPr>
          <w:sz w:val="20"/>
          <w:szCs w:val="20"/>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enrollment and retention challenges and operational delays, including in connection with opening new clinical trial sites, while also competing with clinical trials for other investigational drugs in the same patient population;</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trial endpoints such as overall survival, that inherently require prolonged periods of clinical observation or analysis of the resulting data to determine trial outcomes, including the need for a certain number of events, or deaths, to occur in IMpactMF prior to the interim or final analysis in that trial of overall survival;</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and/or maintaining regulatory clearances in the U.S. or other countries to commence, conduct or modify current or potential future clinical trials of imetelstat, in a timely manner, or at all;</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1" w:right="419" w:bottom="1440" w:gutter="0" w:footer="0" w:header="0"/>
        </w:sectPr>
      </w:pPr>
    </w:p>
    <w:bookmarkStart w:id="51" w:name="page52"/>
    <w:bookmarkEnd w:id="51"/>
    <w:p>
      <w:pPr>
        <w:ind w:left="1020" w:right="3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accessing necessary clinical data in accordance with appropriate clinical or quality practices and regulatory requirements, in a timely and accurate manner to ensure complete data sets;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that meet our specifications, cost and quality requirements, and timelines for imetelstat, or for other clinical trial materials, in a manner that meets the quality standards of the FDA and other similar international regulatory authorities, and responding to any disruptions to drug supply, clinical trial materials or quality issues that may arise;</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current and future regulatory requirements, policies or guidelines, including domestic and international laws and regulations pertaining to fraud and abuse, transparency, and the privacy and security of health information;</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contractors, including investigators or our CROs not performing our clinical trials according to our anticipated schedule or consistent with the clinical trial protocol, good clinical practices, or GCP, or other regulatory requirements, or not performing data collection or analyses in a timely or accurate manner.</w:t>
      </w:r>
    </w:p>
    <w:p>
      <w:pPr>
        <w:spacing w:after="0" w:line="176"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Failures or delays with respect to any of these events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of imetelstat, any of which could severely and adversely affect our financial results, business and business prospects.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RYTELO (imetelstat) may cause, or have attributed to it, undesirable or unintended side effects or other adverse events that could halt or limit its commercialization, delay or prevent its regulatory approval in any other jurisdiction or indication, or cause us to delay or terminate our clinical trials.</w:t>
      </w:r>
    </w:p>
    <w:p>
      <w:pPr>
        <w:spacing w:after="0" w:line="159" w:lineRule="exact"/>
        <w:rPr>
          <w:sz w:val="20"/>
          <w:szCs w:val="20"/>
          <w:color w:val="auto"/>
        </w:rPr>
      </w:pPr>
    </w:p>
    <w:p>
      <w:pPr>
        <w:ind w:right="80" w:firstLine="584"/>
        <w:spacing w:after="0" w:line="261" w:lineRule="auto"/>
        <w:rPr>
          <w:sz w:val="20"/>
          <w:szCs w:val="20"/>
          <w:color w:val="auto"/>
        </w:rPr>
      </w:pPr>
      <w:r>
        <w:rPr>
          <w:rFonts w:ascii="Times New Roman" w:cs="Times New Roman" w:eastAsia="Times New Roman" w:hAnsi="Times New Roman"/>
          <w:sz w:val="18"/>
          <w:szCs w:val="18"/>
          <w:color w:val="auto"/>
        </w:rPr>
        <w:t>RYTELO (imetelstat) has been administered only to a limited number of patients in clinical trials. While the FDA granted approval of RYTELO based on the data included in our NDA, including data from the Phase 3 IMerge trial, we do not know whether the results when a larger number of patients receive RYTELO from commercial use, including results related to safety, will be consistent with the results from earlier clinical trials that served as the basis for its approval.</w:t>
      </w:r>
    </w:p>
    <w:p>
      <w:pPr>
        <w:spacing w:after="0" w:line="180"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In addition, because remaining patients in ongoing clinical trials continue to receive imetelstat,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 New data relating to imetelstat, including from adverse event reports and our post-marketing requirements in the United States, and from ongoing clinical trials of imetelstat, may result in changes to the product label and may adversely affect sales, or result in withdrawal of imetelstat from the market. The FDA and regulatory authorities in other jurisdictions may also consider the new data in reviewing our marketing applications for additional indications and/or in other jurisdictions, or impose post-approval requirements. If any of these actions were to occur, it could result in significant expense and delay or limit our ability to generate sales revenues.</w:t>
      </w:r>
    </w:p>
    <w:p>
      <w:pPr>
        <w:spacing w:after="0" w:line="189" w:lineRule="exact"/>
        <w:rPr>
          <w:sz w:val="20"/>
          <w:szCs w:val="20"/>
          <w:color w:val="auto"/>
        </w:rPr>
      </w:pPr>
    </w:p>
    <w:p>
      <w:pPr>
        <w:ind w:right="120" w:firstLine="584"/>
        <w:spacing w:after="0" w:line="261" w:lineRule="auto"/>
        <w:rPr>
          <w:sz w:val="20"/>
          <w:szCs w:val="20"/>
          <w:color w:val="auto"/>
        </w:rPr>
      </w:pPr>
      <w:r>
        <w:rPr>
          <w:rFonts w:ascii="Times New Roman" w:cs="Times New Roman" w:eastAsia="Times New Roman" w:hAnsi="Times New Roman"/>
          <w:sz w:val="18"/>
          <w:szCs w:val="18"/>
          <w:color w:val="auto"/>
        </w:rPr>
        <w:t>Further, as a result of commercialization of RYTELO (imetelstat), or in current or potential future clinical trials, RYTELO may cause, or have attributed to it, undesirable or unintended side effects or other adverse events affecting its safety or efficacy that could interrupt, further delay or halt its commercialization or current or potential future clinical trials. In this regard, adverse events and dose-limiting toxicities observed in previous and ongoing clinical trials include:</w:t>
      </w:r>
    </w:p>
    <w:p>
      <w:pPr>
        <w:spacing w:after="0" w:line="72" w:lineRule="exact"/>
        <w:rPr>
          <w:sz w:val="20"/>
          <w:szCs w:val="20"/>
          <w:color w:val="auto"/>
        </w:rPr>
      </w:pPr>
    </w:p>
    <w:p>
      <w:pPr>
        <w:ind w:left="5540" w:right="3520" w:hanging="5023"/>
        <w:spacing w:after="0" w:line="532" w:lineRule="auto"/>
        <w:tabs>
          <w:tab w:leader="none" w:pos="10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toxicities, such as profound and/or prolonged thrombocytopenia or neutropenia;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2" w:name="page53"/>
    <w:bookmarkEnd w:id="52"/>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bleeding events, with or without thrombocytopenia, including Grade 3/4 bleeding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febrile neutropenia;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hepatotoxicity and liver function test abnormalities, as well as hepatic failure;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gastrointestinal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infection events, with or without neutropenia, including Grade 3/4 infection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muscular and joint pain;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fatigue;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infusion-related reactions.</w:t>
      </w:r>
    </w:p>
    <w:p>
      <w:pPr>
        <w:spacing w:after="0" w:line="225" w:lineRule="exact"/>
        <w:rPr>
          <w:sz w:val="20"/>
          <w:szCs w:val="20"/>
          <w:color w:val="auto"/>
        </w:rPr>
      </w:pPr>
    </w:p>
    <w:p>
      <w:pPr>
        <w:ind w:right="80" w:firstLine="584"/>
        <w:spacing w:after="0" w:line="254" w:lineRule="auto"/>
        <w:rPr>
          <w:sz w:val="20"/>
          <w:szCs w:val="20"/>
          <w:color w:val="auto"/>
        </w:rPr>
      </w:pPr>
      <w:r>
        <w:rPr>
          <w:rFonts w:ascii="Times New Roman" w:cs="Times New Roman" w:eastAsia="Times New Roman" w:hAnsi="Times New Roman"/>
          <w:sz w:val="18"/>
          <w:szCs w:val="18"/>
          <w:color w:val="auto"/>
        </w:rPr>
        <w:t>If patients who receive RYTELO as a result of commercialization or in any clinical trials experience similar or more severe adverse events, or new or unusual adverse events, or if the FDA or other similar international regulatory authorities determine that efficacy and safety data from our commercialization efforts or in clinical trials do not support an adequate benefit-risk profile to justify continued treatment of patients, then the FDA or other similar international regulatory authorities may halt or restrict the commercialization of RYTELO or place one or more of our INDs on clinical hold, as occurred in March 2014. If this were to occur, there could be a significant delay in, or possible termination of, one or more of our clinical trials, and our commercialization efforts could be halted, which might cause us to cease operations. If such toxicities or other safety issues identified as a result of our commercialization of RYTELO or in any clinical trial are determined by us, the FDA or similar international regulatory authorities to result in an unacceptable benefit-risk profile, then:</w:t>
      </w:r>
    </w:p>
    <w:p>
      <w:pPr>
        <w:spacing w:after="0" w:line="300"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could withdraw or restrict regulatory approval for RYTELO in the U.S. for lower-risk MDS;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supporting the benefit-risk profile of RTYELO may be requested by the FDA or similar international regulatory authorities and if any such information is not available or, if available, not deemed acceptable, regulatory approval could be withdrawn by the FDA in the U.S., and/or current clinical trials could be suspended, terminated, or placed on clinical hold by the FDA or similar international regulatory authorities;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enrolled patients in our current clinical trials may be negatively affected, resulting in incomplete data sets and the inability to adequately assess the benefit-risk profile of RYTELO in a specific patient population;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unexpected clinical trials or non-clinical studies may be required to be conducted;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may not receive or maintain regulatory clearances and approvals required to enable its continued development.</w:t>
      </w:r>
    </w:p>
    <w:p>
      <w:pPr>
        <w:spacing w:after="0" w:line="225"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The occurrence of any of these events could interrupt, further delay, or halt, our commercialization or RYTELO or its further development, and as a result, could preclude the commercialization of RYTELO in any additional indications, as well as increase costs for continued development in additional indications, which would have a severe adverse effect on our results of operations, financial condition and ability to raise additional capital, business and business prospects, any of which might cause us to cease operations.</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spacing w:after="0" w:line="175" w:lineRule="exact"/>
        <w:rPr>
          <w:sz w:val="20"/>
          <w:szCs w:val="20"/>
          <w:color w:val="auto"/>
        </w:rPr>
      </w:pPr>
    </w:p>
    <w:p>
      <w:pPr>
        <w:ind w:right="100" w:firstLine="584"/>
        <w:spacing w:after="0" w:line="255"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w:t>
      </w:r>
    </w:p>
    <w:p>
      <w:pPr>
        <w:spacing w:after="0" w:line="189" w:lineRule="exact"/>
        <w:rPr>
          <w:sz w:val="20"/>
          <w:szCs w:val="20"/>
          <w:color w:val="auto"/>
        </w:rPr>
      </w:pPr>
    </w:p>
    <w:p>
      <w:pPr>
        <w:ind w:right="100" w:firstLine="584"/>
        <w:spacing w:after="0" w:line="256" w:lineRule="auto"/>
        <w:rPr>
          <w:sz w:val="20"/>
          <w:szCs w:val="20"/>
          <w:color w:val="auto"/>
        </w:rPr>
      </w:pPr>
      <w:r>
        <w:rPr>
          <w:rFonts w:ascii="Times New Roman" w:cs="Times New Roman" w:eastAsia="Times New Roman" w:hAnsi="Times New Roman"/>
          <w:sz w:val="18"/>
          <w:szCs w:val="18"/>
          <w:color w:val="auto"/>
        </w:rPr>
        <w:t>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3" w:name="page54"/>
    <w:bookmarkEnd w:id="53"/>
    <w:p>
      <w:pPr>
        <w:ind w:right="80" w:firstLine="584"/>
        <w:spacing w:after="0" w:line="258" w:lineRule="auto"/>
        <w:rPr>
          <w:sz w:val="20"/>
          <w:szCs w:val="20"/>
          <w:color w:val="auto"/>
        </w:rPr>
      </w:pPr>
      <w:r>
        <w:rPr>
          <w:rFonts w:ascii="Times New Roman" w:cs="Times New Roman" w:eastAsia="Times New Roman" w:hAnsi="Times New Roman"/>
          <w:sz w:val="18"/>
          <w:szCs w:val="18"/>
          <w:color w:val="auto"/>
        </w:rPr>
        <w:t>In general, Phase 3 clinical trials with larger numbers of patients or longer durations of therapy may fail to replicate efficacy and safety results observed in earlier clinical trials, such as IMbark, and if this were to occur with IMpactMF, this would adversely affect future development prospects of imetelstat, and as a result, impact the potential commercialization of imetelstat in relapsed/refractory MF, which would have a severe adverse effect on our results of operations, financial condition and ability to raise additional capital, business and business prospects, any of which might cause us to cease operations.</w:t>
      </w:r>
    </w:p>
    <w:p>
      <w:pPr>
        <w:spacing w:after="0" w:line="183"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 closely matched real world data, or RWD, published in the September 2021 issue of the Annals of Hematology, suggest potentially favorable overall survival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 potential future imetelstat clinical trials would interrupt, further delay, or halt, any development of imetelstat, which would have a severe adverse effect on our results of operations, financial condition and ability to raise additional capital, business and business prospects.</w:t>
      </w:r>
    </w:p>
    <w:p>
      <w:pPr>
        <w:spacing w:after="0" w:line="190"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halt the commercialization of RYTELO, hinder the potential success of IMpactMF, IMproveMF or IMpress, or cause us to abandon further development of imetelstat entirely.</w:t>
      </w:r>
    </w:p>
    <w:p>
      <w:pPr>
        <w:spacing w:after="0" w:line="188"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Top-line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overall survival. Material adverse differences in future results, compared to preliminary, interim or top-line data, could severely and adversely affect our financial results, business and business prospects, including the commercialization of RYTELO, and might cause us to cease operations.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spacing w:after="0" w:line="159" w:lineRule="exact"/>
        <w:rPr>
          <w:sz w:val="20"/>
          <w:szCs w:val="20"/>
          <w:color w:val="auto"/>
        </w:rPr>
      </w:pPr>
    </w:p>
    <w:p>
      <w:pPr>
        <w:ind w:right="120" w:firstLine="584"/>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clinical development activities, and any failure by our CROs to perform their contractual obligations, or disputes with our CROs about the quality of their performance or other matters, could further delay or halt our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w:t>
      </w:r>
    </w:p>
    <w:p>
      <w:pPr>
        <w:spacing w:after="0" w:line="188"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Although we rely on third parties to conduct our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We cannot assure you that upon inspection by a given regulatory authority, such regulatory authority will determine that any of our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54" w:name="page55"/>
    <w:bookmarkEnd w:id="54"/>
    <w:p>
      <w:pPr>
        <w:ind w:right="80"/>
        <w:spacing w:after="0" w:line="256" w:lineRule="auto"/>
        <w:rPr>
          <w:sz w:val="20"/>
          <w:szCs w:val="20"/>
          <w:color w:val="auto"/>
        </w:rPr>
      </w:pPr>
      <w:r>
        <w:rPr>
          <w:rFonts w:ascii="Times New Roman" w:cs="Times New Roman" w:eastAsia="Times New Roman" w:hAnsi="Times New Roman"/>
          <w:sz w:val="18"/>
          <w:szCs w:val="18"/>
          <w:color w:val="auto"/>
        </w:rPr>
        <w:t>clinical trials comply with GCP or other applicable regulations. In addition, our clinical trials must be conducted with imetelstat produced under applicable GMP regulations. Our failure to comply with these regulations may require us to repeat clinical trials.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business and business prospects, including the commercialization of RYTELO, any of which might cause us to cease operations.</w:t>
      </w:r>
    </w:p>
    <w:p>
      <w:pPr>
        <w:spacing w:after="0" w:line="187"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w:t>
      </w:r>
    </w:p>
    <w:p>
      <w:pPr>
        <w:spacing w:after="0" w:line="183"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Switching or adding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these third parties may nonetheless encounter challenges or delays in the future, which could have a material and adverse impact on our business and business prospects.</w:t>
      </w:r>
    </w:p>
    <w:p>
      <w:pPr>
        <w:spacing w:after="0" w:line="180"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conduct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any future applications for regulatory approval of imetelstat, including in any additional indications by the FDA.</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or our imetelstat development program as a whole.</w:t>
      </w:r>
    </w:p>
    <w:p>
      <w:pPr>
        <w:spacing w:after="0" w:line="175"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We do not control the design or administration of investigator-led clinical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current or potential future investigator-led clinical trial could have a material adverse effect on our ability to maintain regulatory approval for RYTELO in lower-risk MDS, or to further develop or advance it in clinical trials.</w:t>
      </w:r>
    </w:p>
    <w:p>
      <w:pPr>
        <w:spacing w:after="0" w:line="183"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limit or preclude the further clinical development or marketing approval of RYTELO in any indication, including lower-risk MDS in the EU. To the extent that the results of any investigator-led clinical trials raise safety or other concerns, regulatory authorities may withdraw or restrict approval for RYTELO, question the results of such investigator-led clinical trials, or question the results of any of our clinical trials. Safety concerns arising from future investigator-led clinical trials could result in withdrawal of approval of RYTELO, partial or full clinical holds being placed on our INDs by the FDA or other similar international regulatory authorities, as occurred in March 2014, which would further delay or prevent us from commercializing RYTELO or advancing it into further clinical development. Any of the foregoing would delay or preclude any future marketing approvals for RYTELO and could cause us to discontinue our development of it, which would severely harm our business and prospects and could potentially cause us to cease operations.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MANUFACTURING RYTELO (IMETELSTAT)</w:t>
      </w:r>
    </w:p>
    <w:p>
      <w:pPr>
        <w:spacing w:after="0" w:line="22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spacing w:after="0" w:line="1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manufacture of RYTELO (imetelstat) must comply with applicable regulatory standards for commercial uses and current and potential future clinical trials. The process of manufacturing RYTELO is complex and subject to several risks, including: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ind w:left="1020" w:right="2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manufacture and attain sufficient production yields with acceptable quality control and quality assurance to meet market demand for our commercialization of RYTELO, as well as the needs for continuing clinical trials;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commercial supply agreements and to establish additional or alternative supply agreements if necessary, including our ability to successfully transfer manufacturing technology and attain regulatory approval at any such additional or alternative suppliers;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manufacturers and suppliers, whose efforts we do not control;</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the timely availability of product and management of shelf-life, including raw materials, drug substance, and drug product and other supplies, any of which may be impacted by a number of factors, including the effects of macroeconomic or other global conditions;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qualified personnel at any of our third party suppliers;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acceptance and compliance with regulatory requirements, which are less well-defined for oligonucleotide products than for small molecule drugs and vary in each country.</w:t>
      </w:r>
    </w:p>
    <w:p>
      <w:pPr>
        <w:spacing w:after="0" w:line="16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these and other risks, we may be unable to maintain a manufacturing infrastructure and supply chain capable of providing RYTELO for clinical and commercial use, which would delay or adversely affect our RYTELO commercialization efforts; result in lost sales; delay or result in a cessation of our current or potential future clinical trials; delay or preclude potential future regulatory approvals of RYTELO in other jurisdictions or indications; and could cause financial and reputational harm.</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that manufacture RYTELO fail to perform as needed, the commercial and clinical supply of RYTLEO will be limited, and we may be unable to successfully commercialize RYTELO or conduct or complete current or potential future clinical trials.</w:t>
      </w:r>
    </w:p>
    <w:p>
      <w:pPr>
        <w:spacing w:after="0" w:line="15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Our RYTELO manufacturing supply chain relies, and will continue to rely, solely upon third-party manufacturers to perform certain manufacturing, quality control, and other technical and scientific work with respect to RYTELO, as well as to supply starting materials and manufacture drug substance and drug product for our commercialization of RYTELO, as well as current and potential future clinical trials. While we have established arrangements with third parties for the manufacture of RYTELO, our manufacturing supply chain is highly specialized, and as such we are reliant upon a small group of third-party manufacturers to supply starting materials, drug substance and drug product. Failure by such third-party manufacturers to perform in a timely manner and in compliance with all regulatory requirements, or at all, could further delay, perhaps substantially, or preclude our ability to commercialize RYTELO and/or pursue further development of RYTELO on our own, increase our costs, result in lost sales, and otherwise negatively affect our financial results, business and business prospects. In this regard, recent FDA inspections of one of our third-party drug product manufacturers identified certain deficiencies in the manufacturer’s processes and facilities which, while not directly related to the FDA approval or ongoing production of RYTELO, could impact the manufacturer’s ability to produce and deliver products, including RYTELO, if not remediated by the manufacturer, and could lead to delays or shortages in drug supply, or the inability to manufacture or ship drug supply necessary for non-clinical and clinical activities and commercialization. We expect to rely on third-party manufacturers to produce and deliver sufficient quantities of RYTELO and other materials to support commercialization and clinical trials on a timely basis and to comply with applicable regulatory requirements. We do not have direct control over these third-party personnel or operations. Reliance on these third-party manufacturers is subject to numerous risks, including:</w:t>
      </w:r>
    </w:p>
    <w:p>
      <w:pPr>
        <w:spacing w:after="0" w:line="305" w:lineRule="exact"/>
        <w:rPr>
          <w:sz w:val="20"/>
          <w:szCs w:val="20"/>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timely contracts or production orders with any additional third-party manufacturers and suppliers that we may identify on acceptable terms, or at all;</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disruptions experienced by third-party manufacturers that adversely impact the ability of such parties to fulfill their contractual obligations to us, including to provide the quantities of RYTELO required to meet commercial and clinical needs;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limitations and scheduling constraints experienced by third-party manufacturers due to scheduling and other commitments, and queued manufacturing activities in contracted facilities;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by regulatory authorities to validate and qualify significant activities for any current or additional manufacturer, which could involve technology transfer, new testing, compliance inspections, and would likely require FDA or comparable foreign regulatory authority approval;</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third-party manufacturers to timely formulate and manufacture RYTELO or to produce or ship RYTELO in the quantities or of the quality required to meet commercial and clinical needs;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by third-party manufacturers of finished drug product for both commercial and clinical use, potentially resulting in product recall and harm to our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6" w:name="page57"/>
    <w:bookmarkEnd w:id="56"/>
    <w:p>
      <w:pPr>
        <w:ind w:left="1020" w:right="4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manufacturers to exit the contract manufacturing business during the time required to supply clinical trials or to successfully produce, store and distribute RYTELO to meet commercial needs;</w:t>
      </w:r>
    </w:p>
    <w:p>
      <w:pPr>
        <w:spacing w:after="0" w:line="53"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a recent FDA inspection of one of our third-party manufacturers;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termination of manufacturing or supply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storage or maintenance at contracted facilities resulting in theft or spoilage;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that affect contracted facilities.</w:t>
      </w:r>
    </w:p>
    <w:p>
      <w:pPr>
        <w:spacing w:after="0" w:line="225" w:lineRule="exact"/>
        <w:rPr>
          <w:sz w:val="20"/>
          <w:szCs w:val="20"/>
          <w:color w:val="auto"/>
        </w:rPr>
      </w:pPr>
    </w:p>
    <w:p>
      <w:pPr>
        <w:jc w:val="both"/>
        <w:ind w:firstLine="584"/>
        <w:spacing w:after="0" w:line="282" w:lineRule="auto"/>
        <w:rPr>
          <w:sz w:val="20"/>
          <w:szCs w:val="20"/>
          <w:color w:val="auto"/>
        </w:rPr>
      </w:pPr>
      <w:r>
        <w:rPr>
          <w:rFonts w:ascii="Times New Roman" w:cs="Times New Roman" w:eastAsia="Times New Roman" w:hAnsi="Times New Roman"/>
          <w:sz w:val="18"/>
          <w:szCs w:val="18"/>
          <w:color w:val="auto"/>
        </w:rPr>
        <w:t>Each of these risks could lead to delays or shortages in drug supply, or the inability to manufacture or ship drug supply necessary for commercialization, and non-clinical and clinical activities, which could severely and adversely affect our financial results, business and business prospects.</w:t>
      </w:r>
    </w:p>
    <w:p>
      <w:pPr>
        <w:spacing w:after="0" w:line="162"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In addition, third-party manufacturers and/or any other manufacturers may need to make substantial investments to enable sufficient capacity increases and cost reductions, and to implement those regulatory and compliance standards necessary for successful commercialization of RYTELO. These third-party manufacturers may not be willing or able to achieve such capacity increases, cost reductions, or regulatory and compliance standards, and even if they do, such achievements may not be at commercially reasonable costs. Changing manufacturers may be prolonged and difficult due to inherent technical complexities, regulatory risks, and because the number of potential manufacturers for oligonucleotide products is limited. It may be difficult or impossible for us to find a replacement manufacturer on acceptable terms, or at all.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FINANCIAL POSITION AND NEED FOR ADDITIONAL CAPITAL</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expect to continue to incur net losses for the foreseeable future and may not achieve consistent future profitability for some time, if ever.</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incurring and have incurred net losses every year since our operations began in 1990, except for one. As of September 30 2024, our accumulated deficit was approximately $1.7 billion. Losses have resulted principally from costs incurred in connection with our research and development activities and from general and administrative costs associated with our operations. In addition, we expect to experience increased negative cash flow for the foreseeable future as we fund our operations and imetelstat clinical development activities and research programs continue, and we continue with the commercialization of RYTELO, including as a result of our obligation to pay Royalty Pharma revenue interest payments under the Royalty Pharma Agreement. Although we have recently begun to commercialize RYTELO, our revenue and profit potential is unproven and our very limited operating history as a commercial company makes our future operating results difficult to predict. We will need to generate significant revenues to achieve consistent future profitability.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spacing w:after="0" w:line="200" w:lineRule="exact"/>
        <w:rPr>
          <w:sz w:val="20"/>
          <w:szCs w:val="20"/>
          <w:color w:val="auto"/>
        </w:rPr>
      </w:pPr>
    </w:p>
    <w:p>
      <w:pPr>
        <w:spacing w:after="0" w:line="2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common stock could decline.</w:t>
      </w:r>
    </w:p>
    <w:p>
      <w:pPr>
        <w:spacing w:after="0" w:line="15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Due to the approval by the FDA in June 2024 of RYTELO for lower-risk MDS and the limited historical sales data, RYTELO sales will be difficult to predict from period to period and as a result, you should not rely on RYTELO sales results in any period as being indicative of future performance. Sales of RYTELO may be below our own guidance or the expectations of securities analysts or investors in the future. To the extent that we do not meet our guidance or the expectations of analysts or investors, our stock price may be adversely impacted, perhaps significantly. We believe that our quarterly and annual results of operations may be affected by a variety of factors, including:</w:t>
      </w:r>
    </w:p>
    <w:p>
      <w:pPr>
        <w:spacing w:after="0" w:line="18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RYTELO;</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RYTELO is available from government and health administration authorities, private health insurers, managed care programs and other third-party payors;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deductions from gross sales, including government-mandated rebates, chargebacks and discounts that can vary because of changes to the government discount percentage, including increases in the government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7" w:name="page58"/>
    <w:bookmarkEnd w:id="57"/>
    <w:p>
      <w:pPr>
        <w:ind w:left="1020" w:right="300"/>
        <w:spacing w:after="0" w:line="282" w:lineRule="auto"/>
        <w:rPr>
          <w:sz w:val="20"/>
          <w:szCs w:val="20"/>
          <w:color w:val="auto"/>
        </w:rPr>
      </w:pPr>
      <w:r>
        <w:rPr>
          <w:rFonts w:ascii="Times New Roman" w:cs="Times New Roman" w:eastAsia="Times New Roman" w:hAnsi="Times New Roman"/>
          <w:sz w:val="18"/>
          <w:szCs w:val="18"/>
          <w:color w:val="auto"/>
        </w:rPr>
        <w:t>discount percentage resulting from price increases we may take in the future, or due to different levels of utilization by entities entitled to government rebates and discounts and changes in patient demographics;</w:t>
      </w:r>
    </w:p>
    <w:p>
      <w:pPr>
        <w:spacing w:after="0" w:line="54" w:lineRule="exact"/>
        <w:rPr>
          <w:sz w:val="20"/>
          <w:szCs w:val="20"/>
          <w:color w:val="auto"/>
        </w:rPr>
      </w:pPr>
    </w:p>
    <w:p>
      <w:pPr>
        <w:ind w:left="1020" w:right="6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scope of eligibility for customers to purchase RYTELO at the discounted government price or to obtain government-mandated rebates on purchases of RYTELO;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cost of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revenue interest payments under the Royalty Pharma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RYTELO sales;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activities involving imetelstat and potential future product candidates; and</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we may incur to develop and/or commercialize any additional products, product candidates, or technologies that we may develop, in-license, or acquire.</w:t>
      </w:r>
    </w:p>
    <w:p>
      <w:pPr>
        <w:spacing w:after="0" w:line="162"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Further, changes in our operations, such as increased development, manufacturing and clinical trial expenses in connection with RYTELO, or our undertaking of additional programs, business activities, or entry into strategic transactions, including potential future acquisitions of products, technologies or businesses may also cause significant fluctuations in our expenses. 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the magnitude of the expense that we must recognize may vary significantly.</w:t>
      </w:r>
    </w:p>
    <w:p>
      <w:pPr>
        <w:spacing w:after="0" w:line="187" w:lineRule="exact"/>
        <w:rPr>
          <w:sz w:val="20"/>
          <w:szCs w:val="20"/>
          <w:color w:val="auto"/>
        </w:rPr>
      </w:pPr>
    </w:p>
    <w:p>
      <w:pPr>
        <w:ind w:right="100" w:firstLine="569"/>
        <w:spacing w:after="0" w:line="266" w:lineRule="auto"/>
        <w:rPr>
          <w:sz w:val="20"/>
          <w:szCs w:val="20"/>
          <w:color w:val="auto"/>
        </w:rPr>
      </w:pPr>
      <w:r>
        <w:rPr>
          <w:rFonts w:ascii="Times New Roman" w:cs="Times New Roman" w:eastAsia="Times New Roman" w:hAnsi="Times New Roman"/>
          <w:sz w:val="18"/>
          <w:szCs w:val="18"/>
          <w:color w:val="auto"/>
        </w:rPr>
        <w:t>For these and other reasons, it is difficult for us to accurately forecast future sales of RYTELO, operating expenses or future profits or losses. As a result, our operating results in future periods could be below our guidance or the expectations of securities analysts or investors, which could cause the trading price of our common stock to decline, perhaps significantly.</w:t>
      </w:r>
    </w:p>
    <w:p>
      <w:pPr>
        <w:spacing w:after="0" w:line="17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additional capital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spacing w:after="0" w:line="1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Successful drug development and commercialization requires significant amounts of capital. As of September 30, 2024, we had approximately $378.9 million in cash, cash equivalents, restricted cash and marketable securities. On a pro forma basis, including gross proceeds from the upfront payment under the Royalty Pharma Agreement and the Tranche A Loan, and after repayment of our existing debt under the Hercules Loan Agreement, we had approximately $542.4 million in cash, cash equivalents, restricted cash, and marketable securities as of September 30, 2024. Based on our current operating plans and assumptions, we believe that our existing cash, cash equivalents, and marketable securities (including the $250 million received under the Pharmakon Loan Agreement and the Royalty Pharma Agreement), together with anticipated revenues from U.S. sales of RYTELO, will be sufficient to fund our projected operating requirements for at least the next 12 months from the date of this filing. We believe that our projected financial resources will be sufficient to (i) support commercial launch of RYTELO in the U.S. and potential launch in the EU, (ii) complete the Phase 3 IMpactMF trial in relapsed/refractory MF, (iii) invest in supply chain redundancy for RYTELO, and (iv) fund our general working capital requirements. If we do not generate sufficient funds from commercial sales of RYTELO, or if we experience regulatory delays or other unforeseen events or choose to make other investments in our business,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If adequate funds are not available on a timely basis, if at all, our RYTELO commercialization efforts may be adversely affected and we may be unable to pursue further development of imetelstat, which would severely harm our business and we might cease operations.</w:t>
      </w:r>
    </w:p>
    <w:p>
      <w:pPr>
        <w:spacing w:after="0" w:line="196" w:lineRule="exact"/>
        <w:rPr>
          <w:sz w:val="20"/>
          <w:szCs w:val="20"/>
          <w:color w:val="auto"/>
        </w:rPr>
      </w:pPr>
    </w:p>
    <w:p>
      <w:pPr>
        <w:ind w:firstLine="554"/>
        <w:spacing w:after="0" w:line="254" w:lineRule="auto"/>
        <w:rPr>
          <w:sz w:val="20"/>
          <w:szCs w:val="20"/>
          <w:color w:val="auto"/>
        </w:rPr>
      </w:pPr>
      <w:r>
        <w:rPr>
          <w:rFonts w:ascii="Times New Roman" w:cs="Times New Roman" w:eastAsia="Times New Roman" w:hAnsi="Times New Roman"/>
          <w:sz w:val="18"/>
          <w:szCs w:val="18"/>
          <w:color w:val="auto"/>
        </w:rPr>
        <w:t>Despite FDA approval of RYTELO in June 2024, the outcome of any clinical activities and/or regulatory approval process is highly uncertain, and we cannot reasonably estimate whether our future development activities may succeed; whether we will obtain regulatory approval for RYTELO in the EU in lower-risk MDS, or in any other jurisdictions or indications we are pursuing or may in the future pursue, or whether we will be able to effectively commercialize RYTELO in the U.S. for lower-risk MDS or other potential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80"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underlying our estimates for our capital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and market acceptance of RYTELO;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58" w:name="page59"/>
    <w:bookmarkEnd w:id="58"/>
    <w:p>
      <w:pPr>
        <w:ind w:left="1020" w:right="4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magnitude and costs of non-clinical and clinical development, manufacturing and commercialization of imetelstat, including potential commercialization in the EU for lower-risk MDS, or in any other jurisdictions or other indication we may pursue, subject to clearances and approvals by the FDA and similar international regulatory authorities;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opening sites, screening and enrolling patients or treating and following patients, in our current or any potential future clinical trials of RYTELO;</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or other regulatory actions related to RYTELO, including with respect to our MAA submission for RYTELO in the EU for lower-risk MDS;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developing, commercializing and marketing RYTELO, including with respect to third-party vendors and service providers and our ability to achieve any meaningful reduction in manufacturing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third-party reimbursement for RYTELO;</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enter into and conduct successful arrangements with third parties, including for the commercialization and marketing of RYTELO in certain regions outside of the U.S., if approved for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selling, general and administrative expenses, including expenses associated with potential future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associated debt service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and operating facilities in California and New Jersey, as well as higher expenses for travel;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or other global conditions that may reduce our ability to access equity or debt capital or other financing on preferable terms, which may adversely affect future capital requirements and forecasts;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enabling our personnel to work remotely, including providing supplies, equipment and technology necessary for them to perform their responsibilities.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Until we can generate a sufficient amount of revenue from sales of RYTELO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our clinical trials, regulatory developments, or the other risks described in this section.</w:t>
      </w:r>
    </w:p>
    <w:p>
      <w:pPr>
        <w:spacing w:after="0" w:line="1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Additional financing through public or private debt or equity financings, including pursuant to the 2023 Sales Agreement with B. Riley Securities, Inc., the Tranche B Loan and the Tranche C Loan under the Pharmakon Loan Agreement, which are subject to certain funding conditions;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or establish alternative collaborative arrangements with third-party collaborative partners for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9" w:name="page60"/>
    <w:bookmarkEnd w:id="59"/>
    <w:p>
      <w:pPr>
        <w:ind w:right="60"/>
        <w:spacing w:after="0" w:line="282" w:lineRule="auto"/>
        <w:rPr>
          <w:sz w:val="20"/>
          <w:szCs w:val="20"/>
          <w:color w:val="auto"/>
        </w:rPr>
      </w:pPr>
      <w:r>
        <w:rPr>
          <w:rFonts w:ascii="Times New Roman" w:cs="Times New Roman" w:eastAsia="Times New Roman" w:hAnsi="Times New Roman"/>
          <w:sz w:val="18"/>
          <w:szCs w:val="18"/>
          <w:color w:val="auto"/>
        </w:rPr>
        <w:t>RYTELO when needed, the development and commercialization of RYTELO may be further delayed, altered or abandoned, which might cause us to cease operations.</w:t>
      </w:r>
    </w:p>
    <w:p>
      <w:pPr>
        <w:spacing w:after="0" w:line="16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Pharmakon Loan Agreement or potentially pursuant to new arrangements with different lenders. We may borrow funds on terms under agreements, such as the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LIABILITIES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November 1, 2024, we entered into the Pharmakon Loan Agreement. We drew the Tranche A Loan of $125.0 million on November 1, 2024 and as of November 1, 2024, the total outstanding principal amount under the Pharmakon Loan Agreement was $125.0 million. The tranches for the remaining $125.0 million available to us under the Pharmakon Loan Agreement are as follows: (a) a Tranche B Loan of $75.0 million, which is available until December 31, 2025 and is available at our option, subject to certain customary and limited conditions; and (b) the Tranche C Loan of $50.0 million, which is available through December 31, 2025, subject to certain conditions including achieving a certain revenue milestone on or prior to November 30, 2025. If we do not achieve such revenue milestone within the required timeline, we will not be eligible to draw funds under the Tranche C Loan under the Pharmakon Loan Agreement. In addition, before we would consider drawing down any of the remaining tranches under the Pharmakon Loan Agreement, if available, we must first satisfy ourselves that we will have access to future alternate sources of capital, such as from commercial revenues or the equity capital markets or debt capital markets, in order to repay any additional principal borrowed, which we may be unable to do, in which case, our liquidity and ability to fund our operations may be substantially impaired.</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All obligations under the Pharmakon Loan Agreement are secured by substantially all of our assets, including our intellectual property. Further, the terms of the Pharmakon Loan Agreement place restrictions on our operating and financial flexibility, and limit or prohibit our ability to dispose of certain assets, change our line of business, and engage in other significant transactions. This indebtedness may create additional financing risk for us, particularly if our business or prevailing financial market conditions are not conducive to paying off or refinancing the outstanding debt obligations at maturity. If we are able to draw down any of the remaining tranches under the Pharmakon Loan Agreement, our indebtedness will increase, which would further increase our risk of being unable to pay off or refinance our outstanding debt obligations at maturity.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indebtedness could also have important negative consequences, including:</w:t>
      </w:r>
    </w:p>
    <w:p>
      <w:pPr>
        <w:spacing w:after="0" w:line="117" w:lineRule="exact"/>
        <w:rPr>
          <w:sz w:val="20"/>
          <w:szCs w:val="20"/>
          <w:color w:val="auto"/>
        </w:rPr>
      </w:pPr>
    </w:p>
    <w:p>
      <w:pPr>
        <w:ind w:left="1020" w:right="4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cash available to finance our operations, our research and development efforts and other general corporate activities;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obligations of our affirmative and restrictive covenants in the Pharmakon Loan Agreement could result in an event of default that, if not cured or waived, would permit the Lenders to accelerate our obligation to repay this indebtedness, and the Lenders could seek to enforce their security interest in the assets securing such indebtedness.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borrow additional capital in the future to fund imetelstat development and our future growth, including pursuant to the Pharmakon Loan Agreement or potentially pursuant to new arrangements with different lenders. To the extent additional debt is added to our current debt levels, the risks described above could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Pharmakon Loan Agreement place restrictions on our operating and financial flexibility.</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Pharmakon Loan Agreement imposes operating and other restrictions on us. Such restrictions will affect, and in many respects limit or prohibit, our ability and the ability of any future subsidiaries to, among other things:</w:t>
      </w:r>
    </w:p>
    <w:p>
      <w:pPr>
        <w:spacing w:after="0" w:line="54"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0" w:name="page61"/>
    <w:bookmarkEnd w:id="60"/>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line of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make scheduled interest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Pharmakon Loan Agreement or to comply with certain covenants in the Pharmakon Loan Agreement could result in an event of default, the occurrence and continuance of which provide the Lenders with the right to demand immediate repayment of all outstanding obligations under the Pharmakon Loan Agreement (and in the case of certain insolvency, liquidation, bankruptcy or similar events, automatically requires immediate repayment of all outstanding obligations under the Pharmakon Loan Agreement), and to exercise remedies against us and the collateral securing the Pharmakon Loan Agreement. These events of default include, among other things:</w:t>
      </w:r>
    </w:p>
    <w:p>
      <w:pPr>
        <w:spacing w:after="0" w:line="75"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liquidation, bankruptcy or similar events;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covenants under the Pharmakon Loan Agreement and ancillary collateral documents, which failure, in certain limited cases, is not cured within 10 or 20 days;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change or a withdrawal event in respect to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misrepresentations;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cross-default of third-party indebtedness or certain default or termination events of hedging assessments;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money judgments being entered against us which are not timely paid, discharged or stayed;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are attached or seized.</w:t>
      </w:r>
    </w:p>
    <w:p>
      <w:pPr>
        <w:spacing w:after="0" w:line="225" w:lineRule="exact"/>
        <w:rPr>
          <w:sz w:val="20"/>
          <w:szCs w:val="20"/>
          <w:color w:val="auto"/>
        </w:rPr>
      </w:pPr>
    </w:p>
    <w:p>
      <w:pPr>
        <w:ind w:right="40" w:firstLine="554"/>
        <w:spacing w:after="0" w:line="256" w:lineRule="auto"/>
        <w:rPr>
          <w:sz w:val="20"/>
          <w:szCs w:val="20"/>
          <w:color w:val="auto"/>
        </w:rPr>
      </w:pPr>
      <w:r>
        <w:rPr>
          <w:rFonts w:ascii="Times New Roman" w:cs="Times New Roman" w:eastAsia="Times New Roman" w:hAnsi="Times New Roman"/>
          <w:sz w:val="18"/>
          <w:szCs w:val="18"/>
          <w:color w:val="auto"/>
        </w:rPr>
        <w:t>In the event of default, the Lenders could accelerate all of the amounts due under the Pharmakon Loan Agreement. Under such circumstances, we may not have enough available cash or be able to raise additional funds through equity or debt financings to repay such indebtedness at the time of such acceleration. In that case, we may be required to delay, limit, reduce or terminate our RYTELO development or commercialization efforts or grant to others rights to develop and market RYTELO. The Lenders could also exercise their rights to take possession and dispose of the collateral securing the Pharmakon Loan Agreement, which collateral includes substantially all of our property including, without limitation, our intellectual property, subject to certain exceptions. Our business, financial condition and results of operations could be materially adversely affected as a result of any of these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Royalty Pharma Agreement places restrictions on our operational flexibility.</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Royalty Pharma Agreement contains covenants that impose on us certain obligations with respect to revenue payments, diligence, reporting, indemnification and includes restriction on intellectual property transfers and out-licenses, and certain other actions. The Royalty Pharma Agreement also limits our ability to create or incur liens or dispose of certain assets related to imetelstat. We have no rights to repurchase the revenue interests in RYTELO sold to Royalty Pharma (other than in connection with a change of control event), thereby limiting our ability to eliminate future applicability of the covenants contained in the Royalty Pharma Agreement. Compliance with these covenants may limit our flexibility in operating our business and our ability to take actions that might otherwise be advantageous to us and our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PROTECTING OUR INTELLECTUAL PROPERTY</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RYTELO, both in the U.S. and in other countries, our competitors could develop and commercialize products similar or identical to RYTELO, and our ability to successfully commercialize RYTELO may be adversely affected.</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Protection of our proprietary technology is critically important to our business. Our success and the success of our commercialization and planned future development of RYTELO will depend on our ability to protect our technologies and RYTELO through patents and other intellectual property rights. Our success will depend in part on our ability to obtain, maintain, enforce, and extend our patents and maintain trade secrets, both in the U.S. and in other countries.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RYTELO or our technology and/or limit the duration of the patent protection for RYTELO and our technology. In the event that we are unsuccessful in obtaining, maintaining, enforcing and extending our patents and other intellectual property rights or having our licensors maintain the intellectual property rights we have licensed, the value of RYTELO and/or our technologies will be adversely affected, and we may not be able to further develop or commercialize RYTELO.</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While we have method-of-use patents that protect the use of RYTELO for the treatment of certain diseases, this type of patent does not prevent a generic competitor from making and marketing a product that is identical to RYTELO for an indication that is outside the scope of our approved use after our composition-of-matter patents or their patent term extensions, and any regulatory exclusivities have expired. Moreover, even if competitors do not actively promote their product for our approved indications, physicians may prescribe or use these generic products “off-label,” which would result in decreased sales for us.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addition to our patents covering RYTELO, we also expect to rely on regulatory exclusivity, including orphan drug exclusivity of up to 7 years in the U.S. and 10 years in the E.U. following approval, to protect our rights to commercialize RYTELO for its approved uses, but such regulatory exclusivity may be limited or withdrawn. See “Risks Related to Regulatory Approval of RYTELO -- </w:t>
      </w:r>
      <w:r>
        <w:rPr>
          <w:rFonts w:ascii="Times New Roman" w:cs="Times New Roman" w:eastAsia="Times New Roman" w:hAnsi="Times New Roman"/>
          <w:sz w:val="18"/>
          <w:szCs w:val="18"/>
          <w:i w:val="1"/>
          <w:iCs w:val="1"/>
          <w:color w:val="auto"/>
        </w:rPr>
        <w:t>Although orphan drug designation has been granted to RYTELO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Loss or impairment of our intellectual property rights related to RYTELO might further delay or halt ongoing or potential future clinical trials of RYTELO and any applications for regulatory approval, and might further delay or preclude any future development or commercialization of RYTELO by us. Furthermore, such loss of intellectual property rights could impair our ability to exclude others from commercializing products similar or identical to RYTELO and therefore result in decreased sales for us. Occurrence of any of these events would materially and adversely affect our financial results, business and business prospects, and might cause us to cease operations.</w:t>
      </w:r>
    </w:p>
    <w:p>
      <w:pPr>
        <w:spacing w:after="0" w:line="179"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The U.S. Patent and Trademark Office, or the Patent Office, and various governmental patent agencies in other countries require compliance with a number of procedural, documentary, fee payment, periodic maintenance fees, renewal 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the same or similar products to RYTELO, and this circumstance could harm our financial condition, business and business prospects. In addition, if we are responsible for patent prosecution and maintenance of patent rights in-licensed to us or jointly owned with us, any of the foregoing could expose us to liability to the applicable patent owner or patent co-owner.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RYTELO for an adequate amount of time.</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its first effective nonprovisional filing date. As a result, our intellectual property may not provide us with sufficient patent rights to exclude others from commercializing products similar or identical to RYTELO.</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the U.S., the Hatch-Waxman Act permits one patent per approved product to receive a patent term extension of up to five years beyond its normal expiration. The length of the patent term extension is typically calculated as one half of the clinical trial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62" w:name="page63"/>
    <w:bookmarkEnd w:id="62"/>
    <w:p>
      <w:pPr>
        <w:spacing w:after="0" w:line="254" w:lineRule="auto"/>
        <w:rPr>
          <w:sz w:val="20"/>
          <w:szCs w:val="20"/>
          <w:color w:val="auto"/>
        </w:rPr>
      </w:pPr>
      <w:r>
        <w:rPr>
          <w:rFonts w:ascii="Times New Roman" w:cs="Times New Roman" w:eastAsia="Times New Roman" w:hAnsi="Times New Roman"/>
          <w:sz w:val="18"/>
          <w:szCs w:val="18"/>
          <w:color w:val="auto"/>
        </w:rPr>
        <w:t>period plus the entire period of time during the review of the NDA by the FDA, minus any time of delay by us during these periods. There is also a limit on the patent term extension to a term that is no greater than fourteen years from drug approval. Only one U.S. patent may be eligible for patent term extension under the Hatch-Waxman Act. We have applied to the Patent Office for patent term extension of some of our patents. Once the Patent Office and the FDA determine the extension period for each proposed eligible patent, we will select the one patent to be extended. We expect to apply any patent term extension that is granted in the U.S. to our method of treatment patent for MDS and MF that expires on March 15, 2033. If such patent term extension is granted, we expect the term of the patent to extend through August 2037, although such timing is subject to approval by the Patent Office as part of its review of our application for patent term extension and could differ from our calculation. Currently, communication of patent term extension approval and the length of the granted extension period by the Patent Office may occur up to four years from filing of an application for patent term extension. Accordingly, we will decide on the specific patent to be extended only after such communication from the Patent Office.</w:t>
      </w:r>
    </w:p>
    <w:p>
      <w:pPr>
        <w:spacing w:after="0" w:line="1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 extensions are also available in certain countries and territories outside the U.S., such as in Japan, and in Europe as Supplementary Protection Certificates, or SPCs. However, we might not be granted a patent term extension at all because of failure to satisfy any of the numerous applicable requirements. Moreover, the applicable authorities, including the FDA and the Patent Office in the U.S., and any equivalent regulatory authorities and patent offices in other countries, may not agree with our assessment of whether such extensions are available, may refuse to grant extensions to our patents, or may grant more limited extensions than we request and could be less than five years. If we select and are granted a patent term extension on a recently filed and issued patent, we may not receive the full benefit of a possible patent term extension, if at all. Moreover, in some countries, including the U.S., the scope of protection for claims under such patent term extensions, if any, does not extend to the full scope of the claims but is limited to the product composition as approved and, for a method of treatment patent, is limited to the approved indications. If we do not have sufficient patent life and regulatory exclusivity to protect RYTELO, our financial results, business and business prospects would be materially and adversely affected, which might cause us to cease operations.</w:t>
      </w:r>
    </w:p>
    <w:p>
      <w:pPr>
        <w:spacing w:after="0" w:line="19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Europe and other countries, our composition of matter patent coverage expired in September 2024, and our method of treatment patent rights for MDS and MF expire in November 2033. Our method of treatment patents may be eligible for patent term extension of up to five years under a Supplementary Protection Certificate, or SPC, permitted under European Council (EC) Regulation No. 469/2009, or the European SPC Regulation, upon receipt of drug product approval, such as, for example, our method of treatment patent for MDS. In Europe, we have separate method of treatment patents covering MDS and MF, and a SPC may only be applied to one patent. Accordingly, in countries of the European Economic Area, or EEA, we must rely on regulatory exclusivity and our method of treatment patents.</w:t>
      </w:r>
    </w:p>
    <w:p>
      <w:pPr>
        <w:spacing w:after="0" w:line="187"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If regulatory approval of RYTELO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 If we do not have sufficient patent life and regulatory exclusivity to protect RYTELO, our financial results, business and business prospects would be materially and adversely affected, which might cause us to cease operations.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Also, there are regulations for the listing of patents in the Approved Drug Products with Therapeutic Equivalence Evaluations, or the Orange Book. Some of our patents have been listed in the Orange Book. Manufacturers of generic drugs may challenge the listing.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scope and enforceability of any patents listed in the Orange Book that cover RYTELO or its methods of use can be challenged by third parties and may not protect us from generic or innovator competition.</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If a third party files an application under Section 505(b)(2) of the Federal Food, Drug and Cosmetic Act or an abbreviated new drug application, or ANDA, under Section 505(j) to obtain permission to sell a generic version of RYTELO, and relies in whole or in part on studies conducted by or for us, the third-party will be required to certify to the FDA that either: (1) there is no patent information listed in the Orange Book with respect to our NDA for RYTELO;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that the new product will not infringe the Orange Book-listed patents for RYTELO, or that such patents are invalid, is called a 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of FDA approval.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3" w:name="page64"/>
    <w:bookmarkEnd w:id="63"/>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issued U.S. patents covering RYTELO or its methods of use may not provide adequate protection from competitive products if competitors receive approval of an ANDA application or are able to design around the patents. One or more competitors may circumvent these patents by filing a marketing application with the FDA for a competitive product containing the active moiety in RYTELO and successfully challenging the validity of the patents or successfully designing around the patents. Any successful challenge and/or designing around one or more of the patents could result in a generic version of RYTELO being commercialized before the expiration of the patents.</w:t>
      </w:r>
    </w:p>
    <w:p>
      <w:pPr>
        <w:spacing w:after="0" w:line="23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If the patents covering RYTELO or its methods of use are successfully challenged or designed around, or if we are unsuccessful in enforcing our patents against generics, we could face competition prior to the expiration of these patents, which could have a material adverse effect on our business, financial condition, results of operations and prospects.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rights, which could be expensive, time consuming and unsuccessful, and which could result in the invalidity or unenforceability of our patents covering RYTELO or its methods of use.</w:t>
      </w:r>
    </w:p>
    <w:p>
      <w:pPr>
        <w:spacing w:after="0" w:line="145"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or other intellectual property rights. To counter infringement or unauthorized use, we may be required to file and prosecute legal claims against one or more third parties, which can be expensive and time-consuming, even if ultimately successful.</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initiation of a claim against a third party by us may also cause the third-party to bring counter claims against us, such as claims asserting that our patents are invalid or unenforceable.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IPR or post-grant review, or oppositions or similar proceedings outside the U.S., in parallel with litigation or even outside the context of litigation.</w:t>
      </w:r>
    </w:p>
    <w:p>
      <w:pPr>
        <w:spacing w:after="0" w:line="24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of ours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lawsuits will ultimately be resolved successfully. Further, even if we prevail, the infringer may file an appeal and the court judgment may be overturned and/or that an adverse decision may be issued by an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Even if we establish infringement, we may not seek, or the court may decide not to grant, an injunction against further infringing activity and instead award only monetary damages, which may or may not be an adequate remedy.</w:t>
      </w:r>
    </w:p>
    <w:p>
      <w:pPr>
        <w:spacing w:after="0" w:line="188" w:lineRule="exact"/>
        <w:rPr>
          <w:sz w:val="20"/>
          <w:szCs w:val="20"/>
          <w:color w:val="auto"/>
        </w:rPr>
      </w:pPr>
    </w:p>
    <w:p>
      <w:pPr>
        <w:ind w:right="400" w:firstLine="749"/>
        <w:spacing w:after="0" w:line="289" w:lineRule="auto"/>
        <w:rPr>
          <w:sz w:val="20"/>
          <w:szCs w:val="20"/>
          <w:color w:val="auto"/>
        </w:rPr>
      </w:pPr>
      <w:r>
        <w:rPr>
          <w:rFonts w:ascii="Times New Roman" w:cs="Times New Roman" w:eastAsia="Times New Roman" w:hAnsi="Times New Roman"/>
          <w:sz w:val="17"/>
          <w:szCs w:val="17"/>
          <w:color w:val="auto"/>
        </w:rPr>
        <w:t>If a defendant were to prevail on a legal assertion of invalidity or unenforceability, we would lose at least part, and perhaps all, of any future patent protection for RYTELO, which could have a material adverse effect on our business, financial condition, results of operations and prospects. Additionally, any adverse outcome could allow third parties to commercialize RYTELO and compete directly with us, without payment to us.</w:t>
      </w:r>
    </w:p>
    <w:p>
      <w:pPr>
        <w:spacing w:after="0" w:line="15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Furthermore, if we are engaged in intellectual property litigation, there would be public announcements of filings, briefings, hearings, motions or other interim proceedings or developments. If securities analysts or investors perceive these events to be negative, it could have an adverse effect on the price of our common shares.</w:t>
      </w:r>
    </w:p>
    <w:p>
      <w:pPr>
        <w:spacing w:after="0" w:line="2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64" w:name="page65"/>
    <w:bookmarkEnd w:id="6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international patent law or interpretations of such patent laws could diminish the value of our patents in general, thereby impairing our ability to protect our technologies and RYTELO.</w:t>
      </w:r>
    </w:p>
    <w:p>
      <w:pPr>
        <w:spacing w:after="0" w:line="15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RYTELO, or enforce or defend issued patents, is uncertain.</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including the Leahy-Smith America Invents Act, or the AIA, signed into law on September 16, 2011. The U.S. Supreme Court has ruled on several patent cases in recent years, either narrowing the scope of patent protection available in certain circumstances or weakening the rights of patent owners in certain situations. Depending on actions by Congress, the federal courts, and the Patent Office,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RYTELO patent rights could severely and adversely affect our financial results, business and business prospects, which might cause us to cease operations.</w:t>
      </w:r>
    </w:p>
    <w:p>
      <w:pPr>
        <w:spacing w:after="0" w:line="1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RYTELO. As a result, if we are not the first inventor-to-file, we may not be able to obtain patents for discoveries that we otherwise would consider patentable and that we consider to be significant to the future success of RYTELO. Delay in the filing of a patent application for any purpose, including further development or refinement of an invention, may result in the risk of loss of patent rights.</w:t>
      </w:r>
    </w:p>
    <w:p>
      <w:pPr>
        <w:spacing w:after="0" w:line="19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certain EU states. As of June 1, 2023, all European patents, including those issued prior to ratification, by default automatically fall under the jurisdiction of the UPC and allow for the possibility of obtaining pan-European injunctions and are at risk of central revocation at the UPC in participating UPC states. Under the EU Patent Package, patent holders are permitted to “opt out” of the UPC on a patent-by-patent basis during an initial seven year transitional period after June 1, 2023. Owners of European patent applications who receive notice of grant after the EU Patent Package came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spacing w:after="0" w:line="19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for RYTELO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RYTELO and our technologies.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in the U.S or worldwide and challenges to our owned or licensed patent rights would result in costly and time-consuming legal proceedings that could prevent or limit development or commercialization of RYTELO.</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Patent Office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65" w:name="page66"/>
    <w:bookmarkEnd w:id="65"/>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inter partes review, or IPR, covered business method post-grant reviews and other post-grant reviews. This applies to all our U.S. patents and those we have licensed and may license from others, even those issued before March 16, 2013. A third party could attempt to use the Patent Office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 challenge the validity of certain patents. Significant impairment of our RYTELO patent rights could severely and adversely affect our financial results, business and business prospects, which might cause us to cease operations.</w:t>
      </w:r>
    </w:p>
    <w:p>
      <w:pPr>
        <w:spacing w:after="0" w:line="18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Certain jurisdictions, such as Europe, China, Japan, New Zealand and Australia, permit third parties to file oppositions or invalidation trials against granted patents or patents proposed to be granted. Because we seek to enable potential global commercialization of RYTELO, securing both proprietary protection and freedom to operate outside of the U.S. is important to our business.</w:t>
      </w:r>
    </w:p>
    <w:p>
      <w:pPr>
        <w:spacing w:after="0" w:line="176"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Third party proceedings such as oppositions and invalidation trials require significant time and costs, and if we are unsuccessful or are unable to commit these types of resources to protect our RYTELO patent rights, we could lose our patent rights and we could be prevented or limited in the development and commercialization of RYTELO.</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invalidation trials,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RYTELO, or could otherwise have a material adverse effect on our business, and might cause us to cease operations, by:</w:t>
      </w:r>
    </w:p>
    <w:p>
      <w:pPr>
        <w:spacing w:after="0" w:line="79"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lose patent rights in the relevant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litigation, or otherwise preventing us from commercializing RYTELO in the relevant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obtain licenses to the disputed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forcing us to cease using the disputed technology;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develop or obtain alternative technologies.</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 that are costly to defend, and such claims may limit our ability to use disputed technologies and prevent us from pursuing research, development, manufacturing or commercialization of RYTELO.</w:t>
      </w:r>
    </w:p>
    <w:p>
      <w:pPr>
        <w:spacing w:after="0" w:line="15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commercial success of RYTELO will depend upon our ability to research, develop, manufacture, market and sell RYTELO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RYTELO and its uses, we do not know with certainty that RYTELO, or the commercialization thereof, does not and will not infringe or otherwise violate any third party’s intellectual property. For example, we are aware that certain third parties have or may be prosecuting patents and patent estates that may relate to RYTELO, and while these patents have expired, or we believe that a reasonable court should find they are invalid and/or would not be infringed by the manufacture, use or sale of RYTELO, it is possible that the owner(s) of these patents will assert claims against us in the future.</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our technologies infringe the rights of others or require the use of discoveries and technologies controlled by third parties, we may be prevented from pursuing research, development, manufacturing or commercialization of RYTELO, or may be required to obtain unblocking licenses from such third parties, develop alternative non-infringing technologies, which we may not be able to do at an acceptable cost or on acceptable terms, or at all, or cease the commercialization and continued development of RYTELO. If we are unable to resolve an infringement claim successfully, we could be subject to an injunction that would prevent us from commercializing RYTELO and could also require us to pay substantial damages.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while our past collaboration agreements have terminated, we are still subject to indemnification obligations to certain collaborators, including with respect to claims of third-party patent infringement. In addition to infringement claims, in the future we may also be subject to other claims relating to intellectual property, such as claims that we have misappropriated the trade secrets of third parties. Our success therefore depends significantly on our ability to operate without infringing patents and the proprietary rights of others.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6" w:name="page67"/>
    <w:bookmarkEnd w:id="66"/>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become aware of discoveries and technologies controlled by third parties that are advantageous or necessary to further develop or manufacture RYTELO. Under such circumstances, we may initiate negotiations for licenses to other technologies as the need or opportunity arises. We may not be able to obtain a license to a technology required to pursue the research, development, manufacturing or commercialization of RYTELO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RYTELO and could increase the development and/or production costs of RYTELO. In cases where we are unable to license necessary technologies, we could be subject to litigation and prevented from pursuing research, development, manufacturing or commercialization of RYTELO, which would materially and adversely impact our business. Failure by us to obtain rights to alternative technologies or a license to any technology that may be required to pursue research, development, manufacturing or commercialization of RYTELO would further delay current and potential future clinical trials of RYTELO and any applications for regulatory approval, impair our ability to sell RYTELO, and therefore result in decreased sales of RYTELO for us. Occurrence of any of these events could materially and adversely affect our business and might cause us to cease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global trademark, RYTELO, for our product and failure to maintain such trademark could adversely affect our business.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 global trademark, RYTELO, which is the commercial trade name for imetelstat. During trademark registration proceedings, we may receive rejections or fail to maintain such registrations. Although we are given an opportunity to respond to those rejections, we may be unable to overcome such rejections. In addition, opposition or cancellation proceedings may be filed against our trademarks, and our trademarks may not survive such proceedings. If our United States trademark application which forms the basis for our international registration, or IR, for our commercial trade name is refused, withdrawn, or abandoned within the first 5 years of our IR, we will lose our IR registrations which could adversely affect our business. We may be unable to maintain or enforce our current and future trademarks or trademark applications, and if we fail to satisfy the applicable regulatory requirements, we may not have enforceable trademark rights or registrations in such jurisdictions. Our product trademark, RYTELO, is approved by the FDA and the EMA.</w:t>
      </w:r>
    </w:p>
    <w:p>
      <w:pPr>
        <w:spacing w:after="0" w:line="1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could have a material adverse effect on our business, and might cause us to cease operations.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technology, especially in circumstances in which we believe patent protection is not appropriate or available. We attempt to protect our proprietary technology in part by confidentiality agreements with our employees, consultants, collaborators and contractors. However, we cannot provide assurance that these agreements will not be breached, that we would have adequate remedies for any breach, or that our trade secrets will not otherwise become known or be independently discovered by competitors, any of which would harm our business significantly.</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May 2016, the Defend Trade Secrets Act of 2016, or the DTSA, was enacted, providing a federal cause of action for misappropriation of trade secrets. Under the DTSA, an employer may not collect enhanced damages or attorney fees from an 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MANAGING OUR GROWTH AND OTHER BUSINESS OPERATIONS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retain or recruit key personnel to support the commercialization and further development of RYTELO or to otherwise successfully manage our growth.</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7" w:name="page68"/>
    <w:bookmarkEnd w:id="67"/>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RYTELO in the U.S. for lower-risk MDS, and to continue to develop RYTELO in other myeloid hematologic malignancies depends to a significant extent on the skills, experience and efforts of our executive officers and key members of our staff. In addition, we need to recruit, maintain, motivate and integrate additional personnel with expertise and experience in sales, marketing, market access, commercial operations, pricing, clinical science, biostatistics, clinical operations, pharmacovigilance, quality, manufacturing, regulatory affairs, medical affairs, legal affairs, and compliance to enable us to further commercialize and further develop RYTELO.</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commercialization and further development of RYTELO,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commercialize and further develop RYTELO will be impaired, and our business and the price of our common stock would be adversely impacted.</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our personnel are currently performing their duties in multiple jurisdictions, and if we are unable or fail to comply with employment, tax, benefits and other laws in such jurisdictions, we may face penalties, fines or litigation.</w:t>
      </w:r>
    </w:p>
    <w:p>
      <w:pPr>
        <w:spacing w:after="0" w:line="162"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Our future financial performance and our ability to develop, manufacture and commercialize RYTELO depends,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w:t>
      </w:r>
    </w:p>
    <w:p>
      <w:pPr>
        <w:spacing w:after="0" w:line="16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to establish potential future collaborative arrangements for RYTELO, we may be unable to establish such collaborative arrangements on acceptable terms, or at all, and may have to delay, alter or abandon commercialization or further development of RYTELO.</w:t>
      </w:r>
    </w:p>
    <w:p>
      <w:pPr>
        <w:spacing w:after="0" w:line="159"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We intend to develop RYTELO broadly for hematologic malignancies, and to commercialize, market and sell RYTELO in the U.S. for lower-risk MDS and potentially in the EU for the same indication. We may seek to self-commercialize or seek a collaborative partner or partners, at an appropriate time, to assist us in the potential development and commercialization of RYTELO outside the U.S., and to provide funding for such activities. We face significant competition in seeking appropriate collaborative partners, and these potential collaborative arrangements are complex and time consuming to negotiate, document and implement. Our ability to seek and establish potential collaborative arrangements may be impacted by delays in marketing approvals of RYTELO in lower-risk MDS in the EU and in reporting results from IMpactMF, as well as the period of the patent term for our intellectual property portfolio and market exclusivity for RYTELO. We may not be able to establish collaborative arrangements on acceptable terms, or at all. In this regard, collaborative arrangements with third parties may require us to relinquish material rights, including revenue from commercialization, or assume material ongoing development obligations that we would have to fund or otherwise support.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If we are unable to negotiate collaborative arrangements, we may have to:</w:t>
      </w:r>
    </w:p>
    <w:p>
      <w:pPr>
        <w:spacing w:after="0" w:line="117"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the additional development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abandon the commercialization of RYTELO outside of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scope of potential future sales or marketing activities; or</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expenditures and undertake development or commercialization activities at our own expense, which will require additional capital than our current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established subsidiaries in the United Kingdom and the Netherlands, which exposes us to additional costs and risks.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wholly-owned subsidiaries we have established in the U.K. and the Netherlands subject us to certain additional costs and risks associated with doing business outside the U.S., including:</w:t>
      </w:r>
    </w:p>
    <w:p>
      <w:pPr>
        <w:spacing w:after="0" w:line="270"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complexity and costs inherent in managing international operations in geographically disparate locations;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costs of complying with diverse regulatory, financial and legal requirements, which are subject to change at any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changes in applicable tax laws and regulations;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costly trade laws, tariffs, export quotas, custom duties or other trade restrictions, and any changes to them;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employees in diverse geographies, including the need to adapt systems, policies, benefits and compliance programs to differing labor and other regulations;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terrorism and civil and political unrest, outbreak of health epidemics, and the resulting global economic and social impacts;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25" w:lineRule="exact"/>
        <w:rPr>
          <w:sz w:val="20"/>
          <w:szCs w:val="20"/>
          <w:color w:val="auto"/>
        </w:rPr>
      </w:pPr>
    </w:p>
    <w:p>
      <w:pPr>
        <w:ind w:right="60" w:firstLine="554"/>
        <w:spacing w:after="0" w:line="261" w:lineRule="auto"/>
        <w:rPr>
          <w:sz w:val="20"/>
          <w:szCs w:val="20"/>
          <w:color w:val="auto"/>
        </w:rPr>
      </w:pPr>
      <w:r>
        <w:rPr>
          <w:rFonts w:ascii="Times New Roman" w:cs="Times New Roman" w:eastAsia="Times New Roman" w:hAnsi="Times New Roman"/>
          <w:sz w:val="18"/>
          <w:szCs w:val="18"/>
          <w:color w:val="auto"/>
        </w:rPr>
        <w:t>In addition, our international operations in the U.K. and the Netherlands expose us to fluctuations in currency exchange rates between the British pound, the Euro and the U.S. dollar. Given the volatility of currency exchange rates, there is no assurance that we will be able to effectively manage currency transaction and/or conversion risks. To date, we have not entered into derivative instruments to offset the impact of foreign exchange fluctuations, which fluctuations could have an adverse effect on our financial condition and results of operations.</w:t>
      </w:r>
    </w:p>
    <w:p>
      <w:pPr>
        <w:spacing w:after="0" w:line="176"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sufficient insurance on commercially reasonable terms or with adequate coverage against potential liabilities in order to protect ourselves against claims such as product liability or personal injury claims arising from our commercialization of RYTELO, claims related to clinical trial conduct, or claims related to data protection.</w:t>
      </w:r>
    </w:p>
    <w:p>
      <w:pPr>
        <w:spacing w:after="0" w:line="175"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business exposes us to potential product liability and other risks that are inherent in the testing, manufacturing and marketing of human therapeutic products. We may become subject to product liability or personal injury claims related to the commercialization of RYTELO, or claims related to clinical trial conduct, including if the use of RYTELO is alleged to have injured patients, such as injuries alleged to arise from any hepatotoxicity or hemorrhagic event associated with the use of RYTELO. We currently have product liability and clinical trial liability insurance that we believe is adequate, but we may experience losses in excess of our coverage or that are not covered by our insurance, and we may not be able to maintain this type of insurance for the commercialization of RYTELO, or any of our current or potential future clinical trials of RYTELO. In addition, this type of insurance may become too expensive for us to afford because of the highly risky and uncertain nature of commercialization of RYTELO,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limit or cease our commercialization and further development of RYTELO.</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the past, we and certain of our officers have been named as defendants in securities class action lawsuits and shareholder derivative lawsuits. Potential similar or related lawsuits that may be filed in the future, could result in substantial damages, divert management’s time and attention from our business, and have a material adverse effect on our results of operations. Any such lawsuits, or other lawsuits to which we are subject, will be costly to defend or pursue and are uncertain in their outcome.</w:t>
      </w:r>
    </w:p>
    <w:p>
      <w:pPr>
        <w:spacing w:after="0" w:line="180"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We are not currently a party to any material pending legal proceedings. However, securities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In 2020, three securities class action lawsuits were filed against us and certain of our officers. One of the lawsuits was voluntarily dismissed, and final judgment with respect to the other two lawsuits was entered in October 2023. In 2020 and 2021, seven shareholder derivative actions were filed in a number of courts, naming as defendants certain of our then current officers and certain of our then current and former members of our board. All seven of the shareholder derivative actions have been dismissed with prejudice.</w:t>
      </w:r>
    </w:p>
    <w:p>
      <w:pPr>
        <w:spacing w:after="0" w:line="18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While we have settled these lawsuits, it is possible that additional lawsuits might be filed, or allegations might be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We could be forced to expend significant resources in the defense of any additional lawsuits, and we may not prevail.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9" w:name="page70"/>
    <w:bookmarkEnd w:id="69"/>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decision adverse to our interests in any legal proceedings, could result in the payment of substantial damages, or possibly fines, and could have a material adverse effect on our business, our stock price, cash flow,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third-party litigation, and such litigation would be costly to defend or pursue and uncertain in its outcome.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business may bring us into conflict with our licensees, licensors, or others with whom we have contractual or other business relationships, or with our competitors or others whose interests differ from ours. Our commercial launch of RYTELO may result in product or personal injury disputes, or other disputes with health care providers, patients or other third parties as a result of our commercialization efforts. We may experience employment-related disputes. We may become involved in performance or other disputes with the CROs we have retained to support our clinical development activities, or with other third parties such as service providers, vendors, manufacturers, suppliers or consultants. If we are unable to resolve those conflicts on terms that are satisfactory to all parties, we may become involved in litigation brought by or against us.</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0" w:name="page71"/>
    <w:bookmarkEnd w:id="70"/>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SYSTEMS, DATA SECURITY AND DATA PRIVACY</w:t>
      </w:r>
    </w:p>
    <w:p>
      <w:pPr>
        <w:spacing w:after="0" w:line="22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upon which we rely) collect, receive, store,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or monitor third parties’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to our information technology systems and data, as employees utilize network connections, computers, and devices outside our premises and networks, including working at home and while in transit and in public locations. Additionally, the prevalent use of mobile devices that access our sensitive information increases the risk of security incidents.</w:t>
      </w:r>
    </w:p>
    <w:p>
      <w:pPr>
        <w:spacing w:after="0" w:line="19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Our information technology systems, including in our remote work environment, and those of the third parties upon which we rely, have been in the past and may continue to be vulnerable to evolving threats. These threats are prevalent, continue to increase, and come from a variety of sources such as traditional “hackers,” threat actors, “hacktivist,” organized criminal threats actors, or internal bad actors, personnel (such as through theft, error or misuse), sophisticated nation states and nation-state-supported actors. These threats include, but are not limited to, social-engineering attacks, targeted phishing campaigns,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data and income, reputational harm, and diversion of funds. 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or the third-party information technology systems that support us and the services provided to us. For example, in February 2024, a service provider that processes clinical trial data experienced a security incident that resulted in certain of the service provider’s information systems being unavailable for a limited period of time. Based on the service provider’s forensic investigation findings that were shared with us, we believe that this incident did not have a material impact on us, our clinical trials or clinical trial participants. As another example, in March 2024, we learned about another security incident, involving another service provider, that processes personnel data for our limited number of UK personnel and directors of Geron UK Ltd. Following the service provider’s forensic investigation, the service provider informed us that it did not determine the specific data involved or the incident’s impact. While we believe that this incident did not have a material impact on us, out of an abundance of caution, we submitted a notification to the UK Information Commissioner’s Office and notified potentially affected personnel and directors of the incident. Any of these or similar incidents or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security incidents could be significant, including potentially requiring us to modify our business, and while we have implemented security measures, policies and procedures designed to protect our information technology systems and to identify and remediate vulnerabilities, such measures may not be fully implemented, complied with or successful in protecting our systems and information. We may expend significant resources or modify our business activities (including our clinical trial activities) to try to protect against security incidents. We may be unable in the future to detect vulnerabilities in our information technology systems because such threats and techniques change frequently, are sophisticated in nature, and may not be detected until after a security incident has occurred. We may also experience security breaches that may remain undetected for an extended period. Even if identified, we may be unable to adequately investigate or remediate incidents or breaches due to attackers increasingly using</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ind w:right="120"/>
        <w:spacing w:after="0" w:line="261" w:lineRule="auto"/>
        <w:rPr>
          <w:sz w:val="20"/>
          <w:szCs w:val="20"/>
          <w:color w:val="auto"/>
        </w:rPr>
      </w:pPr>
      <w:r>
        <w:rPr>
          <w:rFonts w:ascii="Times New Roman" w:cs="Times New Roman" w:eastAsia="Times New Roman" w:hAnsi="Times New Roman"/>
          <w:sz w:val="18"/>
          <w:szCs w:val="18"/>
          <w:color w:val="auto"/>
        </w:rPr>
        <w:t>tools and techniques that are designed to circumvent controls, to avoid detection, and to remove or obfuscate forensic evidence. Unremediated high risk or critical vulnerabilities pose material risks to our business, particularly due to the reliance on software vendors to adequately patch and implement fixes to address critical or high-risk vulnerabilities in a timely manner. Further, we may be materially impacted by software updates applied by our software vendors if such updates cause significant downtime to our systems.</w:t>
      </w:r>
    </w:p>
    <w:p>
      <w:pPr>
        <w:spacing w:after="0" w:line="1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If we or third parties upon which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 of our commercialization and development efforts,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 notification of the breach. Such disclosures are costly, and the disclosure or the failure to comply with such requirements could lead to adverse consequences.</w:t>
      </w:r>
    </w:p>
    <w:p>
      <w:pPr>
        <w:spacing w:after="0" w:line="18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implement or upgrade our enterprise resource planning and other information systems, our business and results of operation could be adversely impacted.</w:t>
      </w:r>
    </w:p>
    <w:p>
      <w:pPr>
        <w:spacing w:after="0" w:line="132"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We periodically implement or upgrade new or enhanced enterprise resource planning, or ERP, and other business systems in order to better manage our business operations. Implementation or upgrade of new business processes and information systems requires the commitment of significant personnel, training and financial resources, and entails risks to our business operations. If we do not successfully implement ERP and other information systems improvements, or if there are delays or difficulties in implementing these systems, we may not realize anticipated productivity improvements or cost efficiencies, and we may experience operational difficulties and challenges in effectively managing our business, all of which could result in quality issues, reputational harm, lost market and revenue opportunities, and otherwise adversely affect our business, financial condition and results of operations.</w:t>
      </w:r>
    </w:p>
    <w:p>
      <w:pPr>
        <w:spacing w:after="0" w:line="160"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For example, we are currently in the process of implementing new ERP and other information systems to help us manage our operations and financial reporting. This project has required and may continue to require investment of capital and human resources, the re-engineering of processes of our business, and the attention of many employees who would otherwise be focused on other aspects of our business. Costs and risks inherent in this transition may include disruptions to business continuity, administrative and technical problems, interruptions or delays in sales, expenditure overruns, delays in paying our suppliers and employees, and data migration issues. If we do not properly address or mitigate these issues, this could result in increased costs and diversion of resources, negatively impacting our operating results and ability to effectively manage our business. Additionally, if we do not effectively implement the ERP system as planned, or the ERP system does not operate as intended, the effectiveness of our internal control over financial reporting could be negatively affected.</w:t>
      </w:r>
    </w:p>
    <w:p>
      <w:pPr>
        <w:spacing w:after="0" w:line="18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U.S. and foreign laws, regulations, rules, contractual obligations, industry standards,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spacing w:after="0" w:line="180"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among jurisdictions or conflict.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2" w:name="page73"/>
    <w:bookmarkEnd w:id="72"/>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apply to data privacy and security. For example, the EU’s General Data Protection Regulation (GDPR) (EU) 2016/679, or the EU GDPR, imposes strict requirements on the processing of personal data. Under the EU GDPR, government regulators may impose temporary or definitive bans on data processing, as well as fines in the event of violations.</w:t>
      </w:r>
    </w:p>
    <w:p>
      <w:pPr>
        <w:spacing w:after="0" w:line="176"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the EEA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EEA regulators have prevented companies from transferring personal data out of the EEA for allegedly violating the EU GDPR’s cross-border data transfer limitations.</w:t>
      </w:r>
    </w:p>
    <w:p>
      <w:pPr>
        <w:spacing w:after="0" w:line="1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Likewise, we expect that there will continue to be new proposed laws, regulations and industry standards relating to data privacy and security in the U.S. For example, HIPAA, as amended by HITECH, imposes specific 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information of business representatives and employees. Other states have also enacted data privacy and security laws. For example, Virginia passed the 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spacing w:after="0" w:line="19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7"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in the future, we may fail or be perceived to have failed to comply with applicable data privacy and security obligations. Moreover, despite our best compliance efforts, we may not be successful in achieving compliance if our personnel or third parties whom we rely on fail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interruptions or stoppages in our business operations including, as relevant, clinical trials; inability to process personal data or to operate in certain jurisdictions; limited ability to continue to develop or commercialize RYTELO; expenditure of time and resources to defend any claim or inquiry; adverse publicity; or revision or restructuring of our operations. Moreover, clinical trial participants or research subjects about whom we or our vendors obtain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information, as well as the providers who share this information with us, may contractually limit our ability to use and disclose the information.</w:t>
      </w:r>
    </w:p>
    <w:p>
      <w:pPr>
        <w:spacing w:after="0" w:line="22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extremely volatile and your investment may suffer a decline in value.</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Historically, our stock price has been extremely volatile. Between October 1, 2014 and September 30, 2024, our stock has traded as high as $6.38 per share and as low as $0.89 per share. Between October 1, 2023 and September 30, 2024, the price has ranged between a high of $5.34 per share and a low of $1.64 per share. The significant market price fluctuations of our common stock have been due to and may in the future be influenced by a variety of factors, including:</w:t>
      </w:r>
    </w:p>
    <w:p>
      <w:pPr>
        <w:spacing w:after="0" w:line="72"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RYTELO sales in the U.S.;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regulatory approval or non-approval of RYTELO in any other jurisdictions or indications, or specific label indications for RYTELO; or restrictions, warnings or limitations in its use;</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further research and development of RYTELO, or adverse efficacy or safety results of, further delays in the commencement, enrollment or conduct of, discontinuation of, or further modifications or refinements to any current or potential future clinical trials, for any reason, or our inability, for any reason, to successfully continue the development of RYTELO;</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when needed to further advance our development program;</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RYTELO, including laws or regulations concerning the commercialization of RTYELO or clinical trial requirements for approval or other regulatory developments related to RYTELO;</w:t>
      </w:r>
    </w:p>
    <w:p>
      <w:pPr>
        <w:spacing w:after="0" w:line="53"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commercial products, or clinical progress or lack thereof by us, potential future collaborative partners or our competitors;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including our inability to obtain adequate product supply for RYTELO or inability to do so at acceptable prices;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market opportunity for RYTELO in its currently approved and any potential future approved indications;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RYTELO proprietary rights, including patents, litigation matters and our ability to obtain, enforce and defend patent protection for our technologies;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 agreements for the further development and commercialization of RYTELO that we may establish;</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collaborations, joint ventures or capital commitments by us or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in the market for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continuing operating losses;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market conditions or market conditions relating to the biopharmaceutical and pharmaceutical industries, especially given the volatility caused by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biotechnology and pharmaceutical industry by the public, legislature, regulators and the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commentary, articles or research reports about us or our industry, or positive or negative recommendations or withdrawal of research coverage, by securities analysts, bloggers, news media or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stockholders increasing or exiting their position in our common stock or an increase in the short interest in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stock by our officers and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or developments concerning any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instituted by activist shareholders or others;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74" w:name="page75"/>
    <w:bookmarkEnd w:id="74"/>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to partners, vendors or investors to raise additional capital or as a result of option or warrant exercises;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that are beyond our control;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risks and uncertainties discussed under the heading “Risk Factors.”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w:t>
      </w:r>
    </w:p>
    <w:p>
      <w:pPr>
        <w:spacing w:after="0" w:line="17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Provisions of our charter documents and bylaws may make it substantially more difficult for a third party to acquire control of us and may prevent changes in our management, including provisions that:</w:t>
      </w:r>
    </w:p>
    <w:p>
      <w:pPr>
        <w:spacing w:after="0" w:line="54"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taking actions by written consent;</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the board of directors into separate classes with terms of office that are structured to prevent all of the directors from being elected in any one year;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procedures for nominating directors and submitting proposals for consideration at stockholders’ meetings.</w:t>
      </w:r>
    </w:p>
    <w:p>
      <w:pPr>
        <w:spacing w:after="0" w:line="225" w:lineRule="exact"/>
        <w:rPr>
          <w:sz w:val="20"/>
          <w:szCs w:val="20"/>
          <w:color w:val="auto"/>
        </w:rPr>
      </w:pPr>
    </w:p>
    <w:p>
      <w:pPr>
        <w:ind w:right="100" w:firstLine="554"/>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w:t>
      </w:r>
    </w:p>
    <w:p>
      <w:pPr>
        <w:spacing w:after="0" w:line="180"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spacing w:after="0" w:line="179"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spacing w:after="0" w:line="17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w:t>
      </w:r>
    </w:p>
    <w:p>
      <w:pPr>
        <w:spacing w:after="0" w:line="288"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for breach of a fiduciary duty owed by any of our current or former directors, officers or other employees, or our stockholders, to us or to our stockholders;</w:t>
      </w:r>
    </w:p>
    <w:p>
      <w:pPr>
        <w:spacing w:after="0" w:line="53" w:lineRule="exact"/>
        <w:rPr>
          <w:rFonts w:ascii="Times New Roman" w:cs="Times New Roman" w:eastAsia="Times New Roman" w:hAnsi="Times New Roman"/>
          <w:sz w:val="18"/>
          <w:szCs w:val="18"/>
          <w:color w:val="auto"/>
        </w:rPr>
      </w:pPr>
    </w:p>
    <w:p>
      <w:pPr>
        <w:ind w:left="1020" w:right="380" w:hanging="503"/>
        <w:spacing w:after="0" w:line="312" w:lineRule="auto"/>
        <w:tabs>
          <w:tab w:leader="none" w:pos="10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bylaws;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General Corporation Law of the State of Delaware confers jurisdiction on the Court of Chancery of the State of Delaware; or</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or our stockholders, governed by the internal affairs doctrine or otherwise related to our internal affairs.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5" w:name="page76"/>
    <w:bookmarkEnd w:id="75"/>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7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common stock in the foreseeable future.</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Pharmakon Loan Agreement prevent us from paying dividends and any future debt agreements may continue to preclude us from paying dividends. As a result, capital appreciation, if any, of our common stock will be the sole source of gain for our stockholders for the foreseeable future.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clinical trial sites, contract research organizations, consultants or vendors may engage in misconduct or other improper activities, including noncompliance with regulatory standards and requirements.</w:t>
      </w:r>
    </w:p>
    <w:p>
      <w:pPr>
        <w:spacing w:after="0" w:line="15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p>
    <w:p>
      <w:pPr>
        <w:spacing w:after="0" w:line="19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w:t>
      </w:r>
    </w:p>
    <w:p>
      <w:pPr>
        <w:spacing w:after="0" w:line="81"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civil, criminal and administrative penalties, damages and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participation in Medicare, Medicaid and other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damages;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6" w:name="page77"/>
    <w:bookmarkEnd w:id="76"/>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potential profits and future earnings;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our operations.</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in accordance with Section 404 of the Sarbanes-Oxley Act of 2002 could have a material adverse effect on our business and stock price.</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requirements of Section 404 are ongoing and also apply to future years. We expect that our internal control over financial reporting will continue to evolve as our business develops, including in connection with our commercialization of RYTELO. Although we are committed to continue to improve our internal control processes and we will continue to diligently and vigorously review our internal control over financial reporting in order to ensure compliance with Section 404 requirements, any control system, regardless of how well designed, operated and evaluated, can provide only reasonable, not absolute, assurance that its objectives will be met. Moreover, we are currently in the process of implementing new ERP and other information systems to help us manage our operations and financial reporting. However, there is an increased risk that changing controls may be ineffective during the implementation and this ERP system may place additional burdens on employees to learn and adapt our processes to effectively operate under the ERP system. If the ERP system does not operate as intended, the effectiveness of our internal control over financial reporting could be negatively impacted. Therefore, we cannot assure you that material weaknesses or significant deficiencies will not exist or otherwise be discovered in the future, particularly in light of our increased reliance on personnel working remotely. If material weaknesses or other significant deficiencies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Future guidance from the U.S. Internal Revenue Service and other tax authorities with respect to such legislation may adversely affect us, and certain aspects of such legislation could be repealed or modified in the future, which could have an adverse effect on us. For example, the Inflation Reduction Act of 2022 included provisions that impacted the U.S. federal income taxation of corporations, including imposing a minimum tax on the book income of certain large corporations and an excise tax on certain corporate stock repurchases that is imposed on the corporation repurchasing such stock.</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Changes in corporate tax rates, the realization of net deferred tax assets relating to our U.S. operations, the taxation of earnings from other countries, and the deductibility of expenses or future tax reform legislation could have a material impact on the value of our deferred tax assets, could result in significant one-time charges in the current or future taxable years, and could increase our future U.S. tax expense. For example, under the Tax Cuts and Jobs Act of 2017, effective January 1, 2022, research and experimental expenses must be capitalized for tax purposes and amortized over five years for research activities conducted in the United States and over fifteen years for research activities conducted outside the United States, instead of being deducted in the year incurred. Unless this provision is modified or repealed by Congress, or the U.S. Department of the Treasury issues regulations narrowing its application, our future tax obligations could be increased, which could harm our operating results. The impact of this provision will depend on multiple factors, including the amount of research and experimental expenses we incur, whether we achieve sufficient income to fully utilize such deductions and whether we conduct our research and experimental activities inside or outside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jc w:val="both"/>
        <w:ind w:right="240" w:firstLine="509"/>
        <w:spacing w:after="0" w:line="272" w:lineRule="auto"/>
        <w:rPr>
          <w:sz w:val="20"/>
          <w:szCs w:val="20"/>
          <w:color w:val="auto"/>
        </w:rPr>
      </w:pPr>
      <w:r>
        <w:rPr>
          <w:rFonts w:ascii="Times New Roman" w:cs="Times New Roman" w:eastAsia="Times New Roman" w:hAnsi="Times New Roman"/>
          <w:sz w:val="17"/>
          <w:szCs w:val="17"/>
          <w:color w:val="auto"/>
        </w:rPr>
        <w:t>Our net operating loss carryforwards attributable to tax years beginning before January 1, 2018 could expire unused and be unavailable to offset future income tax liabilities. In addition, under current U.S. federal income tax law, federal net operating losses incurred in taxable years beginning after December 31, 2017, can be carried forward indefinitely, but the deductibility of such federal net operating losses is limited to 80% of taxable income.</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77" w:name="page78"/>
    <w:bookmarkEnd w:id="77"/>
    <w:p>
      <w:pPr>
        <w:spacing w:after="0" w:line="256" w:lineRule="auto"/>
        <w:rPr>
          <w:sz w:val="20"/>
          <w:szCs w:val="20"/>
          <w:color w:val="auto"/>
        </w:rPr>
      </w:pPr>
      <w:r>
        <w:rPr>
          <w:rFonts w:ascii="Times New Roman" w:cs="Times New Roman" w:eastAsia="Times New Roman" w:hAnsi="Times New Roman"/>
          <w:sz w:val="18"/>
          <w:szCs w:val="18"/>
          <w:color w:val="auto"/>
        </w:rPr>
        <w:t>offset its post-change taxable income or taxes may be limited. Changes in our stock ownership, some of which are outside of our control, may have resulted in, or other future changes could result in, an ownership change.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It is also uncertain if and to what extent various states will conform to current U.S. federal income tax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78" w:name="page79"/>
    <w:bookmarkEnd w:id="78"/>
    <w:p>
      <w:pPr>
        <w:spacing w:after="0" w:line="41"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Trading Arrangements</w:t>
      </w:r>
    </w:p>
    <w:p>
      <w:pPr>
        <w:spacing w:after="0" w:line="22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our directors and officers (as defined in Rule 16a-1(f) under the Exchange Act) adopted or terminated the contracts, instructions or written plans for the purchase or sale of our securities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Character of Trading</w:t>
            </w:r>
          </w:p>
        </w:tc>
        <w:tc>
          <w:tcPr>
            <w:tcW w:w="15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5"/>
        </w:trPr>
        <w:tc>
          <w:tcPr>
            <w:tcW w:w="2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5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194"/>
        </w:trPr>
        <w:tc>
          <w:tcPr>
            <w:tcW w:w="2740" w:type="dxa"/>
            <w:vAlign w:val="bottom"/>
          </w:tcPr>
          <w:p>
            <w:pPr>
              <w:ind w:left="740"/>
              <w:spacing w:after="0" w:line="194" w:lineRule="exact"/>
              <w:rPr>
                <w:sz w:val="20"/>
                <w:szCs w:val="20"/>
                <w:color w:val="auto"/>
              </w:rPr>
            </w:pPr>
            <w:r>
              <w:rPr>
                <w:rFonts w:ascii="Times New Roman" w:cs="Times New Roman" w:eastAsia="Times New Roman" w:hAnsi="Times New Roman"/>
                <w:sz w:val="18"/>
                <w:szCs w:val="18"/>
                <w:b w:val="1"/>
                <w:bCs w:val="1"/>
                <w:color w:val="auto"/>
              </w:rPr>
              <w:t>Name and Title</w:t>
            </w:r>
          </w:p>
        </w:tc>
        <w:tc>
          <w:tcPr>
            <w:tcW w:w="1140" w:type="dxa"/>
            <w:vAlign w:val="bottom"/>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Action</w:t>
            </w:r>
          </w:p>
        </w:tc>
        <w:tc>
          <w:tcPr>
            <w:tcW w:w="16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4140" w:type="dxa"/>
            <w:vAlign w:val="bottom"/>
            <w:gridSpan w:val="2"/>
          </w:tcPr>
          <w:p>
            <w:pPr>
              <w:ind w:left="300"/>
              <w:spacing w:after="0" w:line="194" w:lineRule="exact"/>
              <w:rPr>
                <w:sz w:val="20"/>
                <w:szCs w:val="20"/>
                <w:color w:val="auto"/>
              </w:rPr>
            </w:pPr>
            <w:r>
              <w:rPr>
                <w:rFonts w:ascii="Times New Roman" w:cs="Times New Roman" w:eastAsia="Times New Roman" w:hAnsi="Times New Roman"/>
                <w:sz w:val="18"/>
                <w:szCs w:val="18"/>
                <w:b w:val="1"/>
                <w:bCs w:val="1"/>
                <w:color w:val="auto"/>
              </w:rPr>
              <w:t>Rule 10b5-1*  Non-Rule 10b5- Total Shares to be</w:t>
            </w:r>
          </w:p>
        </w:tc>
        <w:tc>
          <w:tcPr>
            <w:tcW w:w="15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45"/>
        </w:trPr>
        <w:tc>
          <w:tcPr>
            <w:tcW w:w="2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1**</w:t>
            </w:r>
          </w:p>
        </w:tc>
        <w:tc>
          <w:tcPr>
            <w:tcW w:w="15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Sold</w:t>
            </w:r>
          </w:p>
        </w:tc>
        <w:tc>
          <w:tcPr>
            <w:tcW w:w="1580" w:type="dxa"/>
            <w:vAlign w:val="bottom"/>
            <w:tcBorders>
              <w:bottom w:val="single" w:sz="8" w:color="auto"/>
            </w:tcBorders>
          </w:tcPr>
          <w:p>
            <w:pPr>
              <w:spacing w:after="0"/>
              <w:rPr>
                <w:sz w:val="21"/>
                <w:szCs w:val="21"/>
                <w:color w:val="auto"/>
              </w:rPr>
            </w:pPr>
          </w:p>
        </w:tc>
      </w:tr>
      <w:tr>
        <w:trPr>
          <w:trHeight w:val="198"/>
        </w:trPr>
        <w:tc>
          <w:tcPr>
            <w:tcW w:w="27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Faye M. Feller, M.D.,</w:t>
            </w:r>
          </w:p>
        </w:tc>
        <w:tc>
          <w:tcPr>
            <w:tcW w:w="114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12, 2024</w:t>
            </w:r>
          </w:p>
        </w:tc>
        <w:tc>
          <w:tcPr>
            <w:tcW w:w="262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520" w:type="dxa"/>
            <w:vAlign w:val="bottom"/>
          </w:tcPr>
          <w:p>
            <w:pPr>
              <w:jc w:val="center"/>
              <w:spacing w:after="0" w:line="198" w:lineRule="exact"/>
              <w:rPr>
                <w:sz w:val="20"/>
                <w:szCs w:val="20"/>
                <w:color w:val="auto"/>
              </w:rPr>
            </w:pPr>
            <w:r>
              <w:rPr>
                <w:rFonts w:ascii="Times New Roman" w:cs="Times New Roman" w:eastAsia="Times New Roman" w:hAnsi="Times New Roman"/>
                <w:sz w:val="17"/>
                <w:szCs w:val="17"/>
                <w:color w:val="auto"/>
              </w:rPr>
              <w:t>974,167</w:t>
            </w:r>
            <w:r>
              <w:rPr>
                <w:rFonts w:ascii="Times New Roman" w:cs="Times New Roman" w:eastAsia="Times New Roman" w:hAnsi="Times New Roman"/>
                <w:sz w:val="22"/>
                <w:szCs w:val="22"/>
                <w:color w:val="auto"/>
                <w:vertAlign w:val="superscript"/>
              </w:rPr>
              <w:t>1</w:t>
            </w:r>
          </w:p>
        </w:tc>
        <w:tc>
          <w:tcPr>
            <w:tcW w:w="1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June 30, 2025</w:t>
            </w:r>
          </w:p>
        </w:tc>
      </w:tr>
      <w:tr>
        <w:trPr>
          <w:trHeight w:val="216"/>
        </w:trPr>
        <w:tc>
          <w:tcPr>
            <w:tcW w:w="2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1"/>
        </w:trPr>
        <w:tc>
          <w:tcPr>
            <w:tcW w:w="27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Chief Medical Officer</w:t>
            </w:r>
          </w:p>
        </w:tc>
        <w:tc>
          <w:tcPr>
            <w:tcW w:w="1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98"/>
        </w:trPr>
        <w:tc>
          <w:tcPr>
            <w:tcW w:w="27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Andrew J. Grethlein, Ph.D.,</w:t>
            </w:r>
          </w:p>
        </w:tc>
        <w:tc>
          <w:tcPr>
            <w:tcW w:w="114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12, 2024</w:t>
            </w:r>
          </w:p>
        </w:tc>
        <w:tc>
          <w:tcPr>
            <w:tcW w:w="262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520" w:type="dxa"/>
            <w:vAlign w:val="bottom"/>
          </w:tcPr>
          <w:p>
            <w:pPr>
              <w:jc w:val="center"/>
              <w:spacing w:after="0" w:line="198" w:lineRule="exact"/>
              <w:rPr>
                <w:sz w:val="20"/>
                <w:szCs w:val="20"/>
                <w:color w:val="auto"/>
              </w:rPr>
            </w:pPr>
            <w:r>
              <w:rPr>
                <w:rFonts w:ascii="Times New Roman" w:cs="Times New Roman" w:eastAsia="Times New Roman" w:hAnsi="Times New Roman"/>
                <w:sz w:val="17"/>
                <w:szCs w:val="17"/>
                <w:color w:val="auto"/>
              </w:rPr>
              <w:t>1,279,985</w:t>
            </w:r>
            <w:r>
              <w:rPr>
                <w:rFonts w:ascii="Times New Roman" w:cs="Times New Roman" w:eastAsia="Times New Roman" w:hAnsi="Times New Roman"/>
                <w:sz w:val="22"/>
                <w:szCs w:val="22"/>
                <w:color w:val="auto"/>
                <w:vertAlign w:val="superscript"/>
              </w:rPr>
              <w:t>2</w:t>
            </w:r>
          </w:p>
        </w:tc>
        <w:tc>
          <w:tcPr>
            <w:tcW w:w="1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November 14, 2025</w:t>
            </w:r>
          </w:p>
        </w:tc>
      </w:tr>
      <w:tr>
        <w:trPr>
          <w:trHeight w:val="216"/>
        </w:trPr>
        <w:tc>
          <w:tcPr>
            <w:tcW w:w="2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1"/>
        </w:trPr>
        <w:tc>
          <w:tcPr>
            <w:tcW w:w="27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and Chief Operating Officer</w:t>
            </w:r>
          </w:p>
        </w:tc>
        <w:tc>
          <w:tcPr>
            <w:tcW w:w="1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98"/>
        </w:trPr>
        <w:tc>
          <w:tcPr>
            <w:tcW w:w="27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John A. Scarlett, M.D.,</w:t>
            </w:r>
          </w:p>
        </w:tc>
        <w:tc>
          <w:tcPr>
            <w:tcW w:w="114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12, 2024</w:t>
            </w:r>
          </w:p>
        </w:tc>
        <w:tc>
          <w:tcPr>
            <w:tcW w:w="262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520" w:type="dxa"/>
            <w:vAlign w:val="bottom"/>
          </w:tcPr>
          <w:p>
            <w:pPr>
              <w:jc w:val="center"/>
              <w:spacing w:after="0" w:line="198" w:lineRule="exact"/>
              <w:rPr>
                <w:sz w:val="20"/>
                <w:szCs w:val="20"/>
                <w:color w:val="auto"/>
              </w:rPr>
            </w:pPr>
            <w:r>
              <w:rPr>
                <w:rFonts w:ascii="Times New Roman" w:cs="Times New Roman" w:eastAsia="Times New Roman" w:hAnsi="Times New Roman"/>
                <w:sz w:val="17"/>
                <w:szCs w:val="17"/>
                <w:color w:val="auto"/>
              </w:rPr>
              <w:t>1,374,298</w:t>
            </w:r>
            <w:r>
              <w:rPr>
                <w:rFonts w:ascii="Times New Roman" w:cs="Times New Roman" w:eastAsia="Times New Roman" w:hAnsi="Times New Roman"/>
                <w:sz w:val="22"/>
                <w:szCs w:val="22"/>
                <w:color w:val="auto"/>
                <w:vertAlign w:val="superscript"/>
              </w:rPr>
              <w:t>3</w:t>
            </w:r>
          </w:p>
        </w:tc>
        <w:tc>
          <w:tcPr>
            <w:tcW w:w="1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July 11, 2025</w:t>
            </w:r>
          </w:p>
        </w:tc>
      </w:tr>
      <w:tr>
        <w:trPr>
          <w:trHeight w:val="216"/>
        </w:trPr>
        <w:tc>
          <w:tcPr>
            <w:tcW w:w="2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Chairman of the Board,</w:t>
            </w: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1"/>
        </w:trPr>
        <w:tc>
          <w:tcPr>
            <w:tcW w:w="27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Officer</w:t>
            </w:r>
          </w:p>
        </w:tc>
        <w:tc>
          <w:tcPr>
            <w:tcW w:w="1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98"/>
        </w:trPr>
        <w:tc>
          <w:tcPr>
            <w:tcW w:w="27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Anil Kapur</w:t>
            </w:r>
          </w:p>
        </w:tc>
        <w:tc>
          <w:tcPr>
            <w:tcW w:w="1140" w:type="dxa"/>
            <w:vAlign w:val="bottom"/>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July 9, 2024</w:t>
            </w:r>
          </w:p>
        </w:tc>
        <w:tc>
          <w:tcPr>
            <w:tcW w:w="262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520" w:type="dxa"/>
            <w:vAlign w:val="bottom"/>
          </w:tcPr>
          <w:p>
            <w:pPr>
              <w:jc w:val="center"/>
              <w:spacing w:after="0" w:line="198" w:lineRule="exact"/>
              <w:rPr>
                <w:sz w:val="20"/>
                <w:szCs w:val="20"/>
                <w:color w:val="auto"/>
              </w:rPr>
            </w:pPr>
            <w:r>
              <w:rPr>
                <w:rFonts w:ascii="Times New Roman" w:cs="Times New Roman" w:eastAsia="Times New Roman" w:hAnsi="Times New Roman"/>
                <w:sz w:val="17"/>
                <w:szCs w:val="17"/>
                <w:color w:val="auto"/>
              </w:rPr>
              <w:t>1,587,500</w:t>
            </w:r>
            <w:r>
              <w:rPr>
                <w:rFonts w:ascii="Times New Roman" w:cs="Times New Roman" w:eastAsia="Times New Roman" w:hAnsi="Times New Roman"/>
                <w:sz w:val="22"/>
                <w:szCs w:val="22"/>
                <w:color w:val="auto"/>
                <w:vertAlign w:val="superscript"/>
              </w:rPr>
              <w:t>4</w:t>
            </w:r>
          </w:p>
        </w:tc>
        <w:tc>
          <w:tcPr>
            <w:tcW w:w="1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June 27, 2025</w:t>
            </w:r>
          </w:p>
        </w:tc>
      </w:tr>
      <w:tr>
        <w:trPr>
          <w:trHeight w:val="234"/>
        </w:trPr>
        <w:tc>
          <w:tcPr>
            <w:tcW w:w="2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-2288540</wp:posOffset>
            </wp:positionV>
            <wp:extent cx="7132320" cy="30257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02577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Corporate Strategy, and Chief</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Commercial Officer (until</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August 31, 2024)</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Contract, instruction or written plan intended to satisfy the affirmative defense conditions of Rule 10b5-1(c) under the Exchange Act.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"Non-Rule 10b5-1 trading arrangement" as defined in Item 408(c) of Regulation S-K under the Exchange Act.</w:t>
      </w:r>
    </w:p>
    <w:p>
      <w:pPr>
        <w:spacing w:after="0" w:line="183" w:lineRule="exact"/>
        <w:rPr>
          <w:sz w:val="20"/>
          <w:szCs w:val="20"/>
          <w:color w:val="auto"/>
        </w:rPr>
      </w:pPr>
    </w:p>
    <w:p>
      <w:pPr>
        <w:ind w:left="100" w:hanging="92"/>
        <w:spacing w:after="0"/>
        <w:tabs>
          <w:tab w:leader="none" w:pos="100" w:val="left"/>
        </w:tabs>
        <w:numPr>
          <w:ilvl w:val="0"/>
          <w:numId w:val="6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974,167 shares subject to stock options previously granted by Geron to Dr. Feller.</w:t>
      </w:r>
    </w:p>
    <w:p>
      <w:pPr>
        <w:spacing w:after="0" w:line="129" w:lineRule="exact"/>
        <w:rPr>
          <w:sz w:val="20"/>
          <w:szCs w:val="20"/>
          <w:color w:val="auto"/>
        </w:rPr>
      </w:pPr>
    </w:p>
    <w:p>
      <w:pPr>
        <w:ind w:left="100" w:hanging="92"/>
        <w:spacing w:after="0"/>
        <w:tabs>
          <w:tab w:leader="none" w:pos="100"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1,279,985 shares subject to stock options previously granted by Geron to Dr. Grethlein.</w:t>
      </w:r>
    </w:p>
    <w:p>
      <w:pPr>
        <w:spacing w:after="0" w:line="170" w:lineRule="exact"/>
        <w:rPr>
          <w:sz w:val="20"/>
          <w:szCs w:val="20"/>
          <w:color w:val="auto"/>
        </w:rPr>
      </w:pPr>
    </w:p>
    <w:p>
      <w:pPr>
        <w:ind w:left="100" w:hanging="92"/>
        <w:spacing w:after="0"/>
        <w:tabs>
          <w:tab w:leader="none" w:pos="100" w:val="left"/>
        </w:tabs>
        <w:numPr>
          <w:ilvl w:val="0"/>
          <w:numId w:val="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1,374,298 shares subject to stock options previously granted by Geron to Dr. Scarlett.</w:t>
      </w:r>
    </w:p>
    <w:p>
      <w:pPr>
        <w:spacing w:after="0" w:line="211" w:lineRule="exact"/>
        <w:rPr>
          <w:sz w:val="20"/>
          <w:szCs w:val="20"/>
          <w:color w:val="auto"/>
        </w:rPr>
      </w:pPr>
    </w:p>
    <w:p>
      <w:pPr>
        <w:ind w:right="140" w:firstLine="8"/>
        <w:spacing w:after="0" w:line="223" w:lineRule="auto"/>
        <w:tabs>
          <w:tab w:leader="none" w:pos="105" w:val="left"/>
        </w:tabs>
        <w:numPr>
          <w:ilvl w:val="0"/>
          <w:numId w:val="7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Kapur's employment with Geron terminated on August 31, 2024. Consists of 1,587,500 shares subject to stock options previously granted by Geron to Mr. Kapur.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tbl>
      <w:tblPr>
        <w:tblLayout w:type="fixed"/>
        <w:tblInd w:w="10" w:type="dxa"/>
        <w:tblCellMar>
          <w:top w:w="0" w:type="dxa"/>
          <w:left w:w="0" w:type="dxa"/>
          <w:bottom w:w="0" w:type="dxa"/>
          <w:right w:w="0" w:type="dxa"/>
        </w:tblCellMar>
      </w:tblPr>
      <w:tr>
        <w:trPr>
          <w:trHeight w:val="238"/>
        </w:trPr>
        <w:tc>
          <w:tcPr>
            <w:tcW w:w="800" w:type="dxa"/>
            <w:vAlign w:val="bottom"/>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0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4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800" w:type="dxa"/>
            <w:vAlign w:val="bottom"/>
          </w:tcPr>
          <w:p>
            <w:pPr>
              <w:jc w:val="right"/>
              <w:ind w:right="84"/>
              <w:spacing w:after="0" w:line="114" w:lineRule="exact"/>
              <w:rPr>
                <w:sz w:val="20"/>
                <w:szCs w:val="20"/>
                <w:color w:val="auto"/>
              </w:rPr>
            </w:pPr>
            <w:r>
              <w:rPr>
                <w:rFonts w:ascii="Times New Roman" w:cs="Times New Roman" w:eastAsia="Times New Roman" w:hAnsi="Times New Roman"/>
                <w:sz w:val="13"/>
                <w:szCs w:val="13"/>
                <w:b w:val="1"/>
                <w:bCs w:val="1"/>
                <w:color w:val="auto"/>
              </w:rPr>
              <w:t>Exhibit</w:t>
            </w:r>
          </w:p>
        </w:tc>
        <w:tc>
          <w:tcPr>
            <w:tcW w:w="4760" w:type="dxa"/>
            <w:vAlign w:val="bottom"/>
          </w:tcPr>
          <w:p>
            <w:pPr>
              <w:ind w:left="2660"/>
              <w:spacing w:after="0" w:line="114"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2100" w:type="dxa"/>
            <w:vAlign w:val="bottom"/>
          </w:tcPr>
          <w:p>
            <w:pPr>
              <w:jc w:val="center"/>
              <w:ind w:left="1131"/>
              <w:spacing w:after="0" w:line="114" w:lineRule="exact"/>
              <w:rPr>
                <w:sz w:val="20"/>
                <w:szCs w:val="20"/>
                <w:color w:val="auto"/>
              </w:rPr>
            </w:pPr>
            <w:r>
              <w:rPr>
                <w:rFonts w:ascii="Times New Roman" w:cs="Times New Roman" w:eastAsia="Times New Roman" w:hAnsi="Times New Roman"/>
                <w:sz w:val="13"/>
                <w:szCs w:val="13"/>
                <w:b w:val="1"/>
                <w:bCs w:val="1"/>
                <w:color w:val="auto"/>
              </w:rPr>
              <w:t>Exhibit</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5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90"/>
        </w:trPr>
        <w:tc>
          <w:tcPr>
            <w:tcW w:w="8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760" w:type="dxa"/>
            <w:vAlign w:val="bottom"/>
          </w:tcPr>
          <w:p>
            <w:pPr>
              <w:spacing w:after="0"/>
              <w:rPr>
                <w:sz w:val="16"/>
                <w:szCs w:val="16"/>
                <w:color w:val="auto"/>
              </w:rPr>
            </w:pPr>
          </w:p>
        </w:tc>
        <w:tc>
          <w:tcPr>
            <w:tcW w:w="2100" w:type="dxa"/>
            <w:vAlign w:val="bottom"/>
          </w:tcPr>
          <w:p>
            <w:pPr>
              <w:jc w:val="center"/>
              <w:ind w:left="11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40201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4020185"/>
                    </a:xfrm>
                    <a:prstGeom prst="rect">
                      <a:avLst/>
                    </a:prstGeom>
                    <a:noFill/>
                  </pic:spPr>
                </pic:pic>
              </a:graphicData>
            </a:graphic>
          </wp:anchor>
        </w:drawing>
      </w:r>
    </w:p>
    <w:p>
      <w:pPr>
        <w:spacing w:after="0" w:line="39" w:lineRule="exact"/>
        <w:rPr>
          <w:sz w:val="20"/>
          <w:szCs w:val="20"/>
          <w:color w:val="auto"/>
        </w:rPr>
      </w:pPr>
    </w:p>
    <w:p>
      <w:pPr>
        <w:ind w:left="820" w:right="5040" w:hanging="664"/>
        <w:spacing w:after="0" w:line="261"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auto"/>
        </w:rPr>
        <w:t>10.1+*</w:t>
      </w:r>
      <w:r>
        <w:rPr>
          <w:rFonts w:ascii="Times New Roman" w:cs="Times New Roman" w:eastAsia="Times New Roman" w:hAnsi="Times New Roman"/>
          <w:sz w:val="18"/>
          <w:szCs w:val="18"/>
          <w:u w:val="single" w:color="auto"/>
          <w:color w:val="0000FF"/>
        </w:rPr>
        <w:tab/>
        <w:t>Employment Agreement by and between the Registrant and James Ziegler, effective as of September 9, 2024.</w:t>
      </w:r>
    </w:p>
    <w:p>
      <w:pPr>
        <w:ind w:left="820" w:right="4700" w:hanging="619"/>
        <w:spacing w:after="0" w:line="230" w:lineRule="exact"/>
        <w:tabs>
          <w:tab w:leader="none" w:pos="800" w:val="left"/>
        </w:tabs>
        <w:rPr>
          <w:sz w:val="20"/>
          <w:szCs w:val="20"/>
          <w:color w:val="auto"/>
        </w:rPr>
      </w:pP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Form of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as adopted pursuant to Section 302(a)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 dated November 7, 2024.</w:t>
      </w:r>
    </w:p>
    <w:p>
      <w:pPr>
        <w:ind w:left="820" w:right="4740" w:hanging="619"/>
        <w:spacing w:after="0" w:line="230" w:lineRule="exact"/>
        <w:tabs>
          <w:tab w:leader="none" w:pos="800" w:val="left"/>
        </w:tabs>
        <w:rPr>
          <w:sz w:val="20"/>
          <w:szCs w:val="20"/>
          <w:color w:val="auto"/>
        </w:rPr>
      </w:pP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u w:val="single" w:color="auto"/>
          <w:color w:val="0000FF"/>
        </w:rPr>
        <w:tab/>
        <w:t>Certification of Chief Financial Officer pursuant to Form of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as adopted pursuant to Section 302(a)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 dated November 7, 2024.</w:t>
      </w:r>
    </w:p>
    <w:p>
      <w:pPr>
        <w:spacing w:after="0" w:line="22" w:lineRule="exact"/>
        <w:rPr>
          <w:sz w:val="20"/>
          <w:szCs w:val="20"/>
          <w:color w:val="auto"/>
        </w:rPr>
      </w:pPr>
    </w:p>
    <w:p>
      <w:pPr>
        <w:ind w:left="820" w:right="4720" w:hanging="619"/>
        <w:spacing w:after="0" w:line="222" w:lineRule="exact"/>
        <w:tabs>
          <w:tab w:leader="none" w:pos="800" w:val="left"/>
        </w:tabs>
        <w:rPr>
          <w:sz w:val="20"/>
          <w:szCs w:val="20"/>
          <w:color w:val="auto"/>
        </w:rPr>
      </w:pPr>
      <w:r>
        <w:rPr>
          <w:rFonts w:ascii="Times New Roman" w:cs="Times New Roman" w:eastAsia="Times New Roman" w:hAnsi="Times New Roman"/>
          <w:sz w:val="18"/>
          <w:szCs w:val="18"/>
          <w:u w:val="single" w:color="auto"/>
          <w:color w:val="auto"/>
        </w:rPr>
        <w:t>32.1+</w:t>
      </w:r>
      <w:r>
        <w:rPr>
          <w:rFonts w:ascii="Times New Roman" w:cs="Times New Roman" w:eastAsia="Times New Roman" w:hAnsi="Times New Roman"/>
          <w:sz w:val="18"/>
          <w:szCs w:val="18"/>
          <w:u w:val="single" w:color="auto"/>
          <w:color w:val="0000FF"/>
        </w:rPr>
        <w:tab/>
        <w:t>Certification of Chief Executive Officer pursuant to 18 U.S.C. Section 1350, as adopted pursuant to Section 906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 dated November 7, 2024.**</w:t>
      </w:r>
    </w:p>
    <w:p>
      <w:pPr>
        <w:spacing w:after="0" w:line="24" w:lineRule="exact"/>
        <w:rPr>
          <w:sz w:val="20"/>
          <w:szCs w:val="20"/>
          <w:color w:val="auto"/>
        </w:rPr>
      </w:pPr>
    </w:p>
    <w:p>
      <w:pPr>
        <w:ind w:left="820" w:right="4760" w:hanging="619"/>
        <w:spacing w:after="0" w:line="222" w:lineRule="exact"/>
        <w:tabs>
          <w:tab w:leader="none" w:pos="800" w:val="left"/>
        </w:tabs>
        <w:rPr>
          <w:sz w:val="20"/>
          <w:szCs w:val="20"/>
          <w:color w:val="auto"/>
        </w:rPr>
      </w:pPr>
      <w:r>
        <w:rPr>
          <w:rFonts w:ascii="Times New Roman" w:cs="Times New Roman" w:eastAsia="Times New Roman" w:hAnsi="Times New Roman"/>
          <w:sz w:val="18"/>
          <w:szCs w:val="18"/>
          <w:u w:val="single" w:color="auto"/>
          <w:color w:val="auto"/>
        </w:rPr>
        <w:t>32.2+</w:t>
      </w:r>
      <w:r>
        <w:rPr>
          <w:rFonts w:ascii="Times New Roman" w:cs="Times New Roman" w:eastAsia="Times New Roman" w:hAnsi="Times New Roman"/>
          <w:sz w:val="18"/>
          <w:szCs w:val="18"/>
          <w:u w:val="single" w:color="auto"/>
          <w:color w:val="0000FF"/>
        </w:rPr>
        <w:tab/>
        <w:t>Certification of Chief Financial Officer pursuant to 18 U.S.C. Section 1350, as adopted pursuant to Section 906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 dated November 7, 2024.**</w:t>
      </w:r>
    </w:p>
    <w:p>
      <w:pPr>
        <w:spacing w:after="0" w:line="24" w:lineRule="exact"/>
        <w:rPr>
          <w:sz w:val="20"/>
          <w:szCs w:val="20"/>
          <w:color w:val="auto"/>
        </w:rPr>
      </w:pPr>
    </w:p>
    <w:p>
      <w:pPr>
        <w:ind w:left="820" w:right="4540" w:hanging="549"/>
        <w:spacing w:after="0" w:line="253" w:lineRule="auto"/>
        <w:tabs>
          <w:tab w:leader="none" w:pos="8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Registrant’s September 30, 2024 Quarterly Report on Form 10-Q for the quarter ended September 30, 2024 formatted in Inline Extensible Business Reporting Language (iXBRL) include: (i) Condensed Consolidated Balance Sheets as of September 30, 2024 and December 31, 2023, (ii) Condensed Consolidated Statements of Operations and Comprehensive Loss for the three and nine months ended September 30, 2024 and 2023, (iii) Condensed Consolidated Statements of Stockholders’ Equity for the three months ended September 30, 2024 and 2023, (iv) Condensed Consolidated Statements of Cash Flows for the three and nine months ended September 30, 2024 and 2023 and (v) Notes to Condensed Consolidated Financial Statements.</w:t>
      </w:r>
    </w:p>
    <w:p>
      <w:pPr>
        <w:spacing w:after="0" w:line="19" w:lineRule="exact"/>
        <w:rPr>
          <w:sz w:val="20"/>
          <w:szCs w:val="20"/>
          <w:color w:val="auto"/>
        </w:rPr>
      </w:pPr>
    </w:p>
    <w:p>
      <w:pPr>
        <w:ind w:left="820" w:hanging="549"/>
        <w:spacing w:after="0"/>
        <w:tabs>
          <w:tab w:leader="none" w:pos="8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r>
        <w:rPr>
          <w:rFonts w:ascii="Times New Roman" w:cs="Times New Roman" w:eastAsia="Times New Roman" w:hAnsi="Times New Roman"/>
          <w:sz w:val="18"/>
          <w:szCs w:val="18"/>
          <w:u w:val="single" w:color="auto"/>
          <w:color w:val="auto"/>
        </w:rPr>
        <w:t>)</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7" w:lineRule="exact"/>
        <w:rPr>
          <w:sz w:val="20"/>
          <w:szCs w:val="20"/>
          <w:color w:val="auto"/>
        </w:rPr>
      </w:pPr>
    </w:p>
    <w:p>
      <w:pPr>
        <w:ind w:left="500" w:hanging="492"/>
        <w:spacing w:after="0"/>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w:t>
      </w:r>
    </w:p>
    <w:p>
      <w:pPr>
        <w:spacing w:after="0" w:line="225" w:lineRule="exact"/>
        <w:rPr>
          <w:sz w:val="20"/>
          <w:szCs w:val="20"/>
          <w:color w:val="auto"/>
        </w:rPr>
      </w:pPr>
    </w:p>
    <w:p>
      <w:pPr>
        <w:jc w:val="both"/>
        <w:ind w:right="40" w:firstLine="8"/>
        <w:spacing w:after="0" w:line="266" w:lineRule="auto"/>
        <w:tabs>
          <w:tab w:leader="none" w:pos="4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Report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0" w:name="page81"/>
    <w:bookmarkEnd w:id="80"/>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GERON CORPORATION</w:t>
      </w:r>
    </w:p>
    <w:p>
      <w:pPr>
        <w:spacing w:after="0" w:line="306" w:lineRule="exact"/>
        <w:rPr>
          <w:sz w:val="20"/>
          <w:szCs w:val="20"/>
          <w:color w:val="auto"/>
        </w:rPr>
      </w:pPr>
    </w:p>
    <w:p>
      <w:pPr>
        <w:ind w:left="20"/>
        <w:spacing w:after="0"/>
        <w:tabs>
          <w:tab w:leader="none" w:pos="4160" w:val="left"/>
          <w:tab w:leader="none" w:pos="46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26035</wp:posOffset>
            </wp:positionV>
            <wp:extent cx="42005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Executive Vice President, Finance, Chief Financial Officer and Treasurer (Duly Authorized</w:t>
      </w:r>
    </w:p>
    <w:p>
      <w:pPr>
        <w:spacing w:after="0" w:line="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Officer and 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jc w:val="right"/>
        <w:spacing w:after="0"/>
        <w:rPr>
          <w:sz w:val="20"/>
          <w:szCs w:val="20"/>
          <w:color w:val="auto"/>
        </w:rPr>
      </w:pPr>
      <w:r>
        <w:rPr>
          <w:rFonts w:ascii="Calibri" w:cs="Calibri" w:eastAsia="Calibri" w:hAnsi="Calibri"/>
          <w:sz w:val="18"/>
          <w:szCs w:val="18"/>
          <w:b w:val="1"/>
          <w:bCs w:val="1"/>
          <w:color w:val="auto"/>
        </w:rPr>
        <w:t>EXHIBIT 10.1</w:t>
      </w:r>
    </w:p>
    <w:p>
      <w:pPr>
        <w:spacing w:after="0" w:line="235" w:lineRule="auto"/>
        <w:rPr>
          <w:sz w:val="20"/>
          <w:szCs w:val="20"/>
          <w:color w:val="auto"/>
        </w:rPr>
      </w:pPr>
      <w:r>
        <w:rPr>
          <w:rFonts w:ascii="Calibri" w:cs="Calibri" w:eastAsia="Calibri" w:hAnsi="Calibri"/>
          <w:sz w:val="18"/>
          <w:szCs w:val="18"/>
          <w:b w:val="1"/>
          <w:bCs w:val="1"/>
          <w:color w:val="auto"/>
        </w:rPr>
        <w:t>Geron Corporaton</w:t>
      </w:r>
    </w:p>
    <w:p>
      <w:pPr>
        <w:spacing w:after="0" w:line="4"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919 E. Hillsdale Blvd., Suite 250</w:t>
      </w:r>
    </w:p>
    <w:p>
      <w:pPr>
        <w:spacing w:after="0" w:line="224" w:lineRule="auto"/>
        <w:rPr>
          <w:sz w:val="20"/>
          <w:szCs w:val="20"/>
          <w:color w:val="auto"/>
        </w:rPr>
      </w:pPr>
      <w:r>
        <w:rPr>
          <w:rFonts w:ascii="Calibri" w:cs="Calibri" w:eastAsia="Calibri" w:hAnsi="Calibri"/>
          <w:sz w:val="13"/>
          <w:szCs w:val="13"/>
          <w:b w:val="1"/>
          <w:bCs w:val="1"/>
          <w:color w:val="auto"/>
        </w:rPr>
        <w:t>Foster City, CA 94404</w:t>
      </w:r>
    </w:p>
    <w:p>
      <w:pPr>
        <w:spacing w:after="0" w:line="31"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 xml:space="preserve">+1 650 473 7700 </w:t>
      </w:r>
      <w:r>
        <w:rPr>
          <w:rFonts w:ascii="Calibri" w:cs="Calibri" w:eastAsia="Calibri" w:hAnsi="Calibri"/>
          <w:sz w:val="10"/>
          <w:szCs w:val="10"/>
          <w:b w:val="1"/>
          <w:bCs w:val="1"/>
          <w:color w:val="auto"/>
        </w:rPr>
        <w:t>main</w:t>
      </w:r>
    </w:p>
    <w:p>
      <w:pPr>
        <w:spacing w:after="0" w:line="224" w:lineRule="auto"/>
        <w:rPr>
          <w:sz w:val="20"/>
          <w:szCs w:val="20"/>
          <w:color w:val="auto"/>
        </w:rPr>
      </w:pPr>
      <w:r>
        <w:rPr>
          <w:rFonts w:ascii="Calibri" w:cs="Calibri" w:eastAsia="Calibri" w:hAnsi="Calibri"/>
          <w:sz w:val="13"/>
          <w:szCs w:val="13"/>
          <w:b w:val="1"/>
          <w:bCs w:val="1"/>
          <w:color w:val="auto"/>
        </w:rPr>
        <w:t xml:space="preserve">+1 650 473 7750 </w:t>
      </w:r>
      <w:r>
        <w:rPr>
          <w:rFonts w:ascii="Calibri" w:cs="Calibri" w:eastAsia="Calibri" w:hAnsi="Calibri"/>
          <w:sz w:val="10"/>
          <w:szCs w:val="10"/>
          <w:b w:val="1"/>
          <w:bCs w:val="1"/>
          <w:color w:val="auto"/>
        </w:rPr>
        <w:t>fax</w:t>
      </w:r>
    </w:p>
    <w:p>
      <w:pPr>
        <w:spacing w:after="0" w:line="225" w:lineRule="auto"/>
        <w:rPr>
          <w:sz w:val="20"/>
          <w:szCs w:val="20"/>
          <w:color w:val="auto"/>
        </w:rPr>
      </w:pPr>
      <w:r>
        <w:rPr>
          <w:rFonts w:ascii="Calibri" w:cs="Calibri" w:eastAsia="Calibri" w:hAnsi="Calibri"/>
          <w:sz w:val="13"/>
          <w:szCs w:val="13"/>
          <w:b w:val="1"/>
          <w:bCs w:val="1"/>
          <w:color w:val="auto"/>
        </w:rPr>
        <w:t>www.geron.com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EMPLOYMENT AGREEMENT</w:t>
      </w:r>
    </w:p>
    <w:p>
      <w:pPr>
        <w:spacing w:after="0" w:line="200" w:lineRule="exact"/>
        <w:rPr>
          <w:sz w:val="20"/>
          <w:szCs w:val="20"/>
          <w:color w:val="auto"/>
        </w:rPr>
      </w:pPr>
    </w:p>
    <w:p>
      <w:pPr>
        <w:spacing w:after="0" w:line="248" w:lineRule="exact"/>
        <w:rPr>
          <w:sz w:val="20"/>
          <w:szCs w:val="20"/>
          <w:color w:val="auto"/>
        </w:rPr>
      </w:pPr>
    </w:p>
    <w:p>
      <w:pPr>
        <w:ind w:right="20" w:firstLine="749"/>
        <w:spacing w:after="0" w:line="234" w:lineRule="auto"/>
        <w:rPr>
          <w:sz w:val="20"/>
          <w:szCs w:val="20"/>
          <w:color w:val="auto"/>
        </w:rPr>
      </w:pPr>
      <w:r>
        <w:rPr>
          <w:rFonts w:ascii="Calibri" w:cs="Calibri" w:eastAsia="Calibri" w:hAnsi="Calibri"/>
          <w:sz w:val="20"/>
          <w:szCs w:val="20"/>
          <w:color w:val="auto"/>
        </w:rPr>
        <w:t>This Employment Agreement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is made efectve as of September 9, 2024 (the “</w:t>
      </w:r>
      <w:r>
        <w:rPr>
          <w:rFonts w:ascii="Calibri" w:cs="Calibri" w:eastAsia="Calibri" w:hAnsi="Calibri"/>
          <w:sz w:val="20"/>
          <w:szCs w:val="20"/>
          <w:b w:val="1"/>
          <w:bCs w:val="1"/>
          <w:color w:val="auto"/>
        </w:rPr>
        <w:t>Efectve Date</w:t>
      </w:r>
      <w:r>
        <w:rPr>
          <w:rFonts w:ascii="Calibri" w:cs="Calibri" w:eastAsia="Calibri" w:hAnsi="Calibri"/>
          <w:sz w:val="20"/>
          <w:szCs w:val="20"/>
          <w:color w:val="auto"/>
        </w:rPr>
        <w:t>”), by and between James Ziegler (“</w:t>
      </w:r>
      <w:r>
        <w:rPr>
          <w:rFonts w:ascii="Calibri" w:cs="Calibri" w:eastAsia="Calibri" w:hAnsi="Calibri"/>
          <w:sz w:val="20"/>
          <w:szCs w:val="20"/>
          <w:b w:val="1"/>
          <w:bCs w:val="1"/>
          <w:color w:val="auto"/>
        </w:rPr>
        <w:t>Executve</w:t>
      </w:r>
      <w:r>
        <w:rPr>
          <w:rFonts w:ascii="Calibri" w:cs="Calibri" w:eastAsia="Calibri" w:hAnsi="Calibri"/>
          <w:sz w:val="20"/>
          <w:szCs w:val="20"/>
          <w:color w:val="auto"/>
        </w:rPr>
        <w:t>”) and Geron Corporaton, a Delaware corporaton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w:t>
      </w:r>
    </w:p>
    <w:p>
      <w:pPr>
        <w:spacing w:after="0" w:line="253" w:lineRule="exact"/>
        <w:rPr>
          <w:sz w:val="20"/>
          <w:szCs w:val="20"/>
          <w:color w:val="auto"/>
        </w:rPr>
      </w:pPr>
    </w:p>
    <w:p>
      <w:pPr>
        <w:ind w:firstLine="749"/>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Company desires to employ Executve to provide personal services to the Company, and wishes to provide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 with certain compensaton and benefts in return for Executve’s services;</w:t>
      </w:r>
    </w:p>
    <w:p>
      <w:pPr>
        <w:spacing w:after="0" w:line="226" w:lineRule="exact"/>
        <w:rPr>
          <w:sz w:val="20"/>
          <w:szCs w:val="20"/>
          <w:color w:val="auto"/>
        </w:rPr>
      </w:pPr>
    </w:p>
    <w:p>
      <w:pPr>
        <w:ind w:firstLine="749"/>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Executve wishes to be employed by the Company and provide personal services to the Company in return for certain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compensaton and benefts; and</w:t>
      </w:r>
    </w:p>
    <w:p>
      <w:pPr>
        <w:spacing w:after="0" w:line="226" w:lineRule="exact"/>
        <w:rPr>
          <w:sz w:val="20"/>
          <w:szCs w:val="20"/>
          <w:color w:val="auto"/>
        </w:rPr>
      </w:pPr>
    </w:p>
    <w:p>
      <w:pPr>
        <w:ind w:right="20" w:firstLine="749"/>
        <w:spacing w:after="0" w:line="234" w:lineRule="auto"/>
        <w:rPr>
          <w:sz w:val="20"/>
          <w:szCs w:val="20"/>
          <w:color w:val="auto"/>
        </w:rPr>
      </w:pPr>
      <w:r>
        <w:rPr>
          <w:rFonts w:ascii="Calibri" w:cs="Calibri" w:eastAsia="Calibri" w:hAnsi="Calibri"/>
          <w:sz w:val="20"/>
          <w:szCs w:val="20"/>
          <w:b w:val="1"/>
          <w:bCs w:val="1"/>
          <w:color w:val="auto"/>
        </w:rPr>
        <w:t>Now, Therefore</w:t>
      </w:r>
      <w:r>
        <w:rPr>
          <w:rFonts w:ascii="Calibri" w:cs="Calibri" w:eastAsia="Calibri" w:hAnsi="Calibri"/>
          <w:sz w:val="20"/>
          <w:szCs w:val="20"/>
          <w:color w:val="auto"/>
        </w:rPr>
        <w:t>, in consideraton of the mutual promises and covenants contained herein, it is hereby agreed by and between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partes hereto as follows:</w:t>
      </w: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ARTICLE I</w:t>
      </w:r>
    </w:p>
    <w:p>
      <w:pPr>
        <w:jc w:val="center"/>
        <w:spacing w:after="0" w:line="234" w:lineRule="auto"/>
        <w:rPr>
          <w:sz w:val="20"/>
          <w:szCs w:val="20"/>
          <w:color w:val="auto"/>
        </w:rPr>
      </w:pPr>
      <w:r>
        <w:rPr>
          <w:rFonts w:ascii="Calibri" w:cs="Calibri" w:eastAsia="Calibri" w:hAnsi="Calibri"/>
          <w:sz w:val="20"/>
          <w:szCs w:val="20"/>
          <w:b w:val="1"/>
          <w:bCs w:val="1"/>
          <w:color w:val="auto"/>
        </w:rPr>
        <w:t>DEFINITIONS</w:t>
      </w:r>
    </w:p>
    <w:p>
      <w:pPr>
        <w:spacing w:after="0" w:line="216"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For purposes of the Agreement, the following terms are defned as follows:</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1.1</w:t>
      </w:r>
      <w:r>
        <w:rPr>
          <w:rFonts w:ascii="Calibri" w:cs="Calibri" w:eastAsia="Calibri" w:hAnsi="Calibri"/>
          <w:sz w:val="20"/>
          <w:szCs w:val="20"/>
          <w:color w:val="auto"/>
        </w:rPr>
        <w:t>“</w:t>
      </w:r>
      <w:r>
        <w:rPr>
          <w:rFonts w:ascii="Calibri" w:cs="Calibri" w:eastAsia="Calibri" w:hAnsi="Calibri"/>
          <w:sz w:val="20"/>
          <w:szCs w:val="20"/>
          <w:b w:val="1"/>
          <w:bCs w:val="1"/>
          <w:color w:val="auto"/>
        </w:rPr>
        <w:t>Board</w:t>
      </w:r>
      <w:r>
        <w:rPr>
          <w:rFonts w:ascii="Calibri" w:cs="Calibri" w:eastAsia="Calibri" w:hAnsi="Calibri"/>
          <w:sz w:val="20"/>
          <w:szCs w:val="20"/>
          <w:color w:val="auto"/>
        </w:rPr>
        <w:t>” means the Board of Directors of the Company.</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1.2</w:t>
      </w:r>
      <w:r>
        <w:rPr>
          <w:rFonts w:ascii="Calibri" w:cs="Calibri" w:eastAsia="Calibri" w:hAnsi="Calibri"/>
          <w:sz w:val="20"/>
          <w:szCs w:val="20"/>
          <w:color w:val="auto"/>
        </w:rPr>
        <w:t>“</w:t>
      </w:r>
      <w:r>
        <w:rPr>
          <w:rFonts w:ascii="Calibri" w:cs="Calibri" w:eastAsia="Calibri" w:hAnsi="Calibri"/>
          <w:sz w:val="20"/>
          <w:szCs w:val="20"/>
          <w:b w:val="1"/>
          <w:bCs w:val="1"/>
          <w:color w:val="auto"/>
        </w:rPr>
        <w:t>Cause</w:t>
      </w:r>
      <w:r>
        <w:rPr>
          <w:rFonts w:ascii="Calibri" w:cs="Calibri" w:eastAsia="Calibri" w:hAnsi="Calibri"/>
          <w:sz w:val="20"/>
          <w:szCs w:val="20"/>
          <w:color w:val="auto"/>
        </w:rPr>
        <w:t>” means any of the following:</w:t>
      </w:r>
    </w:p>
    <w:p>
      <w:pPr>
        <w:spacing w:after="0" w:line="21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0"/>
          <w:szCs w:val="20"/>
          <w:b w:val="1"/>
          <w:bCs w:val="1"/>
          <w:color w:val="auto"/>
        </w:rPr>
        <w:t>(a)</w:t>
      </w:r>
      <w:r>
        <w:rPr>
          <w:sz w:val="20"/>
          <w:szCs w:val="20"/>
          <w:color w:val="auto"/>
        </w:rPr>
        <w:tab/>
      </w:r>
      <w:r>
        <w:rPr>
          <w:rFonts w:ascii="Calibri" w:cs="Calibri" w:eastAsia="Calibri" w:hAnsi="Calibri"/>
          <w:sz w:val="20"/>
          <w:szCs w:val="20"/>
          <w:color w:val="auto"/>
        </w:rPr>
        <w:t>any willful act or omission by Executve consttutng dishonesty, fraud or other malfeasance against the</w:t>
      </w:r>
    </w:p>
    <w:p>
      <w:pPr>
        <w:spacing w:after="0" w:line="238" w:lineRule="auto"/>
        <w:rPr>
          <w:sz w:val="20"/>
          <w:szCs w:val="20"/>
          <w:color w:val="auto"/>
        </w:rPr>
      </w:pPr>
      <w:r>
        <w:rPr>
          <w:rFonts w:ascii="Calibri" w:cs="Calibri" w:eastAsia="Calibri" w:hAnsi="Calibri"/>
          <w:sz w:val="20"/>
          <w:szCs w:val="20"/>
          <w:color w:val="auto"/>
        </w:rPr>
        <w:t>Company;</w:t>
      </w:r>
    </w:p>
    <w:p>
      <w:pPr>
        <w:spacing w:after="0" w:line="225" w:lineRule="exact"/>
        <w:rPr>
          <w:sz w:val="20"/>
          <w:szCs w:val="20"/>
          <w:color w:val="auto"/>
        </w:rPr>
      </w:pPr>
    </w:p>
    <w:p>
      <w:pPr>
        <w:ind w:firstLine="1505"/>
        <w:spacing w:after="0" w:line="234" w:lineRule="auto"/>
        <w:tabs>
          <w:tab w:leader="none" w:pos="2036" w:val="left"/>
        </w:tabs>
        <w:numPr>
          <w:ilvl w:val="0"/>
          <w:numId w:val="77"/>
        </w:numPr>
        <w:rPr>
          <w:rFonts w:ascii="Calibri" w:cs="Calibri" w:eastAsia="Calibri" w:hAnsi="Calibri"/>
          <w:sz w:val="20"/>
          <w:szCs w:val="20"/>
          <w:b w:val="1"/>
          <w:bCs w:val="1"/>
          <w:color w:val="auto"/>
        </w:rPr>
      </w:pPr>
      <w:r>
        <w:rPr>
          <w:rFonts w:ascii="Calibri" w:cs="Calibri" w:eastAsia="Calibri" w:hAnsi="Calibri"/>
          <w:sz w:val="20"/>
          <w:szCs w:val="20"/>
          <w:color w:val="auto"/>
        </w:rPr>
        <w:t>Executve’s convicton of a felony under the laws of the United States or any state thereof or any other jurisdicton in which the Company conducts business;</w:t>
      </w:r>
    </w:p>
    <w:p>
      <w:pPr>
        <w:spacing w:after="0" w:line="225" w:lineRule="exact"/>
        <w:rPr>
          <w:rFonts w:ascii="Calibri" w:cs="Calibri" w:eastAsia="Calibri" w:hAnsi="Calibri"/>
          <w:sz w:val="20"/>
          <w:szCs w:val="20"/>
          <w:b w:val="1"/>
          <w:bCs w:val="1"/>
          <w:color w:val="auto"/>
        </w:rPr>
      </w:pPr>
    </w:p>
    <w:p>
      <w:pPr>
        <w:jc w:val="both"/>
        <w:ind w:right="20" w:firstLine="1505"/>
        <w:spacing w:after="0" w:line="236" w:lineRule="auto"/>
        <w:tabs>
          <w:tab w:leader="none" w:pos="2036" w:val="left"/>
        </w:tabs>
        <w:numPr>
          <w:ilvl w:val="0"/>
          <w:numId w:val="77"/>
        </w:numPr>
        <w:rPr>
          <w:rFonts w:ascii="Calibri" w:cs="Calibri" w:eastAsia="Calibri" w:hAnsi="Calibri"/>
          <w:sz w:val="20"/>
          <w:szCs w:val="20"/>
          <w:b w:val="1"/>
          <w:bCs w:val="1"/>
          <w:color w:val="auto"/>
        </w:rPr>
      </w:pPr>
      <w:r>
        <w:rPr>
          <w:rFonts w:ascii="Calibri" w:cs="Calibri" w:eastAsia="Calibri" w:hAnsi="Calibri"/>
          <w:sz w:val="20"/>
          <w:szCs w:val="20"/>
          <w:color w:val="auto"/>
        </w:rPr>
        <w:t>Executve’s debarment by the U.S. Food and Drug Administraton (FDA) from working in or providing services to any pharmaceutcal or biotechnology company under the Generic Drug Enforcement Act of 1992, or other ineligibility under any law or regulaton to perform Executve’s dutes to the Company; or</w:t>
      </w:r>
    </w:p>
    <w:p>
      <w:pPr>
        <w:spacing w:after="0" w:line="215" w:lineRule="exact"/>
        <w:rPr>
          <w:rFonts w:ascii="Calibri" w:cs="Calibri" w:eastAsia="Calibri" w:hAnsi="Calibri"/>
          <w:sz w:val="20"/>
          <w:szCs w:val="20"/>
          <w:b w:val="1"/>
          <w:bCs w:val="1"/>
          <w:color w:val="auto"/>
        </w:rPr>
      </w:pPr>
    </w:p>
    <w:p>
      <w:pPr>
        <w:ind w:left="2040" w:hanging="535"/>
        <w:spacing w:after="0"/>
        <w:tabs>
          <w:tab w:leader="none" w:pos="2040" w:val="left"/>
        </w:tabs>
        <w:numPr>
          <w:ilvl w:val="0"/>
          <w:numId w:val="77"/>
        </w:numPr>
        <w:rPr>
          <w:rFonts w:ascii="Calibri" w:cs="Calibri" w:eastAsia="Calibri" w:hAnsi="Calibri"/>
          <w:sz w:val="20"/>
          <w:szCs w:val="20"/>
          <w:b w:val="1"/>
          <w:bCs w:val="1"/>
          <w:color w:val="auto"/>
        </w:rPr>
      </w:pPr>
      <w:r>
        <w:rPr>
          <w:rFonts w:ascii="Calibri" w:cs="Calibri" w:eastAsia="Calibri" w:hAnsi="Calibri"/>
          <w:sz w:val="20"/>
          <w:szCs w:val="20"/>
          <w:color w:val="auto"/>
        </w:rPr>
        <w:t>Executve’s breach of any of the material policies of the Company.</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1.3</w:t>
      </w:r>
      <w:r>
        <w:rPr>
          <w:rFonts w:ascii="Calibri" w:cs="Calibri" w:eastAsia="Calibri" w:hAnsi="Calibri"/>
          <w:sz w:val="20"/>
          <w:szCs w:val="20"/>
          <w:color w:val="auto"/>
        </w:rPr>
        <w:t>“</w:t>
      </w:r>
      <w:r>
        <w:rPr>
          <w:rFonts w:ascii="Calibri" w:cs="Calibri" w:eastAsia="Calibri" w:hAnsi="Calibri"/>
          <w:sz w:val="20"/>
          <w:szCs w:val="20"/>
          <w:b w:val="1"/>
          <w:bCs w:val="1"/>
          <w:color w:val="auto"/>
        </w:rPr>
        <w:t>Change in Control</w:t>
      </w:r>
      <w:r>
        <w:rPr>
          <w:rFonts w:ascii="Calibri" w:cs="Calibri" w:eastAsia="Calibri" w:hAnsi="Calibri"/>
          <w:sz w:val="20"/>
          <w:szCs w:val="20"/>
          <w:color w:val="auto"/>
        </w:rPr>
        <w:t>” shall have the meaning set forth in the Equity Incentve Plan.</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1.4</w:t>
      </w:r>
      <w:r>
        <w:rPr>
          <w:rFonts w:ascii="Calibri" w:cs="Calibri" w:eastAsia="Calibri" w:hAnsi="Calibri"/>
          <w:sz w:val="20"/>
          <w:szCs w:val="20"/>
          <w:color w:val="auto"/>
        </w:rPr>
        <w:t>“</w:t>
      </w:r>
      <w:r>
        <w:rPr>
          <w:rFonts w:ascii="Calibri" w:cs="Calibri" w:eastAsia="Calibri" w:hAnsi="Calibri"/>
          <w:sz w:val="20"/>
          <w:szCs w:val="20"/>
          <w:b w:val="1"/>
          <w:bCs w:val="1"/>
          <w:color w:val="auto"/>
        </w:rPr>
        <w:t>Code</w:t>
      </w:r>
      <w:r>
        <w:rPr>
          <w:rFonts w:ascii="Calibri" w:cs="Calibri" w:eastAsia="Calibri" w:hAnsi="Calibri"/>
          <w:sz w:val="20"/>
          <w:szCs w:val="20"/>
          <w:color w:val="auto"/>
        </w:rPr>
        <w:t>” means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1242695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2" w:name="page83"/>
    <w:bookmarkEnd w:id="82"/>
    <w:p>
      <w:pPr>
        <w:ind w:left="760"/>
        <w:spacing w:after="0"/>
        <w:rPr>
          <w:sz w:val="20"/>
          <w:szCs w:val="20"/>
          <w:color w:val="auto"/>
        </w:rPr>
      </w:pPr>
      <w:r>
        <w:rPr>
          <w:rFonts w:ascii="Calibri" w:cs="Calibri" w:eastAsia="Calibri" w:hAnsi="Calibri"/>
          <w:sz w:val="20"/>
          <w:szCs w:val="20"/>
          <w:b w:val="1"/>
          <w:bCs w:val="1"/>
          <w:color w:val="auto"/>
        </w:rPr>
        <w:t>1.5</w:t>
      </w:r>
      <w:r>
        <w:rPr>
          <w:rFonts w:ascii="Calibri" w:cs="Calibri" w:eastAsia="Calibri" w:hAnsi="Calibri"/>
          <w:sz w:val="20"/>
          <w:szCs w:val="20"/>
          <w:color w:val="auto"/>
        </w:rPr>
        <w:t>“</w:t>
      </w:r>
      <w:r>
        <w:rPr>
          <w:rFonts w:ascii="Calibri" w:cs="Calibri" w:eastAsia="Calibri" w:hAnsi="Calibri"/>
          <w:sz w:val="20"/>
          <w:szCs w:val="20"/>
          <w:b w:val="1"/>
          <w:bCs w:val="1"/>
          <w:color w:val="auto"/>
        </w:rPr>
        <w:t>Company</w:t>
      </w:r>
      <w:r>
        <w:rPr>
          <w:rFonts w:ascii="Calibri" w:cs="Calibri" w:eastAsia="Calibri" w:hAnsi="Calibri"/>
          <w:sz w:val="20"/>
          <w:szCs w:val="20"/>
          <w:color w:val="auto"/>
        </w:rPr>
        <w:t>” means Geron Corporaton, any wholly-owned subsidiaries, and its successors in interest.</w:t>
      </w:r>
    </w:p>
    <w:p>
      <w:pPr>
        <w:spacing w:after="0" w:line="225"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1.6</w:t>
      </w:r>
      <w:r>
        <w:rPr>
          <w:rFonts w:ascii="Calibri" w:cs="Calibri" w:eastAsia="Calibri" w:hAnsi="Calibri"/>
          <w:sz w:val="20"/>
          <w:szCs w:val="20"/>
          <w:color w:val="auto"/>
        </w:rPr>
        <w:t>“</w:t>
      </w:r>
      <w:r>
        <w:rPr>
          <w:rFonts w:ascii="Calibri" w:cs="Calibri" w:eastAsia="Calibri" w:hAnsi="Calibri"/>
          <w:sz w:val="20"/>
          <w:szCs w:val="20"/>
          <w:b w:val="1"/>
          <w:bCs w:val="1"/>
          <w:color w:val="auto"/>
        </w:rPr>
        <w:t>Comparable Employment</w:t>
      </w:r>
      <w:r>
        <w:rPr>
          <w:rFonts w:ascii="Calibri" w:cs="Calibri" w:eastAsia="Calibri" w:hAnsi="Calibri"/>
          <w:sz w:val="20"/>
          <w:szCs w:val="20"/>
          <w:color w:val="auto"/>
        </w:rPr>
        <w:t>” means employment on terms which provide (a) the same or greater rate of base pay or salary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 in efect immediately prior to Executve’s terminaton, (b) the same, equivalent or higher job ttle and level of responsibility as Executve had prior to Executve’s terminaton, (c) equivalent or higher bonus opportunity as the bonus opportunity for the year preceding the year in which the terminaton occurs, and (d) a principal work locaton that is both (i) no more than forty-fve (45) miles from Executve’s principal work locaton immediately prior to Executve’s terminaton and (ii) no more than thirty (30) miles farther from Executve’s principal weekday residence than was Executve’s principal work locaton immediately prior to the terminaton.</w:t>
      </w:r>
    </w:p>
    <w:p>
      <w:pPr>
        <w:spacing w:after="0" w:line="228"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1.7</w:t>
      </w:r>
      <w:r>
        <w:rPr>
          <w:rFonts w:ascii="Calibri" w:cs="Calibri" w:eastAsia="Calibri" w:hAnsi="Calibri"/>
          <w:sz w:val="20"/>
          <w:szCs w:val="20"/>
          <w:color w:val="auto"/>
        </w:rPr>
        <w:t>“</w:t>
      </w:r>
      <w:r>
        <w:rPr>
          <w:rFonts w:ascii="Calibri" w:cs="Calibri" w:eastAsia="Calibri" w:hAnsi="Calibri"/>
          <w:sz w:val="20"/>
          <w:szCs w:val="20"/>
          <w:b w:val="1"/>
          <w:bCs w:val="1"/>
          <w:color w:val="auto"/>
        </w:rPr>
        <w:t>Covered Terminaton</w:t>
      </w:r>
      <w:r>
        <w:rPr>
          <w:rFonts w:ascii="Calibri" w:cs="Calibri" w:eastAsia="Calibri" w:hAnsi="Calibri"/>
          <w:sz w:val="20"/>
          <w:szCs w:val="20"/>
          <w:color w:val="auto"/>
        </w:rPr>
        <w:t>” means an Involuntary Terminaton Without Cause that occurs at any tme,</w:t>
      </w:r>
      <w:r>
        <w:rPr>
          <w:rFonts w:ascii="Calibri" w:cs="Calibri" w:eastAsia="Calibri" w:hAnsi="Calibri"/>
          <w:sz w:val="20"/>
          <w:szCs w:val="20"/>
          <w:b w:val="1"/>
          <w:bCs w:val="1"/>
          <w:color w:val="auto"/>
        </w:rPr>
        <w:t xml:space="preserve"> </w:t>
      </w:r>
      <w:r>
        <w:rPr>
          <w:rFonts w:ascii="Calibri" w:cs="Calibri" w:eastAsia="Calibri" w:hAnsi="Calibri"/>
          <w:sz w:val="20"/>
          <w:szCs w:val="20"/>
          <w:i w:val="1"/>
          <w:iCs w:val="1"/>
          <w:color w:val="auto"/>
        </w:rPr>
        <w:t>provided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that such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terminaton consttutes a “separaton from service” within the meaning of Secton 409A of the Code and the regulatons promulgated thereunder, including Treasury Regulaton Secton 1.409A-1(h) (a “</w:t>
      </w:r>
      <w:r>
        <w:rPr>
          <w:rFonts w:ascii="Calibri" w:cs="Calibri" w:eastAsia="Calibri" w:hAnsi="Calibri"/>
          <w:sz w:val="20"/>
          <w:szCs w:val="20"/>
          <w:b w:val="1"/>
          <w:bCs w:val="1"/>
          <w:color w:val="auto"/>
        </w:rPr>
        <w:t>Separaton from Service</w:t>
      </w:r>
      <w:r>
        <w:rPr>
          <w:rFonts w:ascii="Calibri" w:cs="Calibri" w:eastAsia="Calibri" w:hAnsi="Calibri"/>
          <w:sz w:val="20"/>
          <w:szCs w:val="20"/>
          <w:color w:val="auto"/>
        </w:rPr>
        <w:t>”).</w:t>
      </w:r>
    </w:p>
    <w:p>
      <w:pPr>
        <w:spacing w:after="0" w:line="225"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b w:val="1"/>
          <w:bCs w:val="1"/>
          <w:color w:val="auto"/>
        </w:rPr>
        <w:t>1.8</w:t>
      </w:r>
      <w:r>
        <w:rPr>
          <w:rFonts w:ascii="Calibri" w:cs="Calibri" w:eastAsia="Calibri" w:hAnsi="Calibri"/>
          <w:sz w:val="20"/>
          <w:szCs w:val="20"/>
          <w:color w:val="auto"/>
        </w:rPr>
        <w:t>“</w:t>
      </w:r>
      <w:r>
        <w:rPr>
          <w:rFonts w:ascii="Calibri" w:cs="Calibri" w:eastAsia="Calibri" w:hAnsi="Calibri"/>
          <w:sz w:val="20"/>
          <w:szCs w:val="20"/>
          <w:b w:val="1"/>
          <w:bCs w:val="1"/>
          <w:color w:val="auto"/>
        </w:rPr>
        <w:t>Involuntary Terminaton Without Cause</w:t>
      </w:r>
      <w:r>
        <w:rPr>
          <w:rFonts w:ascii="Calibri" w:cs="Calibri" w:eastAsia="Calibri" w:hAnsi="Calibri"/>
          <w:sz w:val="20"/>
          <w:szCs w:val="20"/>
          <w:color w:val="auto"/>
        </w:rPr>
        <w:t>” means Executve’s dismissal or discharge other than (i) for Cause, or (ii) afer 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involuntary or voluntary fling of a petton under chapter 7 or 11 of 11 USC Secton 101 et. seq., an assignment for the beneft of creditors, a liquidaton of the company’s assets in formal proceeding or otherwise or any other event of insolvency by the Company, in any case, without an ofer of Comparable Employment by the Company or a successor, acquirer, or afliate of the Company. For purposes of this Agreement, the terminaton of Executve’s employment due to Executve’s death or disability will not consttute a terminaton for Cause.</w:t>
      </w:r>
    </w:p>
    <w:p>
      <w:pPr>
        <w:spacing w:after="0" w:line="200" w:lineRule="exact"/>
        <w:rPr>
          <w:sz w:val="20"/>
          <w:szCs w:val="20"/>
          <w:color w:val="auto"/>
        </w:rPr>
      </w:pPr>
    </w:p>
    <w:p>
      <w:pPr>
        <w:spacing w:after="0" w:line="24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1.9“Inducement Plan</w:t>
      </w:r>
      <w:r>
        <w:rPr>
          <w:rFonts w:ascii="Calibri" w:cs="Calibri" w:eastAsia="Calibri" w:hAnsi="Calibri"/>
          <w:sz w:val="20"/>
          <w:szCs w:val="20"/>
          <w:color w:val="auto"/>
        </w:rPr>
        <w:t>” means the Company’s 2018 Inducement Award Plan.</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1.10</w:t>
      </w:r>
      <w:r>
        <w:rPr>
          <w:rFonts w:ascii="Calibri" w:cs="Calibri" w:eastAsia="Calibri" w:hAnsi="Calibri"/>
          <w:sz w:val="20"/>
          <w:szCs w:val="20"/>
          <w:color w:val="auto"/>
        </w:rPr>
        <w:t>“</w:t>
      </w:r>
      <w:r>
        <w:rPr>
          <w:rFonts w:ascii="Calibri" w:cs="Calibri" w:eastAsia="Calibri" w:hAnsi="Calibri"/>
          <w:sz w:val="20"/>
          <w:szCs w:val="20"/>
          <w:b w:val="1"/>
          <w:bCs w:val="1"/>
          <w:color w:val="auto"/>
        </w:rPr>
        <w:t>Equity Incentve Plan</w:t>
      </w:r>
      <w:r>
        <w:rPr>
          <w:rFonts w:ascii="Calibri" w:cs="Calibri" w:eastAsia="Calibri" w:hAnsi="Calibri"/>
          <w:sz w:val="20"/>
          <w:szCs w:val="20"/>
          <w:color w:val="auto"/>
        </w:rPr>
        <w:t>” means the Company’s 2018 Equity Incentve Award Plan.</w:t>
      </w: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ARTICLE II</w:t>
      </w:r>
    </w:p>
    <w:p>
      <w:pPr>
        <w:jc w:val="center"/>
        <w:spacing w:after="0" w:line="234" w:lineRule="auto"/>
        <w:rPr>
          <w:sz w:val="20"/>
          <w:szCs w:val="20"/>
          <w:color w:val="auto"/>
        </w:rPr>
      </w:pPr>
      <w:r>
        <w:rPr>
          <w:rFonts w:ascii="Calibri" w:cs="Calibri" w:eastAsia="Calibri" w:hAnsi="Calibri"/>
          <w:sz w:val="20"/>
          <w:szCs w:val="20"/>
          <w:b w:val="1"/>
          <w:bCs w:val="1"/>
          <w:color w:val="auto"/>
        </w:rPr>
        <w:t>EMPLOYMENT BY THE COMPANY</w:t>
      </w:r>
    </w:p>
    <w:p>
      <w:pPr>
        <w:spacing w:after="0" w:line="226"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2.1Positon and Dutes. </w:t>
      </w:r>
      <w:r>
        <w:rPr>
          <w:rFonts w:ascii="Calibri" w:cs="Calibri" w:eastAsia="Calibri" w:hAnsi="Calibri"/>
          <w:sz w:val="20"/>
          <w:szCs w:val="20"/>
          <w:color w:val="auto"/>
        </w:rPr>
        <w:t>Subject to the terms set forth herein, the Company agrees to employ Executve in the positon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 Vice President, Chief Commercial Ofcer. During the Executve’s employment in this positon, Executve will report to the Chief Executve Ofcer. Executve shall serve in an employee capacity and shall perform such dutes as are assigned to Executve by the Chief Executve Ofcer and, except as otherwise instructed by the Chief Executve Ofcer, such other dutes as are customarily associated with the positon of Executve Vice President, Chief Commercial Ofcer. During Executve’s employment with the Company, Executve will devote Executve’s best eforts and substantally all of Executve’s business tme and atenton (except for vacaton periods as set forth herein and reasonable periods of illness or other incapacites permited by the Company’s general employment policies or as otherwise set forth in this Agreement) to the business of the Company.</w:t>
      </w:r>
    </w:p>
    <w:p>
      <w:pPr>
        <w:spacing w:after="0" w:line="231"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2.2Employment at Will. </w:t>
      </w:r>
      <w:r>
        <w:rPr>
          <w:rFonts w:ascii="Calibri" w:cs="Calibri" w:eastAsia="Calibri" w:hAnsi="Calibri"/>
          <w:sz w:val="20"/>
          <w:szCs w:val="20"/>
          <w:color w:val="auto"/>
        </w:rPr>
        <w:t>Both the Company and Executve acknowledge and agree that Executve’s employment with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is “at-will” and not for any specifed period of tme, and may be terminated at any tme by Executve or the Company, with or without Cause, and with or without prior notce; provided, however, that if Executve’s employment with the Company is terminated under circumstances that consttute a Covered Terminaton, Executve will be eligible to receive certain severance payments and benefts as set forth in Artcle IV below.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83" w:name="page84"/>
    <w:bookmarkEnd w:id="83"/>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2.3Employment Policies. </w:t>
      </w:r>
      <w:r>
        <w:rPr>
          <w:rFonts w:ascii="Calibri" w:cs="Calibri" w:eastAsia="Calibri" w:hAnsi="Calibri"/>
          <w:sz w:val="20"/>
          <w:szCs w:val="20"/>
          <w:color w:val="auto"/>
        </w:rPr>
        <w:t>The employment relatonship between the partes shall also be governed by the general employment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policies and practces of the Company, including but not limited to those policies relatng to protecton of confdental informaton and assignment of inventons. In the event of a confict between the terms of this Agreement and the Company’s general employment policies or practces, this Agreement shall control.</w:t>
      </w:r>
    </w:p>
    <w:p>
      <w:pPr>
        <w:spacing w:after="0" w:line="228" w:lineRule="exact"/>
        <w:rPr>
          <w:sz w:val="20"/>
          <w:szCs w:val="20"/>
          <w:color w:val="auto"/>
        </w:rPr>
      </w:pPr>
    </w:p>
    <w:p>
      <w:pPr>
        <w:jc w:val="both"/>
        <w:ind w:right="20" w:firstLine="749"/>
        <w:spacing w:after="0" w:line="234" w:lineRule="auto"/>
        <w:rPr>
          <w:sz w:val="20"/>
          <w:szCs w:val="20"/>
          <w:color w:val="auto"/>
        </w:rPr>
      </w:pPr>
      <w:r>
        <w:rPr>
          <w:rFonts w:ascii="Calibri" w:cs="Calibri" w:eastAsia="Calibri" w:hAnsi="Calibri"/>
          <w:sz w:val="20"/>
          <w:szCs w:val="20"/>
          <w:b w:val="1"/>
          <w:bCs w:val="1"/>
          <w:color w:val="auto"/>
        </w:rPr>
        <w:t xml:space="preserve">2.4 Indemnifcaton. </w:t>
      </w:r>
      <w:r>
        <w:rPr>
          <w:rFonts w:ascii="Calibri" w:cs="Calibri" w:eastAsia="Calibri" w:hAnsi="Calibri"/>
          <w:sz w:val="20"/>
          <w:szCs w:val="20"/>
          <w:color w:val="auto"/>
        </w:rPr>
        <w:t>The Company shall provide for indemnifcaton of the Executve as set forth in the Indemnifcaton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Agreement atached hereto as </w:t>
      </w:r>
      <w:r>
        <w:rPr>
          <w:rFonts w:ascii="Calibri" w:cs="Calibri" w:eastAsia="Calibri" w:hAnsi="Calibri"/>
          <w:sz w:val="20"/>
          <w:szCs w:val="20"/>
          <w:u w:val="single" w:color="auto"/>
          <w:color w:val="auto"/>
        </w:rPr>
        <w:t>Exhibit A</w:t>
      </w:r>
      <w:r>
        <w:rPr>
          <w:rFonts w:ascii="Calibri" w:cs="Calibri" w:eastAsia="Calibri" w:hAnsi="Calibri"/>
          <w:sz w:val="20"/>
          <w:szCs w:val="20"/>
          <w:color w:val="auto"/>
        </w:rPr>
        <w:t>.</w:t>
      </w:r>
    </w:p>
    <w:p>
      <w:pPr>
        <w:spacing w:after="0" w:line="22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ARTICLE III</w:t>
      </w:r>
    </w:p>
    <w:p>
      <w:pPr>
        <w:jc w:val="center"/>
        <w:spacing w:after="0" w:line="232" w:lineRule="auto"/>
        <w:rPr>
          <w:sz w:val="20"/>
          <w:szCs w:val="20"/>
          <w:color w:val="auto"/>
        </w:rPr>
      </w:pPr>
      <w:r>
        <w:rPr>
          <w:rFonts w:ascii="Calibri" w:cs="Calibri" w:eastAsia="Calibri" w:hAnsi="Calibri"/>
          <w:sz w:val="20"/>
          <w:szCs w:val="20"/>
          <w:b w:val="1"/>
          <w:bCs w:val="1"/>
          <w:color w:val="auto"/>
        </w:rPr>
        <w:t>COMPENSATION</w:t>
      </w:r>
    </w:p>
    <w:p>
      <w:pPr>
        <w:spacing w:after="0" w:line="226"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3.1Base Salary</w:t>
      </w:r>
      <w:r>
        <w:rPr>
          <w:rFonts w:ascii="Calibri" w:cs="Calibri" w:eastAsia="Calibri" w:hAnsi="Calibri"/>
          <w:sz w:val="20"/>
          <w:szCs w:val="20"/>
          <w:color w:val="auto"/>
        </w:rPr>
        <w:t>. Executve shall receive for services to be rendered hereunder such annual base salary as is approved by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Board of Directors of the Company (the “</w:t>
      </w:r>
      <w:r>
        <w:rPr>
          <w:rFonts w:ascii="Calibri" w:cs="Calibri" w:eastAsia="Calibri" w:hAnsi="Calibri"/>
          <w:sz w:val="20"/>
          <w:szCs w:val="20"/>
          <w:b w:val="1"/>
          <w:bCs w:val="1"/>
          <w:color w:val="auto"/>
        </w:rPr>
        <w:t>Board</w:t>
      </w:r>
      <w:r>
        <w:rPr>
          <w:rFonts w:ascii="Calibri" w:cs="Calibri" w:eastAsia="Calibri" w:hAnsi="Calibri"/>
          <w:sz w:val="20"/>
          <w:szCs w:val="20"/>
          <w:color w:val="auto"/>
        </w:rPr>
        <w:t>”) or the Compensaton Commitee of the Board, payable on the regular payroll dates of the Company, subject to increase in the sole discreton of the Board or Compensaton Commitee of the Board (the “</w:t>
      </w:r>
      <w:r>
        <w:rPr>
          <w:rFonts w:ascii="Calibri" w:cs="Calibri" w:eastAsia="Calibri" w:hAnsi="Calibri"/>
          <w:sz w:val="20"/>
          <w:szCs w:val="20"/>
          <w:b w:val="1"/>
          <w:bCs w:val="1"/>
          <w:color w:val="auto"/>
        </w:rPr>
        <w:t>Base Salary</w:t>
      </w:r>
      <w:r>
        <w:rPr>
          <w:rFonts w:ascii="Calibri" w:cs="Calibri" w:eastAsia="Calibri" w:hAnsi="Calibri"/>
          <w:sz w:val="20"/>
          <w:szCs w:val="20"/>
          <w:color w:val="auto"/>
        </w:rPr>
        <w:t>”). As of the Efectve Date of this Agreement, Executve’s Base Salary is $525,000.</w:t>
      </w:r>
    </w:p>
    <w:p>
      <w:pPr>
        <w:spacing w:after="0" w:line="228" w:lineRule="exact"/>
        <w:rPr>
          <w:sz w:val="20"/>
          <w:szCs w:val="20"/>
          <w:color w:val="auto"/>
        </w:rPr>
      </w:pPr>
    </w:p>
    <w:p>
      <w:pPr>
        <w:jc w:val="both"/>
        <w:ind w:firstLine="749"/>
        <w:spacing w:after="0" w:line="241" w:lineRule="auto"/>
        <w:rPr>
          <w:sz w:val="20"/>
          <w:szCs w:val="20"/>
          <w:color w:val="auto"/>
        </w:rPr>
      </w:pPr>
      <w:r>
        <w:rPr>
          <w:rFonts w:ascii="Calibri" w:cs="Calibri" w:eastAsia="Calibri" w:hAnsi="Calibri"/>
          <w:sz w:val="20"/>
          <w:szCs w:val="20"/>
          <w:b w:val="1"/>
          <w:bCs w:val="1"/>
          <w:color w:val="auto"/>
        </w:rPr>
        <w:t>3.2Bonus</w:t>
      </w:r>
      <w:r>
        <w:rPr>
          <w:rFonts w:ascii="Calibri" w:cs="Calibri" w:eastAsia="Calibri" w:hAnsi="Calibri"/>
          <w:sz w:val="20"/>
          <w:szCs w:val="20"/>
          <w:color w:val="auto"/>
        </w:rPr>
        <w:t>. As of the Efectve Date of this Agreement, Executve shall be eligible to earn, for each fscal year of the Company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ending December 31, during Executve’s employment with the Company, an annual discretonary cash bonus (an “</w:t>
      </w:r>
      <w:r>
        <w:rPr>
          <w:rFonts w:ascii="Calibri" w:cs="Calibri" w:eastAsia="Calibri" w:hAnsi="Calibri"/>
          <w:sz w:val="20"/>
          <w:szCs w:val="20"/>
          <w:b w:val="1"/>
          <w:bCs w:val="1"/>
          <w:color w:val="auto"/>
        </w:rPr>
        <w:t>Annual Bonus</w:t>
      </w:r>
      <w:r>
        <w:rPr>
          <w:rFonts w:ascii="Calibri" w:cs="Calibri" w:eastAsia="Calibri" w:hAnsi="Calibri"/>
          <w:sz w:val="20"/>
          <w:szCs w:val="20"/>
          <w:color w:val="auto"/>
        </w:rPr>
        <w:t>”) targeted at forty-fve percent (45%) of Executve’s Base Salary. Executve’s discretonary Annual Bonus will be paid during the standard tming for year-end performance bonuses, with the eligibility cutof date for partcipaton being October 1st in the performance year for which any bonus may be paid. It is ted to the achievement of certain performance goals established for the Company and each individual and prorated for the individual’s performance period. The total bonus pool generated for distributon, if any, is determined at the discreton of the Board and then distributed based on individual performance. If the Company determines, in its reasonable discreton, that Executve has engaged in any misconduct intended to afect the payment of Executve’s Annual Bonus or has otherwise engaged in any act or omission that would consttute Cause for terminaton of employment, as defned by Secton 1.2 of the Agreement, Executve will automatcally and immediately forfeit Executve’s entre Annual Bonus. If the Annual Bonus has already been paid to Executve, such Annual Bonus will be deemed unearned, and the Company shall have the right to recover the entre amount of the Annual Bonus paid to Executve for the calendar year(s) in which such misconduct or other act or omission consttutng Cause occurred. Without limitng the foregoing, any such misconduct or other act or omission consttutng Cause will subject Executve to disciplinary acton up to and including terminaton of employment. In additon, any Annual Bonus paid to Executve for the calendar year(s) in which such misconduct or other Cause occurred is subject to recoupment in accordance with The Dodd–Frank Wall Street Reform and Consumer Protecton Act and any implementng regulatons, any other clawback policy adopted by the Company and any compensaton recovery policy otherwise required by applicable laws, regulatons, or statutes. Recovery by the Company of an Annual Bonus in accordance with this Secton shall not consttute an event giving rise to a right by Executve to voluntarily terminate Executve’s employment for Cause based on such recovery by the Company, nor shall it consttute “constructve terminaton”, or any similar term or circumstance under the Agreement or any other plan or agreement with the Company.</w:t>
      </w:r>
    </w:p>
    <w:p>
      <w:pPr>
        <w:spacing w:after="0" w:line="200" w:lineRule="exact"/>
        <w:rPr>
          <w:sz w:val="20"/>
          <w:szCs w:val="20"/>
          <w:color w:val="auto"/>
        </w:rPr>
      </w:pPr>
    </w:p>
    <w:p>
      <w:pPr>
        <w:spacing w:after="0" w:line="269" w:lineRule="exact"/>
        <w:rPr>
          <w:sz w:val="20"/>
          <w:szCs w:val="20"/>
          <w:color w:val="auto"/>
        </w:rPr>
      </w:pPr>
    </w:p>
    <w:p>
      <w:pPr>
        <w:jc w:val="both"/>
        <w:ind w:firstLine="749"/>
        <w:spacing w:after="0" w:line="242" w:lineRule="auto"/>
        <w:rPr>
          <w:sz w:val="20"/>
          <w:szCs w:val="20"/>
          <w:color w:val="auto"/>
        </w:rPr>
      </w:pPr>
      <w:r>
        <w:rPr>
          <w:rFonts w:ascii="Calibri" w:cs="Calibri" w:eastAsia="Calibri" w:hAnsi="Calibri"/>
          <w:sz w:val="20"/>
          <w:szCs w:val="20"/>
          <w:b w:val="1"/>
          <w:bCs w:val="1"/>
          <w:color w:val="auto"/>
        </w:rPr>
        <w:t>3.3Inducement Stock Opton</w:t>
      </w:r>
      <w:r>
        <w:rPr>
          <w:rFonts w:ascii="Times New Roman" w:cs="Times New Roman" w:eastAsia="Times New Roman" w:hAnsi="Times New Roman"/>
          <w:sz w:val="21"/>
          <w:szCs w:val="21"/>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 accordance with the terms approved by Board or the Company’s Compensaton Commitee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Board, the Executve shall receive a tme-based opton (the “</w:t>
      </w:r>
      <w:r>
        <w:rPr>
          <w:rFonts w:ascii="Calibri" w:cs="Calibri" w:eastAsia="Calibri" w:hAnsi="Calibri"/>
          <w:sz w:val="20"/>
          <w:szCs w:val="20"/>
          <w:b w:val="1"/>
          <w:bCs w:val="1"/>
          <w:color w:val="auto"/>
        </w:rPr>
        <w:t>Inducement Opton</w:t>
      </w:r>
      <w:r>
        <w:rPr>
          <w:rFonts w:ascii="Calibri" w:cs="Calibri" w:eastAsia="Calibri" w:hAnsi="Calibri"/>
          <w:sz w:val="20"/>
          <w:szCs w:val="20"/>
          <w:color w:val="auto"/>
        </w:rPr>
        <w:t>”) to purchase one million, six hundred thousand (1,600,000) shares of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4" w:name="page85"/>
    <w:bookmarkEnd w:id="84"/>
    <w:p>
      <w:pPr>
        <w:jc w:val="both"/>
        <w:spacing w:after="0"/>
        <w:rPr>
          <w:sz w:val="20"/>
          <w:szCs w:val="20"/>
          <w:color w:val="auto"/>
        </w:rPr>
      </w:pPr>
      <w:r>
        <w:rPr>
          <w:rFonts w:ascii="Calibri" w:cs="Calibri" w:eastAsia="Calibri" w:hAnsi="Calibri"/>
          <w:sz w:val="20"/>
          <w:szCs w:val="20"/>
          <w:color w:val="auto"/>
        </w:rPr>
        <w:t>common stock having an exercise price equal to the fair market value of Company common stock, as reported by the Nasdaq Global Select Market, on the frst date of Executve’s employment, and vestng with respect to 12.5% of the shares on the six-month anniversary of the Executve’s frst date of employment and with respect to remaining shares on each monthly anniversary of the Executve’s frst date of employment in equal installments over 42 months thereafer. The Inducement Opton serves as an inducement material to Executve entering into employment with the Company and will be granted under the Company’s Inducement Plan as non-statutory stock optons. The vestng of the Inducement Opton shall be subject to Executve’s contnued service to the Company through the applicable vestng dates, provided, that upon the occurrence of a Change of Control, subject to Executve’s contnued service to the Company through the date of such Change of Control, the Inducement Opton shall vest and become exercisable with respect to one hundred percent (100%) of the unvested shares subject thereto. The Inducement Opton otherwise shall be subject to and governed in all respects by the terms of the Inducement Plan and the stock opton agreement for the opton grant to be entered into between the Company and Executve.</w:t>
      </w:r>
    </w:p>
    <w:p>
      <w:pPr>
        <w:spacing w:after="0" w:line="200" w:lineRule="exact"/>
        <w:rPr>
          <w:sz w:val="20"/>
          <w:szCs w:val="20"/>
          <w:color w:val="auto"/>
        </w:rPr>
      </w:pPr>
    </w:p>
    <w:p>
      <w:pPr>
        <w:spacing w:after="0" w:line="248"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3.4Standard Company Benefts; Vacaton. </w:t>
      </w:r>
      <w:r>
        <w:rPr>
          <w:rFonts w:ascii="Calibri" w:cs="Calibri" w:eastAsia="Calibri" w:hAnsi="Calibri"/>
          <w:sz w:val="20"/>
          <w:szCs w:val="20"/>
          <w:color w:val="auto"/>
        </w:rPr>
        <w:t>Executve shall be enttled to all rights and benefts for which Executve is eligible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under the terms and conditons of the Company’s beneft and compensaton plans, practces, policies, and programs, as in efect from tme to tme, that are provided by the Company to its executve employees generally. Except as specifcally provided herein, nothing in this Agreement is construed or interpreted to provide greater rights, partcipaton, coverage, or benefts under such beneft plans or programs provided to executve employees pursuant to the terms and conditons of such beneft plans and programs. Executve will be eligible for vacaton accruals in accordance with the Company’s current tme of policy, startng with twenty (20) days per year.</w:t>
      </w:r>
    </w:p>
    <w:p>
      <w:pPr>
        <w:spacing w:after="0" w:line="226"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ARTICLE IV</w:t>
      </w:r>
    </w:p>
    <w:p>
      <w:pPr>
        <w:jc w:val="center"/>
        <w:spacing w:after="0" w:line="232" w:lineRule="auto"/>
        <w:rPr>
          <w:sz w:val="20"/>
          <w:szCs w:val="20"/>
          <w:color w:val="auto"/>
        </w:rPr>
      </w:pPr>
      <w:r>
        <w:rPr>
          <w:rFonts w:ascii="Calibri" w:cs="Calibri" w:eastAsia="Calibri" w:hAnsi="Calibri"/>
          <w:sz w:val="20"/>
          <w:szCs w:val="20"/>
          <w:b w:val="1"/>
          <w:bCs w:val="1"/>
          <w:color w:val="auto"/>
        </w:rPr>
        <w:t>SEVERANCE BENEFITS AND RELEASE</w:t>
      </w:r>
    </w:p>
    <w:p>
      <w:pPr>
        <w:spacing w:after="0" w:line="216"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4.1Severance Benefts. </w:t>
      </w:r>
      <w:r>
        <w:rPr>
          <w:rFonts w:ascii="Calibri" w:cs="Calibri" w:eastAsia="Calibri" w:hAnsi="Calibri"/>
          <w:sz w:val="20"/>
          <w:szCs w:val="20"/>
          <w:color w:val="auto"/>
        </w:rPr>
        <w:t>If Executve’s employment terminates due to a Covered Terminaton afer the date of executon of this</w:t>
      </w:r>
    </w:p>
    <w:p>
      <w:pPr>
        <w:spacing w:after="0" w:line="238" w:lineRule="auto"/>
        <w:rPr>
          <w:sz w:val="20"/>
          <w:szCs w:val="20"/>
          <w:color w:val="auto"/>
        </w:rPr>
      </w:pPr>
      <w:r>
        <w:rPr>
          <w:rFonts w:ascii="Calibri" w:cs="Calibri" w:eastAsia="Calibri" w:hAnsi="Calibri"/>
          <w:sz w:val="20"/>
          <w:szCs w:val="20"/>
          <w:color w:val="auto"/>
        </w:rPr>
        <w:t>Agreement, Executve shall receive:</w:t>
      </w:r>
    </w:p>
    <w:p>
      <w:pPr>
        <w:spacing w:after="0" w:line="225" w:lineRule="exact"/>
        <w:rPr>
          <w:sz w:val="20"/>
          <w:szCs w:val="20"/>
          <w:color w:val="auto"/>
        </w:rPr>
      </w:pPr>
    </w:p>
    <w:p>
      <w:pPr>
        <w:jc w:val="both"/>
        <w:ind w:firstLine="1505"/>
        <w:spacing w:after="0" w:line="237" w:lineRule="auto"/>
        <w:tabs>
          <w:tab w:leader="none" w:pos="2036" w:val="left"/>
        </w:tabs>
        <w:numPr>
          <w:ilvl w:val="0"/>
          <w:numId w:val="78"/>
        </w:numPr>
        <w:rPr>
          <w:rFonts w:ascii="Calibri" w:cs="Calibri" w:eastAsia="Calibri" w:hAnsi="Calibri"/>
          <w:sz w:val="20"/>
          <w:szCs w:val="20"/>
          <w:b w:val="1"/>
          <w:bCs w:val="1"/>
          <w:u w:val="single" w:color="auto"/>
          <w:color w:val="auto"/>
        </w:rPr>
      </w:pPr>
      <w:r>
        <w:rPr>
          <w:rFonts w:ascii="Calibri" w:cs="Calibri" w:eastAsia="Calibri" w:hAnsi="Calibri"/>
          <w:sz w:val="20"/>
          <w:szCs w:val="20"/>
          <w:u w:val="single" w:color="auto"/>
          <w:color w:val="auto"/>
        </w:rPr>
        <w:t>Payment of Accrued Obligatons Upon Terminaton of Employment</w:t>
      </w:r>
      <w:r>
        <w:rPr>
          <w:rFonts w:ascii="Calibri" w:cs="Calibri" w:eastAsia="Calibri" w:hAnsi="Calibri"/>
          <w:sz w:val="20"/>
          <w:szCs w:val="20"/>
          <w:color w:val="auto"/>
        </w:rPr>
        <w:t>. Upon a terminaton of Executve’s employment for any reason at any tme following the Efectve Date, the Company shall pay to Executve in a single lump-sum cash payment as soon as administratvely practcable following the date of terminaton, the aggregate amount of Executve’s (A) earned but unpaid Base Salary, and (B) accrued but unpaid vacaton pay. In additon, Executve shall be promptly paid for incurred but unreimbursed business expenses upon Executve’s submission of such expenses in accordance with the Company’s expense reimbursement policies. The amounts set forth in this Secton 4.1(i) are collectvely referred to as the “</w:t>
      </w:r>
      <w:r>
        <w:rPr>
          <w:rFonts w:ascii="Calibri" w:cs="Calibri" w:eastAsia="Calibri" w:hAnsi="Calibri"/>
          <w:sz w:val="20"/>
          <w:szCs w:val="20"/>
          <w:b w:val="1"/>
          <w:bCs w:val="1"/>
          <w:color w:val="auto"/>
        </w:rPr>
        <w:t>Accrued Obligatons</w:t>
      </w:r>
      <w:r>
        <w:rPr>
          <w:rFonts w:ascii="Calibri" w:cs="Calibri" w:eastAsia="Calibri" w:hAnsi="Calibri"/>
          <w:sz w:val="20"/>
          <w:szCs w:val="20"/>
          <w:color w:val="auto"/>
        </w:rPr>
        <w:t>”.</w:t>
      </w:r>
    </w:p>
    <w:p>
      <w:pPr>
        <w:spacing w:after="0" w:line="227" w:lineRule="exact"/>
        <w:rPr>
          <w:rFonts w:ascii="Calibri" w:cs="Calibri" w:eastAsia="Calibri" w:hAnsi="Calibri"/>
          <w:sz w:val="20"/>
          <w:szCs w:val="20"/>
          <w:b w:val="1"/>
          <w:bCs w:val="1"/>
          <w:u w:val="single" w:color="auto"/>
          <w:color w:val="auto"/>
        </w:rPr>
      </w:pPr>
    </w:p>
    <w:p>
      <w:pPr>
        <w:ind w:firstLine="1505"/>
        <w:spacing w:after="0" w:line="234" w:lineRule="auto"/>
        <w:tabs>
          <w:tab w:leader="none" w:pos="2036" w:val="left"/>
        </w:tabs>
        <w:numPr>
          <w:ilvl w:val="0"/>
          <w:numId w:val="78"/>
        </w:numPr>
        <w:rPr>
          <w:rFonts w:ascii="Calibri" w:cs="Calibri" w:eastAsia="Calibri" w:hAnsi="Calibri"/>
          <w:sz w:val="20"/>
          <w:szCs w:val="20"/>
          <w:b w:val="1"/>
          <w:bCs w:val="1"/>
          <w:u w:val="single" w:color="auto"/>
          <w:color w:val="auto"/>
        </w:rPr>
      </w:pPr>
      <w:r>
        <w:rPr>
          <w:rFonts w:ascii="Calibri" w:cs="Calibri" w:eastAsia="Calibri" w:hAnsi="Calibri"/>
          <w:sz w:val="20"/>
          <w:szCs w:val="20"/>
          <w:u w:val="single" w:color="auto"/>
          <w:color w:val="auto"/>
        </w:rPr>
        <w:t>Severance Upon a Covered Terminaton</w:t>
      </w:r>
      <w:r>
        <w:rPr>
          <w:rFonts w:ascii="Calibri" w:cs="Calibri" w:eastAsia="Calibri" w:hAnsi="Calibri"/>
          <w:sz w:val="20"/>
          <w:szCs w:val="20"/>
          <w:color w:val="auto"/>
        </w:rPr>
        <w:t>. If Executve’s employment terminates due to a Covered Terminaton at any tme afer the Efectve Date, then, in additon to the Accrued Obligatons:</w:t>
      </w:r>
    </w:p>
    <w:p>
      <w:pPr>
        <w:spacing w:after="0" w:line="225" w:lineRule="exact"/>
        <w:rPr>
          <w:rFonts w:ascii="Calibri" w:cs="Calibri" w:eastAsia="Calibri" w:hAnsi="Calibri"/>
          <w:sz w:val="20"/>
          <w:szCs w:val="20"/>
          <w:b w:val="1"/>
          <w:bCs w:val="1"/>
          <w:u w:val="single" w:color="auto"/>
          <w:color w:val="auto"/>
        </w:rPr>
      </w:pPr>
    </w:p>
    <w:p>
      <w:pPr>
        <w:jc w:val="both"/>
        <w:ind w:firstLine="2254"/>
        <w:spacing w:after="0" w:line="236" w:lineRule="auto"/>
        <w:tabs>
          <w:tab w:leader="none" w:pos="2546" w:val="left"/>
        </w:tabs>
        <w:numPr>
          <w:ilvl w:val="1"/>
          <w:numId w:val="78"/>
        </w:numPr>
        <w:rPr>
          <w:rFonts w:ascii="Calibri" w:cs="Calibri" w:eastAsia="Calibri" w:hAnsi="Calibri"/>
          <w:sz w:val="20"/>
          <w:szCs w:val="20"/>
          <w:b w:val="1"/>
          <w:bCs w:val="1"/>
          <w:color w:val="auto"/>
        </w:rPr>
      </w:pPr>
      <w:r>
        <w:rPr>
          <w:rFonts w:ascii="Calibri" w:cs="Calibri" w:eastAsia="Calibri" w:hAnsi="Calibri"/>
          <w:sz w:val="20"/>
          <w:szCs w:val="20"/>
          <w:color w:val="auto"/>
        </w:rPr>
        <w:t>Executve shall be paid target Annual Bonus for the fscal year in which the terminaton occurs, prorated for the length of service provided during the calendar year through the terminaton date, payable in a single lump-sum payment within thirty (30) days following the date of terminaton;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5" w:name="page86"/>
    <w:bookmarkEnd w:id="85"/>
    <w:p>
      <w:pPr>
        <w:jc w:val="both"/>
        <w:ind w:firstLine="2254"/>
        <w:spacing w:after="0"/>
        <w:tabs>
          <w:tab w:leader="none" w:pos="2546" w:val="left"/>
        </w:tabs>
        <w:numPr>
          <w:ilvl w:val="0"/>
          <w:numId w:val="79"/>
        </w:numPr>
        <w:rPr>
          <w:rFonts w:ascii="Calibri" w:cs="Calibri" w:eastAsia="Calibri" w:hAnsi="Calibri"/>
          <w:sz w:val="20"/>
          <w:szCs w:val="20"/>
          <w:b w:val="1"/>
          <w:bCs w:val="1"/>
          <w:color w:val="auto"/>
        </w:rPr>
      </w:pPr>
      <w:r>
        <w:rPr>
          <w:rFonts w:ascii="Calibri" w:cs="Calibri" w:eastAsia="Calibri" w:hAnsi="Calibri"/>
          <w:sz w:val="20"/>
          <w:szCs w:val="20"/>
          <w:color w:val="auto"/>
        </w:rPr>
        <w:t>Executve shall be paid an aggregate amount equal to twelve (12) months of Executve’s Base Salary in efect on the date of terminaton, payable to Executve in a single lump-sum amount on the sixteth (60</w:t>
      </w:r>
      <w:r>
        <w:rPr>
          <w:rFonts w:ascii="Calibri" w:cs="Calibri" w:eastAsia="Calibri" w:hAnsi="Calibri"/>
          <w:sz w:val="13"/>
          <w:szCs w:val="13"/>
          <w:color w:val="auto"/>
        </w:rPr>
        <w:t>th</w:t>
      </w:r>
      <w:r>
        <w:rPr>
          <w:rFonts w:ascii="Calibri" w:cs="Calibri" w:eastAsia="Calibri" w:hAnsi="Calibri"/>
          <w:sz w:val="20"/>
          <w:szCs w:val="20"/>
          <w:color w:val="auto"/>
        </w:rPr>
        <w:t>) day following the date of terminaton;</w:t>
      </w:r>
    </w:p>
    <w:p>
      <w:pPr>
        <w:spacing w:after="0" w:line="200" w:lineRule="exact"/>
        <w:rPr>
          <w:rFonts w:ascii="Calibri" w:cs="Calibri" w:eastAsia="Calibri" w:hAnsi="Calibri"/>
          <w:sz w:val="20"/>
          <w:szCs w:val="20"/>
          <w:b w:val="1"/>
          <w:bCs w:val="1"/>
          <w:color w:val="auto"/>
        </w:rPr>
      </w:pPr>
    </w:p>
    <w:p>
      <w:pPr>
        <w:spacing w:after="0" w:line="256" w:lineRule="exact"/>
        <w:rPr>
          <w:rFonts w:ascii="Calibri" w:cs="Calibri" w:eastAsia="Calibri" w:hAnsi="Calibri"/>
          <w:sz w:val="20"/>
          <w:szCs w:val="20"/>
          <w:b w:val="1"/>
          <w:bCs w:val="1"/>
          <w:color w:val="auto"/>
        </w:rPr>
      </w:pPr>
    </w:p>
    <w:p>
      <w:pPr>
        <w:jc w:val="both"/>
        <w:ind w:firstLine="2254"/>
        <w:spacing w:after="0" w:line="237" w:lineRule="auto"/>
        <w:tabs>
          <w:tab w:leader="none" w:pos="2546" w:val="left"/>
        </w:tabs>
        <w:numPr>
          <w:ilvl w:val="0"/>
          <w:numId w:val="79"/>
        </w:numPr>
        <w:rPr>
          <w:rFonts w:ascii="Calibri" w:cs="Calibri" w:eastAsia="Calibri" w:hAnsi="Calibri"/>
          <w:sz w:val="20"/>
          <w:szCs w:val="20"/>
          <w:b w:val="1"/>
          <w:bCs w:val="1"/>
          <w:color w:val="auto"/>
        </w:rPr>
      </w:pPr>
      <w:r>
        <w:rPr>
          <w:rFonts w:ascii="Calibri" w:cs="Calibri" w:eastAsia="Calibri" w:hAnsi="Calibri"/>
          <w:sz w:val="20"/>
          <w:szCs w:val="20"/>
          <w:color w:val="auto"/>
        </w:rPr>
        <w:t>Executve and Executve’s covered dependents will be eligible to contnue their health care beneft coverage as permited by COBRA (Internal Revenue Code Secton 4980B) at the Company’s expense for the lesser of (i) twelve (12) months following the Covered Terminaton, or (ii) untl the Executve and/or Executve’s covered dependents are no longer eligible for COBRA (for clarifcaton and as an example, in the event Executve is covered by another health plan, etc.). Thereafer, Executve and Executve’s covered dependents shall be enttled to maintain coverage for Executve and Executve’s eligible dependents at Executve’s own expense for the balance of the period that Executve is enttled to coverage under COBRA; and</w:t>
      </w:r>
    </w:p>
    <w:p>
      <w:pPr>
        <w:spacing w:after="0" w:line="227" w:lineRule="exact"/>
        <w:rPr>
          <w:rFonts w:ascii="Calibri" w:cs="Calibri" w:eastAsia="Calibri" w:hAnsi="Calibri"/>
          <w:sz w:val="20"/>
          <w:szCs w:val="20"/>
          <w:b w:val="1"/>
          <w:bCs w:val="1"/>
          <w:color w:val="auto"/>
        </w:rPr>
      </w:pPr>
    </w:p>
    <w:p>
      <w:pPr>
        <w:jc w:val="both"/>
        <w:ind w:right="20" w:firstLine="2254"/>
        <w:spacing w:after="0" w:line="236" w:lineRule="auto"/>
        <w:tabs>
          <w:tab w:leader="none" w:pos="2546" w:val="left"/>
        </w:tabs>
        <w:numPr>
          <w:ilvl w:val="0"/>
          <w:numId w:val="79"/>
        </w:numPr>
        <w:rPr>
          <w:rFonts w:ascii="Calibri" w:cs="Calibri" w:eastAsia="Calibri" w:hAnsi="Calibri"/>
          <w:sz w:val="20"/>
          <w:szCs w:val="20"/>
          <w:b w:val="1"/>
          <w:bCs w:val="1"/>
          <w:color w:val="auto"/>
        </w:rPr>
      </w:pPr>
      <w:r>
        <w:rPr>
          <w:rFonts w:ascii="Calibri" w:cs="Calibri" w:eastAsia="Calibri" w:hAnsi="Calibri"/>
          <w:sz w:val="20"/>
          <w:szCs w:val="20"/>
          <w:color w:val="auto"/>
        </w:rPr>
        <w:t>the Inducement Opton, along with any subsequent optons or other exercisable equity interest in the Company held by Executve as of the date of terminaton shall remain outstanding and exercisable through the earlier of (i) the second (2</w:t>
      </w:r>
      <w:r>
        <w:rPr>
          <w:rFonts w:ascii="Calibri" w:cs="Calibri" w:eastAsia="Calibri" w:hAnsi="Calibri"/>
          <w:sz w:val="13"/>
          <w:szCs w:val="13"/>
          <w:color w:val="auto"/>
        </w:rPr>
        <w:t>nd</w:t>
      </w:r>
      <w:r>
        <w:rPr>
          <w:rFonts w:ascii="Calibri" w:cs="Calibri" w:eastAsia="Calibri" w:hAnsi="Calibri"/>
          <w:sz w:val="20"/>
          <w:szCs w:val="20"/>
          <w:color w:val="auto"/>
        </w:rPr>
        <w:t>) anniversary of the date of terminaton or (ii) the original expiraton date of the opton or other equity interest.</w:t>
      </w:r>
    </w:p>
    <w:p>
      <w:pPr>
        <w:spacing w:after="0" w:line="252" w:lineRule="exact"/>
        <w:rPr>
          <w:sz w:val="20"/>
          <w:szCs w:val="20"/>
          <w:color w:val="auto"/>
        </w:rPr>
      </w:pPr>
    </w:p>
    <w:p>
      <w:pPr>
        <w:jc w:val="both"/>
        <w:spacing w:after="0" w:line="243" w:lineRule="auto"/>
        <w:rPr>
          <w:sz w:val="20"/>
          <w:szCs w:val="20"/>
          <w:color w:val="auto"/>
        </w:rPr>
      </w:pPr>
      <w:r>
        <w:rPr>
          <w:rFonts w:ascii="Calibri" w:cs="Calibri" w:eastAsia="Calibri" w:hAnsi="Calibri"/>
          <w:sz w:val="20"/>
          <w:szCs w:val="20"/>
          <w:color w:val="auto"/>
        </w:rPr>
        <w:t xml:space="preserve">Notwithstanding the foregoing, if Executve’s employment terminates due to a Covered Terminaton at any tme afer the Efectve Date, Executve will receive the greater of (i) the severance benefts above, or (ii) the severance benefts provided for in the Amended and Restated Severance Plan atached hereto as </w:t>
      </w:r>
      <w:r>
        <w:rPr>
          <w:rFonts w:ascii="Calibri" w:cs="Calibri" w:eastAsia="Calibri" w:hAnsi="Calibri"/>
          <w:sz w:val="20"/>
          <w:szCs w:val="20"/>
          <w:u w:val="single" w:color="auto"/>
          <w:color w:val="auto"/>
        </w:rPr>
        <w:t>Exhibit C</w:t>
      </w:r>
      <w:r>
        <w:rPr>
          <w:rFonts w:ascii="Calibri" w:cs="Calibri" w:eastAsia="Calibri" w:hAnsi="Calibri"/>
          <w:sz w:val="20"/>
          <w:szCs w:val="20"/>
          <w:color w:val="auto"/>
        </w:rPr>
        <w:t>, which may be amended from tme-to-tme by the Company at the Company’s sole discreton, that is in efect at the tme of terminaton. For the avoidance of doubt, all amounts payable under this Agreement shall be subject to applicable federal, state, local or foreign tax withholding requirements.</w:t>
      </w:r>
    </w:p>
    <w:p>
      <w:pPr>
        <w:spacing w:after="0" w:line="222"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0"/>
          <w:szCs w:val="20"/>
          <w:b w:val="1"/>
          <w:bCs w:val="1"/>
          <w:color w:val="auto"/>
        </w:rPr>
        <w:t xml:space="preserve">4.2Parachute Payments. </w:t>
      </w:r>
      <w:r>
        <w:rPr>
          <w:rFonts w:ascii="Calibri" w:cs="Calibri" w:eastAsia="Calibri" w:hAnsi="Calibri"/>
          <w:sz w:val="20"/>
          <w:szCs w:val="20"/>
          <w:color w:val="auto"/>
        </w:rPr>
        <w:t>If any payment or beneft Executve would receive in connecton with a Change in Control from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or otherwise (“</w:t>
      </w:r>
      <w:r>
        <w:rPr>
          <w:rFonts w:ascii="Calibri" w:cs="Calibri" w:eastAsia="Calibri" w:hAnsi="Calibri"/>
          <w:sz w:val="20"/>
          <w:szCs w:val="20"/>
          <w:b w:val="1"/>
          <w:bCs w:val="1"/>
          <w:color w:val="auto"/>
        </w:rPr>
        <w:t>Payment</w:t>
      </w:r>
      <w:r>
        <w:rPr>
          <w:rFonts w:ascii="Calibri" w:cs="Calibri" w:eastAsia="Calibri" w:hAnsi="Calibri"/>
          <w:sz w:val="20"/>
          <w:szCs w:val="20"/>
          <w:color w:val="auto"/>
        </w:rPr>
        <w:t>”) would (i) consttute a “parachute payment” within the meaning of Secton 280G of the Code, and (ii) but for this sentence, be subject to the excise tax imposed by Secton 4999 of the Code (the “</w:t>
      </w:r>
      <w:r>
        <w:rPr>
          <w:rFonts w:ascii="Calibri" w:cs="Calibri" w:eastAsia="Calibri" w:hAnsi="Calibri"/>
          <w:sz w:val="20"/>
          <w:szCs w:val="20"/>
          <w:b w:val="1"/>
          <w:bCs w:val="1"/>
          <w:color w:val="auto"/>
        </w:rPr>
        <w:t>Excise Tax</w:t>
      </w:r>
      <w:r>
        <w:rPr>
          <w:rFonts w:ascii="Calibri" w:cs="Calibri" w:eastAsia="Calibri" w:hAnsi="Calibri"/>
          <w:sz w:val="20"/>
          <w:szCs w:val="20"/>
          <w:color w:val="auto"/>
        </w:rPr>
        <w:t>”), then such Payment shall be reduced to the Reduced Amount. The “Reduced Amount” shall be either (x) the largest porton of the Payment that would result in no porton of the Payment being subject to the Excise Tax or (y) the largest porton, up to and including the total, of the Payment, whichever amount, afer taking into account all applicable federal, state and local employment taxes, income taxes, and the Excise Tax (all computed at the highest applicable marginal rate), results in Executve’s receipt, on an afer-tax basis, of the greater amount of the Payment notwithstanding that all or some porton of the Payment may be subject to the Excise Tax. If a reducton in payments or benefts consttutng “parachute payments” is necessary so that the Payment equals the Reduced Amount, reducton shall occur in the following order unless Executve elects in writng a diferent order (provided, however, that such electon shall be subject to Company approval): reducton of cash payments; cancellaton of accelerated vestng of stock awards; reducton of employee benefts. In the event that acceleraton of vestng of stock award compensaton is to be reduced, such acceleraton of vestng shall be cancelled in the reverse order of the date of grant of Executve’s stock awards unless Executve elects in writng a diferent order for cancellaton.</w:t>
      </w:r>
    </w:p>
    <w:p>
      <w:pPr>
        <w:spacing w:after="0" w:line="22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for general audit purposes shall engage a natonally recognized public accountng frm (the “</w:t>
      </w:r>
      <w:r>
        <w:rPr>
          <w:rFonts w:ascii="Calibri" w:cs="Calibri" w:eastAsia="Calibri" w:hAnsi="Calibri"/>
          <w:sz w:val="20"/>
          <w:szCs w:val="20"/>
          <w:b w:val="1"/>
          <w:bCs w:val="1"/>
          <w:color w:val="auto"/>
        </w:rPr>
        <w:t>Accountng Firm</w:t>
      </w:r>
      <w:r>
        <w:rPr>
          <w:rFonts w:ascii="Calibri" w:cs="Calibri" w:eastAsia="Calibri" w:hAnsi="Calibri"/>
          <w:sz w:val="20"/>
          <w:szCs w:val="20"/>
          <w:color w:val="auto"/>
        </w:rPr>
        <w:t>”) to perform the foregoing calculatons. The Company shall bear all expenses with respect to the determinatons by such accountng frm required to be made hereunder. The Accountng Firm engaged to make the determinatons hereunder shall provide its calculatons, together with detailed supportng documentaton, to the Company and Executve within ffeen (15) calendar days afer the date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6" w:name="page87"/>
    <w:bookmarkEnd w:id="86"/>
    <w:p>
      <w:pPr>
        <w:jc w:val="both"/>
        <w:spacing w:after="0" w:line="237" w:lineRule="auto"/>
        <w:rPr>
          <w:sz w:val="20"/>
          <w:szCs w:val="20"/>
          <w:color w:val="auto"/>
        </w:rPr>
      </w:pPr>
      <w:r>
        <w:rPr>
          <w:rFonts w:ascii="Calibri" w:cs="Calibri" w:eastAsia="Calibri" w:hAnsi="Calibri"/>
          <w:sz w:val="20"/>
          <w:szCs w:val="20"/>
          <w:color w:val="auto"/>
        </w:rPr>
        <w:t>on which Executve’s right to a Payment is triggered (if requested at that tme by the Company or Executve) or such other tme as requested by the Company or Executve. If the Accountng Firm determines that no Excise Tax is payable with respect to a Payment, either before or afer the applicaton of the Reduced Amount, it shall furnish the Company and Executve with an opinion reasonably acceptable to Executve that no Excise Tax will be imposed with respect to such Payment. Any good faith determinatons of the accountng frm made hereunder shall be fnal, binding, and conclusive upon the Company and Executve.</w:t>
      </w:r>
    </w:p>
    <w:p>
      <w:pPr>
        <w:spacing w:after="0" w:line="226"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b w:val="1"/>
          <w:bCs w:val="1"/>
          <w:color w:val="auto"/>
        </w:rPr>
        <w:t xml:space="preserve">4.3Release. </w:t>
      </w:r>
      <w:r>
        <w:rPr>
          <w:rFonts w:ascii="Calibri" w:cs="Calibri" w:eastAsia="Calibri" w:hAnsi="Calibri"/>
          <w:sz w:val="20"/>
          <w:szCs w:val="20"/>
          <w:color w:val="auto"/>
        </w:rPr>
        <w:t>Notwithstanding the foregoing, Executve’s right to receive the amounts provided for in Sectons 4.1(ii) and 4.2,</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and the Change of Control acceleraton in any stock opton agreement shall be subject to and conditoned upon Executve’s executon and non-revocaton of a release of claims in substantally the form atached hereto as </w:t>
      </w:r>
      <w:r>
        <w:rPr>
          <w:rFonts w:ascii="Calibri" w:cs="Calibri" w:eastAsia="Calibri" w:hAnsi="Calibri"/>
          <w:sz w:val="20"/>
          <w:szCs w:val="20"/>
          <w:u w:val="single" w:color="auto"/>
          <w:color w:val="auto"/>
        </w:rPr>
        <w:t>Exhibit B</w:t>
      </w:r>
      <w:r>
        <w:rPr>
          <w:rFonts w:ascii="Calibri" w:cs="Calibri" w:eastAsia="Calibri" w:hAnsi="Calibri"/>
          <w:sz w:val="20"/>
          <w:szCs w:val="20"/>
          <w:color w:val="auto"/>
        </w:rPr>
        <w:t xml:space="preserve"> (the “</w:t>
      </w:r>
      <w:r>
        <w:rPr>
          <w:rFonts w:ascii="Calibri" w:cs="Calibri" w:eastAsia="Calibri" w:hAnsi="Calibri"/>
          <w:sz w:val="20"/>
          <w:szCs w:val="20"/>
          <w:b w:val="1"/>
          <w:bCs w:val="1"/>
          <w:color w:val="auto"/>
        </w:rPr>
        <w:t>Release</w:t>
      </w:r>
      <w:r>
        <w:rPr>
          <w:rFonts w:ascii="Calibri" w:cs="Calibri" w:eastAsia="Calibri" w:hAnsi="Calibri"/>
          <w:sz w:val="20"/>
          <w:szCs w:val="20"/>
          <w:color w:val="auto"/>
        </w:rPr>
        <w:t>”) (as such form may be modifed to take into account changes in the law) within ffy (50) days following the terminaton date. Such Release shall specifcally relate to all of Executve’s rights and claims in existence at the tme of such executon and shall confrm Executve’s obligatons under the Proprietary Informaton and Inventons Agreement (as defned below). It is understood that Executve has a certain period to consider whether to execute such Release, as set forth in the Release, and Executve may revoke such Release within seven (7) business days afer executon. In the event Executve does not execute such Release within the applicable period, or if Executve revokes such Release within the subsequent seven (7) business day period, none of the aforesaid benefts set forth in Sectons 4.1(ii), 4.2, and the Change of Control acceleraton in any stock opton agreement shall be payable to Executve under this Agreement and this Agreement shall be null and void.</w:t>
      </w:r>
    </w:p>
    <w:p>
      <w:pPr>
        <w:spacing w:after="0" w:line="200" w:lineRule="exact"/>
        <w:rPr>
          <w:sz w:val="20"/>
          <w:szCs w:val="20"/>
          <w:color w:val="auto"/>
        </w:rPr>
      </w:pPr>
    </w:p>
    <w:p>
      <w:pPr>
        <w:spacing w:after="0" w:line="248"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0"/>
          <w:szCs w:val="20"/>
          <w:b w:val="1"/>
          <w:bCs w:val="1"/>
          <w:color w:val="auto"/>
        </w:rPr>
        <w:t xml:space="preserve">4.4Secton 409A. </w:t>
      </w:r>
      <w:r>
        <w:rPr>
          <w:rFonts w:ascii="Calibri" w:cs="Calibri" w:eastAsia="Calibri" w:hAnsi="Calibri"/>
          <w:sz w:val="20"/>
          <w:szCs w:val="20"/>
          <w:color w:val="auto"/>
        </w:rPr>
        <w:t>Notwithstanding any provision to the contrary in this Agreement, if Executve is deemed by the Company 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tme of the Separaton from Service to be a “specifed employee” for purposes of Secton 409A(a)(2)(B)(i) of the Code, to the extent delayed commencement of any porton of the benefts to which Executve is enttled under this Agreement is required in order to avoid a prohibited distributon under Secton 409A(a)(2)(B)(i) of the Code, such porton of Executve’s benefts shall not be provided to Executve prior to the earlier of (a) the expiraton of the six-month period measured from the date of Executve’s Separaton from Service or (b) the date of Executve’s death. Upon the frst business day following the expiraton of the applicable Code Secton 409A(a)(2)(B)(i) period, all payments deferred pursuant to this Secton 4.4 shall be paid in a lump sum to Executve (or Executve’s estate or benefciaries), and any remaining payments due under the Agreement shall be paid as otherwise provided herein. For purposes of Secton 409A of the Code, Executve’s right to receive the payments of compensaton pursuant to the Agreement shall be treated as a right to receive a series of separate payments and accordingly, each payment shall at all tmes be considered a separate and distnct payment.</w:t>
      </w:r>
    </w:p>
    <w:p>
      <w:pPr>
        <w:spacing w:after="0" w:line="225"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4.5Mitgaton. </w:t>
      </w:r>
      <w:r>
        <w:rPr>
          <w:rFonts w:ascii="Calibri" w:cs="Calibri" w:eastAsia="Calibri" w:hAnsi="Calibri"/>
          <w:sz w:val="20"/>
          <w:szCs w:val="20"/>
          <w:color w:val="auto"/>
        </w:rPr>
        <w:t>Executve shall not be required to mitgate damages or the amount of any payment provided under this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Agreement by seeking other employment or otherwise, nor shall the amount of any payment provided for under this Agreement be reduced by any compensaton earned by Executve as a result of employment by another employer or by any retrement benefts received by Executve afer the date of the Covered Terminaton, or otherwise.</w:t>
      </w:r>
    </w:p>
    <w:p>
      <w:pPr>
        <w:spacing w:after="0" w:line="227"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ARTICLE V</w:t>
      </w:r>
    </w:p>
    <w:p>
      <w:pPr>
        <w:jc w:val="center"/>
        <w:spacing w:after="0" w:line="232" w:lineRule="auto"/>
        <w:rPr>
          <w:sz w:val="20"/>
          <w:szCs w:val="20"/>
          <w:color w:val="auto"/>
        </w:rPr>
      </w:pPr>
      <w:r>
        <w:rPr>
          <w:rFonts w:ascii="Calibri" w:cs="Calibri" w:eastAsia="Calibri" w:hAnsi="Calibri"/>
          <w:sz w:val="20"/>
          <w:szCs w:val="20"/>
          <w:b w:val="1"/>
          <w:bCs w:val="1"/>
          <w:color w:val="auto"/>
        </w:rPr>
        <w:t>PROPRIETARY INFORMATION OBLIGATIONS</w:t>
      </w:r>
    </w:p>
    <w:p>
      <w:pPr>
        <w:spacing w:after="0" w:line="226" w:lineRule="exact"/>
        <w:rPr>
          <w:sz w:val="20"/>
          <w:szCs w:val="20"/>
          <w:color w:val="auto"/>
        </w:rPr>
      </w:pPr>
    </w:p>
    <w:p>
      <w:pPr>
        <w:jc w:val="both"/>
        <w:ind w:right="20" w:firstLine="749"/>
        <w:spacing w:after="0" w:line="255" w:lineRule="auto"/>
        <w:rPr>
          <w:sz w:val="20"/>
          <w:szCs w:val="20"/>
          <w:color w:val="auto"/>
        </w:rPr>
      </w:pPr>
      <w:r>
        <w:rPr>
          <w:rFonts w:ascii="Calibri" w:cs="Calibri" w:eastAsia="Calibri" w:hAnsi="Calibri"/>
          <w:sz w:val="20"/>
          <w:szCs w:val="20"/>
          <w:b w:val="1"/>
          <w:bCs w:val="1"/>
          <w:color w:val="auto"/>
        </w:rPr>
        <w:t xml:space="preserve">5.1Agreement. </w:t>
      </w:r>
      <w:r>
        <w:rPr>
          <w:rFonts w:ascii="Calibri" w:cs="Calibri" w:eastAsia="Calibri" w:hAnsi="Calibri"/>
          <w:sz w:val="20"/>
          <w:szCs w:val="20"/>
          <w:color w:val="auto"/>
        </w:rPr>
        <w:t>Executve agrees to abide by the Proprietary Informaton and Inventons Agreement (the “</w:t>
      </w:r>
      <w:r>
        <w:rPr>
          <w:rFonts w:ascii="Calibri" w:cs="Calibri" w:eastAsia="Calibri" w:hAnsi="Calibri"/>
          <w:sz w:val="20"/>
          <w:szCs w:val="20"/>
          <w:b w:val="1"/>
          <w:bCs w:val="1"/>
          <w:color w:val="auto"/>
        </w:rPr>
        <w:t>Proprietary Informaton and Inventons Agreement</w:t>
      </w:r>
      <w:r>
        <w:rPr>
          <w:rFonts w:ascii="Calibri" w:cs="Calibri" w:eastAsia="Calibri" w:hAnsi="Calibri"/>
          <w:sz w:val="20"/>
          <w:szCs w:val="20"/>
          <w:color w:val="auto"/>
        </w:rPr>
        <w:t>”) atached hereto as</w:t>
      </w:r>
      <w:r>
        <w:rPr>
          <w:rFonts w:ascii="Calibri" w:cs="Calibri" w:eastAsia="Calibri" w:hAnsi="Calibri"/>
          <w:sz w:val="20"/>
          <w:szCs w:val="20"/>
          <w:b w:val="1"/>
          <w:bCs w:val="1"/>
          <w:color w:val="auto"/>
        </w:rPr>
        <w:t xml:space="preserve"> </w:t>
      </w:r>
      <w:r>
        <w:rPr>
          <w:rFonts w:ascii="Calibri" w:cs="Calibri" w:eastAsia="Calibri" w:hAnsi="Calibri"/>
          <w:sz w:val="20"/>
          <w:szCs w:val="20"/>
          <w:u w:val="single" w:color="auto"/>
          <w:color w:val="auto"/>
        </w:rPr>
        <w:t>Exhibit D</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7" w:name="page88"/>
    <w:bookmarkEnd w:id="87"/>
    <w:p>
      <w:pPr>
        <w:jc w:val="both"/>
        <w:ind w:firstLine="749"/>
        <w:spacing w:after="0"/>
        <w:rPr>
          <w:sz w:val="20"/>
          <w:szCs w:val="20"/>
          <w:color w:val="auto"/>
        </w:rPr>
      </w:pPr>
      <w:r>
        <w:rPr>
          <w:rFonts w:ascii="Calibri" w:cs="Calibri" w:eastAsia="Calibri" w:hAnsi="Calibri"/>
          <w:sz w:val="20"/>
          <w:szCs w:val="20"/>
          <w:b w:val="1"/>
          <w:bCs w:val="1"/>
          <w:color w:val="auto"/>
        </w:rPr>
        <w:t xml:space="preserve">5.2Remedies. </w:t>
      </w:r>
      <w:r>
        <w:rPr>
          <w:rFonts w:ascii="Calibri" w:cs="Calibri" w:eastAsia="Calibri" w:hAnsi="Calibri"/>
          <w:sz w:val="20"/>
          <w:szCs w:val="20"/>
          <w:color w:val="auto"/>
        </w:rPr>
        <w:t>Executve’s dutes under the Proprietary Informaton and Inventons Agreement shall survive terminaton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Executve’s employment with the Company and the terminaton of this Agreement. Executve acknowledges that a remedy at law for any breach or threatened breach by Executve of the provisions of the Proprietary Informaton and Inventons Agreement would be inadequate, and Executve therefore agrees that the Company shall be enttled to injunctve relief in case of any such breach or threatened breach.</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ARTICLE VI</w:t>
      </w:r>
    </w:p>
    <w:p>
      <w:pPr>
        <w:jc w:val="center"/>
        <w:spacing w:after="0" w:line="234" w:lineRule="auto"/>
        <w:rPr>
          <w:sz w:val="20"/>
          <w:szCs w:val="20"/>
          <w:color w:val="auto"/>
        </w:rPr>
      </w:pPr>
      <w:r>
        <w:rPr>
          <w:rFonts w:ascii="Calibri" w:cs="Calibri" w:eastAsia="Calibri" w:hAnsi="Calibri"/>
          <w:sz w:val="20"/>
          <w:szCs w:val="20"/>
          <w:b w:val="1"/>
          <w:bCs w:val="1"/>
          <w:color w:val="auto"/>
        </w:rPr>
        <w:t>OUTSIDE ACTIVITIES</w:t>
      </w:r>
    </w:p>
    <w:p>
      <w:pPr>
        <w:spacing w:after="0" w:line="226"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6.1No Other Employment. </w:t>
      </w:r>
      <w:r>
        <w:rPr>
          <w:rFonts w:ascii="Calibri" w:cs="Calibri" w:eastAsia="Calibri" w:hAnsi="Calibri"/>
          <w:sz w:val="20"/>
          <w:szCs w:val="20"/>
          <w:color w:val="auto"/>
        </w:rPr>
        <w:t>Except with the prior writen consent of the Board, Executve shall not during the term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Executve’s employment with the Company, undertake or engage in any other employment, occupaton, or business enterprise. Notwithstanding the foregoing, during the term of Executve’s employment with the Company, Executve may (a) undertake or engage in any other employment, occupaton or business enterprise in which Executve is a passive investor, and/or (b) engage in civic and not-for-proft actvites, in each case, so long as such actvites do not materially interfere with the performance of Executve’s dutes hereunder.</w:t>
      </w:r>
    </w:p>
    <w:p>
      <w:pPr>
        <w:spacing w:after="0" w:line="226"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6.2No Confictng Business Interests. </w:t>
      </w:r>
      <w:r>
        <w:rPr>
          <w:rFonts w:ascii="Calibri" w:cs="Calibri" w:eastAsia="Calibri" w:hAnsi="Calibri"/>
          <w:sz w:val="20"/>
          <w:szCs w:val="20"/>
          <w:color w:val="auto"/>
        </w:rPr>
        <w:t>During the term of Executve’s employment by the Company, except on behalf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Company, Executve shall not directly or indirectly, whether as an ofcer, director, stockholder, partner, proprietor, associate, representatve, consultant, or in any capacity whatsoever engage in, become fnancially interested in, be employed by, or have any business connecton with any other person, corporaton, frm, partnership, or other entty whatsoever which were known by Executve to compete directly with the Company, throughout the world, in any line of business engaged in (or planned to be engaged in) by the Company;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that anything above to the contrary notwithstanding, Executve may own, as a passive investor, securites of any compettor corporaton, so long as Executve’s direct holdings in any one such corporaton shall not in the aggregate consttute more than 1% of the votng stock of such corporaton.</w:t>
      </w: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ARTICLE VII</w:t>
      </w:r>
    </w:p>
    <w:p>
      <w:pPr>
        <w:jc w:val="center"/>
        <w:spacing w:after="0" w:line="234" w:lineRule="auto"/>
        <w:rPr>
          <w:sz w:val="20"/>
          <w:szCs w:val="20"/>
          <w:color w:val="auto"/>
        </w:rPr>
      </w:pPr>
      <w:r>
        <w:rPr>
          <w:rFonts w:ascii="Calibri" w:cs="Calibri" w:eastAsia="Calibri" w:hAnsi="Calibri"/>
          <w:sz w:val="20"/>
          <w:szCs w:val="20"/>
          <w:b w:val="1"/>
          <w:bCs w:val="1"/>
          <w:color w:val="auto"/>
        </w:rPr>
        <w:t>NONINTERFERENCE</w:t>
      </w:r>
    </w:p>
    <w:p>
      <w:pPr>
        <w:spacing w:after="0" w:line="226"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color w:val="auto"/>
        </w:rPr>
        <w:t>While employed by the Company, and for one (1) year immediately following the date on which Executve terminates employment or otherwise ceases providing services to the Company, Executve agrees not to interfere with the business of the Company by solicitng or atemptng to solicit any employee of the Company to terminate such employee’s employment in order to become an employee, consultant, or independent contractor to or for any pharmaceutcal or biotechnology compettor of the Company. Executve’s dutes under this Artcle VII shall survive terminaton of Executve’s employment with the Company and the terminaton of this Agreement.</w:t>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b w:val="1"/>
          <w:bCs w:val="1"/>
          <w:color w:val="auto"/>
        </w:rPr>
        <w:t>ARTICLE VIII</w:t>
      </w:r>
    </w:p>
    <w:p>
      <w:pPr>
        <w:jc w:val="center"/>
        <w:spacing w:after="0" w:line="232" w:lineRule="auto"/>
        <w:rPr>
          <w:sz w:val="20"/>
          <w:szCs w:val="20"/>
          <w:color w:val="auto"/>
        </w:rPr>
      </w:pPr>
      <w:r>
        <w:rPr>
          <w:rFonts w:ascii="Calibri" w:cs="Calibri" w:eastAsia="Calibri" w:hAnsi="Calibri"/>
          <w:sz w:val="20"/>
          <w:szCs w:val="20"/>
          <w:b w:val="1"/>
          <w:bCs w:val="1"/>
          <w:color w:val="auto"/>
        </w:rPr>
        <w:t>DEBARMENT</w:t>
      </w:r>
    </w:p>
    <w:p>
      <w:pPr>
        <w:spacing w:after="0" w:line="253"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Executve certfes that Executve has never been: (a) debarred by any relevant authorites, pursuant to any applicable law, including, but not limited to, Secton 306(a) and (b) of the US Federal Food, Drug, and Cosmetc Act; (b) convicted of any of the felonies identfed among the Exclusion Authorites listed on the U.S. Department of Health and Human Services (HHS) Ofce of Inspector General website; or (c) listed as being suspended, debarred, or excluded, or otherwise ineligible to partcipate in Federal</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8" w:name="page89"/>
    <w:bookmarkEnd w:id="88"/>
    <w:p>
      <w:pPr>
        <w:jc w:val="both"/>
        <w:spacing w:after="0" w:line="236" w:lineRule="auto"/>
        <w:rPr>
          <w:sz w:val="20"/>
          <w:szCs w:val="20"/>
          <w:color w:val="auto"/>
        </w:rPr>
      </w:pPr>
      <w:r>
        <w:rPr>
          <w:rFonts w:ascii="Calibri" w:cs="Calibri" w:eastAsia="Calibri" w:hAnsi="Calibri"/>
          <w:sz w:val="20"/>
          <w:szCs w:val="20"/>
          <w:color w:val="auto"/>
        </w:rPr>
        <w:t>procurement or non-procurement programs, including, but not limited to, being listed on the List of Excluded Individuals/Enttes (LEIE) database on the HHS Ofce of Inspector General website. If Executve becomes suspended, debarred, or excluded pursuant to any of the foregoing, Executve must notfy the Company immediately in writng.</w:t>
      </w:r>
    </w:p>
    <w:p>
      <w:pPr>
        <w:spacing w:after="0" w:line="305"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b w:val="1"/>
          <w:bCs w:val="1"/>
          <w:color w:val="auto"/>
        </w:rPr>
        <w:t>ARTICLE IX</w:t>
      </w:r>
    </w:p>
    <w:p>
      <w:pPr>
        <w:jc w:val="center"/>
        <w:spacing w:after="0" w:line="232" w:lineRule="auto"/>
        <w:rPr>
          <w:sz w:val="20"/>
          <w:szCs w:val="20"/>
          <w:color w:val="auto"/>
        </w:rPr>
      </w:pPr>
      <w:r>
        <w:rPr>
          <w:rFonts w:ascii="Calibri" w:cs="Calibri" w:eastAsia="Calibri" w:hAnsi="Calibri"/>
          <w:sz w:val="20"/>
          <w:szCs w:val="20"/>
          <w:b w:val="1"/>
          <w:bCs w:val="1"/>
          <w:color w:val="auto"/>
        </w:rPr>
        <w:t>GENERAL PROVISIONS</w:t>
      </w:r>
    </w:p>
    <w:p>
      <w:pPr>
        <w:spacing w:after="0" w:line="253"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9.1Notces. </w:t>
      </w:r>
      <w:r>
        <w:rPr>
          <w:rFonts w:ascii="Calibri" w:cs="Calibri" w:eastAsia="Calibri" w:hAnsi="Calibri"/>
          <w:sz w:val="20"/>
          <w:szCs w:val="20"/>
          <w:color w:val="auto"/>
        </w:rPr>
        <w:t>Any notces provided hereunder must be in writng and shall be deemed efectve upon the earlier of personal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delivery (including personal delivery by telex) or the third day afer mailing by frst class mail, to the Company at its primary ofce locaton and to Executve at Executve’s address as listed on the Company payroll.</w:t>
      </w:r>
    </w:p>
    <w:p>
      <w:pPr>
        <w:spacing w:after="0" w:line="225"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b w:val="1"/>
          <w:bCs w:val="1"/>
          <w:color w:val="auto"/>
        </w:rPr>
        <w:t xml:space="preserve">9.2Secton 409A. </w:t>
      </w:r>
      <w:r>
        <w:rPr>
          <w:rFonts w:ascii="Calibri" w:cs="Calibri" w:eastAsia="Calibri" w:hAnsi="Calibri"/>
          <w:sz w:val="20"/>
          <w:szCs w:val="20"/>
          <w:color w:val="auto"/>
        </w:rPr>
        <w:t>To the extend applicable, this Agreement shall be interpreted in accordance with Secton 409A of the Code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Department of Treasury regulatons and other interpretatve guidance issued thereunder, including without limitaton any such regulatons or other such guidance that may be issued afer the Efectve Date (“</w:t>
      </w:r>
      <w:r>
        <w:rPr>
          <w:rFonts w:ascii="Calibri" w:cs="Calibri" w:eastAsia="Calibri" w:hAnsi="Calibri"/>
          <w:sz w:val="20"/>
          <w:szCs w:val="20"/>
          <w:b w:val="1"/>
          <w:bCs w:val="1"/>
          <w:color w:val="auto"/>
        </w:rPr>
        <w:t>Secton 409A</w:t>
      </w:r>
      <w:r>
        <w:rPr>
          <w:rFonts w:ascii="Calibri" w:cs="Calibri" w:eastAsia="Calibri" w:hAnsi="Calibri"/>
          <w:sz w:val="20"/>
          <w:szCs w:val="20"/>
          <w:color w:val="auto"/>
        </w:rPr>
        <w:t>”). Notwithstanding any provision of this Agreement to the contrary, in the event that following the Efectve Date, the Company determines in good faith that any compensaton or benefts payable under this Agreement may not be either exempt from or compliant with Secton 409A, the Company may adopt such amendments to this Agreement or adopt other policies or procedures (including amendments, policies and procedures with retroactve efect), or take any other commercially reasonable actons necessary or appropriate to preserve the intended tax treatment of the compensaton and benefts payable hereunder, including without limitaton actons intended to (i) exempt the compensaton and benefts payable under this Agreement from Secton 409A, and/or (ii) comply with the requirements of Secton 409A, provided, that this Secton 8.2 does not, and shall not be construed so as to, create any obligaton on the part of the Company to adopt any such amendments, policies or procedures or to take any other such actons or to create any liability on the part of the Company for any failure to do so.</w:t>
      </w:r>
    </w:p>
    <w:p>
      <w:pPr>
        <w:spacing w:after="0" w:line="200" w:lineRule="exact"/>
        <w:rPr>
          <w:sz w:val="20"/>
          <w:szCs w:val="20"/>
          <w:color w:val="auto"/>
        </w:rPr>
      </w:pPr>
    </w:p>
    <w:p>
      <w:pPr>
        <w:spacing w:after="0" w:line="247"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9.3Severability. </w:t>
      </w:r>
      <w:r>
        <w:rPr>
          <w:rFonts w:ascii="Calibri" w:cs="Calibri" w:eastAsia="Calibri" w:hAnsi="Calibri"/>
          <w:sz w:val="20"/>
          <w:szCs w:val="20"/>
          <w:color w:val="auto"/>
        </w:rPr>
        <w:t>Whenever possible, each provision of this Agreement will be interpreted in such manner as to be efectve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valid under applicable law, but if any provision of this Agreement is held to be invalid, illegal, or unenforceable in any respect under any applicable law or rule in any jurisdicton, such invalidity, illegality, or unenforceability will not afect any other provision or any other jurisdicton, but this Agreement will be reformed, construed, and enforced in such jurisdicton as if such invalid, illegal, or unenforceable provisions had never been contained herein.</w:t>
      </w:r>
    </w:p>
    <w:p>
      <w:pPr>
        <w:spacing w:after="0" w:line="226"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b w:val="1"/>
          <w:bCs w:val="1"/>
          <w:color w:val="auto"/>
        </w:rPr>
        <w:t xml:space="preserve">9.4Waiver. </w:t>
      </w:r>
      <w:r>
        <w:rPr>
          <w:rFonts w:ascii="Calibri" w:cs="Calibri" w:eastAsia="Calibri" w:hAnsi="Calibri"/>
          <w:sz w:val="20"/>
          <w:szCs w:val="20"/>
          <w:color w:val="auto"/>
        </w:rPr>
        <w:t>If either party should waive any breach of any provisions of this Agreement, they shall not thereby be deemed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have waived any preceding or succeeding breach of the same or any other provision of this Agreement.</w:t>
      </w:r>
    </w:p>
    <w:p>
      <w:pPr>
        <w:spacing w:after="0" w:line="226"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9.5Complete Agreement. </w:t>
      </w:r>
      <w:r>
        <w:rPr>
          <w:rFonts w:ascii="Calibri" w:cs="Calibri" w:eastAsia="Calibri" w:hAnsi="Calibri"/>
          <w:sz w:val="20"/>
          <w:szCs w:val="20"/>
          <w:color w:val="auto"/>
        </w:rPr>
        <w:t>This Agreement and Exhibits A, B, C and D hereto consttute the entre agreement between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 and the Company and are the complete, fnal, and exclusive embodiment of their agreement with regard to this subject mater (except for the Equity Incentve Plan and the Inducement Plan and award agreements thereunder, the Amended and Restated Severance Plan, and any successors thereto). As of the Efectve Date, this Agreement supersedes any prior agreement between Executve and the Company or any predecessor employer in its entrety. Executve and the Company acknowledge and agree that this Agreement is entered into without reliance on any promise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9" w:name="page90"/>
    <w:bookmarkEnd w:id="89"/>
    <w:p>
      <w:pPr>
        <w:jc w:val="both"/>
        <w:spacing w:after="0" w:line="234" w:lineRule="auto"/>
        <w:rPr>
          <w:sz w:val="20"/>
          <w:szCs w:val="20"/>
          <w:color w:val="auto"/>
        </w:rPr>
      </w:pPr>
      <w:r>
        <w:rPr>
          <w:rFonts w:ascii="Calibri" w:cs="Calibri" w:eastAsia="Calibri" w:hAnsi="Calibri"/>
          <w:sz w:val="20"/>
          <w:szCs w:val="20"/>
          <w:color w:val="auto"/>
        </w:rPr>
        <w:t>representaton other than those expressly contained herein or therein and cannot be modifed or amended except in a writng signed by a duly authorized ofcer of the Company.</w:t>
      </w:r>
    </w:p>
    <w:p>
      <w:pPr>
        <w:spacing w:after="0" w:line="226"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9.6 Counterparts and Electronic Signatures. </w:t>
      </w:r>
      <w:r>
        <w:rPr>
          <w:rFonts w:ascii="Calibri" w:cs="Calibri" w:eastAsia="Calibri" w:hAnsi="Calibri"/>
          <w:sz w:val="20"/>
          <w:szCs w:val="20"/>
          <w:color w:val="auto"/>
        </w:rPr>
        <w:t>This Agreement may be executed in separate counterparts, any one of which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need not contain signatures of more than one party, but all of which taken together will consttute one and the same Agreement. The partes agree that executon of this Agreement by industry standard electronic signature sofware and/or by exchanging PDF signatures shall have the same legal force and efect as the exchange of original signatures, and that in any proceeding arising under or relatng to this Agreement, each party hereby waives any right to raise any defense or waiver based upon executon of this Agreement by means of such electronic signatures or maintenance of the executed agreement electronically.</w:t>
      </w:r>
    </w:p>
    <w:p>
      <w:pPr>
        <w:spacing w:after="0" w:line="255"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b w:val="1"/>
          <w:bCs w:val="1"/>
          <w:color w:val="auto"/>
        </w:rPr>
        <w:t xml:space="preserve">9.6 Headings. </w:t>
      </w:r>
      <w:r>
        <w:rPr>
          <w:rFonts w:ascii="Calibri" w:cs="Calibri" w:eastAsia="Calibri" w:hAnsi="Calibri"/>
          <w:sz w:val="20"/>
          <w:szCs w:val="20"/>
          <w:color w:val="auto"/>
        </w:rPr>
        <w:t>The headings of the sectons hereof are inserted for convenience only and shall not be deemed to consttute a</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part hereof nor to afect the meaning thereof.</w:t>
      </w:r>
    </w:p>
    <w:p>
      <w:pPr>
        <w:spacing w:after="0" w:line="226"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9.7Successors and Assigns. </w:t>
      </w:r>
      <w:r>
        <w:rPr>
          <w:rFonts w:ascii="Calibri" w:cs="Calibri" w:eastAsia="Calibri" w:hAnsi="Calibri"/>
          <w:sz w:val="20"/>
          <w:szCs w:val="20"/>
          <w:color w:val="auto"/>
        </w:rPr>
        <w:t>This Agreement is intended to bind and inure to the beneft of and be enforceable by Executve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the Company, and their respectve successors, assigns, heirs, executors, and administrators, except that Executve may not assign any of Executve’s dutes hereunder and Executve may not assign any of Executve’s rights hereunder, without the writen consent of the Company, which shall not be withheld unreasonably.</w:t>
      </w:r>
    </w:p>
    <w:p>
      <w:pPr>
        <w:spacing w:after="0" w:line="228"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9.8Arbitraton. </w:t>
      </w:r>
      <w:r>
        <w:rPr>
          <w:rFonts w:ascii="Calibri" w:cs="Calibri" w:eastAsia="Calibri" w:hAnsi="Calibri"/>
          <w:sz w:val="20"/>
          <w:szCs w:val="20"/>
          <w:color w:val="auto"/>
        </w:rPr>
        <w:t>In the event of any contractual, statutory or tort dispute or claim relatng to or arising out of Executve’s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employment relatonship with the Company (including but not limited to any claims of wrongful terminaton or age, sex, race, or other discriminaton, but not including workers’ compensaton claims), Executve and the Company agree that all such disputes will be fnally resolved by binding arbitraton conducted by a single neutral arbitrator associated with the American Arbitraton Associaton in Foster City, California. Executve and the Company hereby waive their respectve rights to have any such disputes or claims tried to a judge or jury. However, the Company agrees that this arbitraton provision will not apply to any claim, by either Executve or the Company, for injunctve relief. The administratve costs of any arbitraton proceeding between Executve and the Company and the fees and costs of the arbitrator shall be borne by the Company.</w:t>
      </w:r>
    </w:p>
    <w:p>
      <w:pPr>
        <w:spacing w:after="0" w:line="231" w:lineRule="exact"/>
        <w:rPr>
          <w:sz w:val="20"/>
          <w:szCs w:val="20"/>
          <w:color w:val="auto"/>
        </w:rPr>
      </w:pPr>
    </w:p>
    <w:p>
      <w:pPr>
        <w:jc w:val="both"/>
        <w:ind w:right="20" w:firstLine="749"/>
        <w:spacing w:after="0" w:line="234" w:lineRule="auto"/>
        <w:rPr>
          <w:sz w:val="20"/>
          <w:szCs w:val="20"/>
          <w:color w:val="auto"/>
        </w:rPr>
      </w:pPr>
      <w:r>
        <w:rPr>
          <w:rFonts w:ascii="Calibri" w:cs="Calibri" w:eastAsia="Calibri" w:hAnsi="Calibri"/>
          <w:sz w:val="20"/>
          <w:szCs w:val="20"/>
          <w:b w:val="1"/>
          <w:bCs w:val="1"/>
          <w:color w:val="auto"/>
        </w:rPr>
        <w:t>9.9Atorneys’ Fees</w:t>
      </w:r>
      <w:r>
        <w:rPr>
          <w:rFonts w:ascii="Calibri" w:cs="Calibri" w:eastAsia="Calibri" w:hAnsi="Calibri"/>
          <w:sz w:val="20"/>
          <w:szCs w:val="20"/>
          <w:color w:val="auto"/>
        </w:rPr>
        <w:t>. If either party hereto brings any acton to enforce rights hereunder, each party in any such acton shall be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responsible for its own atorneys’ fees and costs incurred in connecton with such acton.</w:t>
      </w:r>
    </w:p>
    <w:p>
      <w:pPr>
        <w:spacing w:after="0" w:line="226"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9.10Acknowledgement</w:t>
      </w:r>
      <w:r>
        <w:rPr>
          <w:rFonts w:ascii="Calibri" w:cs="Calibri" w:eastAsia="Calibri" w:hAnsi="Calibri"/>
          <w:sz w:val="20"/>
          <w:szCs w:val="20"/>
          <w:color w:val="auto"/>
        </w:rPr>
        <w:t>. Executve acknowledges that Executve (a) has had the opportunity to discuss this mater with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obtain advice from independent counsel of Executve’s own choice and has been advised to do so by the Company, (b) has carefully read and fully understands all the provisions of this Agreement, and (c) is knowingly and voluntarily entering into this Agreement. Executve represents that Executve (i) is familiar with the restrictve covenants set forth in the Proprietary Informaton and Inventons Agreement and (ii) is fully aware of Executve’s obligatons thereunder.</w:t>
      </w:r>
    </w:p>
    <w:p>
      <w:pPr>
        <w:spacing w:after="0" w:line="226"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b w:val="1"/>
          <w:bCs w:val="1"/>
          <w:color w:val="auto"/>
        </w:rPr>
        <w:t xml:space="preserve">9.11Choice of Law. </w:t>
      </w:r>
      <w:r>
        <w:rPr>
          <w:rFonts w:ascii="Calibri" w:cs="Calibri" w:eastAsia="Calibri" w:hAnsi="Calibri"/>
          <w:sz w:val="20"/>
          <w:szCs w:val="20"/>
          <w:color w:val="auto"/>
        </w:rPr>
        <w:t>All questons concerning the constructon, validity and interpretaton of this Agreement will be governed by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law of the State of California.</w:t>
      </w:r>
    </w:p>
    <w:p>
      <w:pPr>
        <w:spacing w:after="0" w:line="226"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9.12Personal Informaton</w:t>
      </w:r>
      <w:r>
        <w:rPr>
          <w:rFonts w:ascii="Calibri" w:cs="Calibri" w:eastAsia="Calibri" w:hAnsi="Calibri"/>
          <w:sz w:val="20"/>
          <w:szCs w:val="20"/>
          <w:color w:val="auto"/>
        </w:rPr>
        <w:t>. Executve understands that the Company may hold certain personal informaton about him or her,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including, but not limited to, your name, home address, telephone number, date of birth, social security number, salary, natonality, and job ttle (collectvely, “</w:t>
      </w:r>
      <w:r>
        <w:rPr>
          <w:rFonts w:ascii="Calibri" w:cs="Calibri" w:eastAsia="Calibri" w:hAnsi="Calibri"/>
          <w:sz w:val="20"/>
          <w:szCs w:val="20"/>
          <w:b w:val="1"/>
          <w:bCs w:val="1"/>
          <w:color w:val="auto"/>
        </w:rPr>
        <w:t>Personal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0" w:name="page91"/>
    <w:bookmarkEnd w:id="90"/>
    <w:p>
      <w:pPr>
        <w:jc w:val="both"/>
        <w:spacing w:after="0" w:line="237" w:lineRule="auto"/>
        <w:rPr>
          <w:sz w:val="20"/>
          <w:szCs w:val="20"/>
          <w:color w:val="auto"/>
        </w:rPr>
      </w:pPr>
      <w:r>
        <w:rPr>
          <w:rFonts w:ascii="Calibri" w:cs="Calibri" w:eastAsia="Calibri" w:hAnsi="Calibri"/>
          <w:sz w:val="20"/>
          <w:szCs w:val="20"/>
          <w:b w:val="1"/>
          <w:bCs w:val="1"/>
          <w:color w:val="auto"/>
        </w:rPr>
        <w:t>Data</w:t>
      </w:r>
      <w:r>
        <w:rPr>
          <w:rFonts w:ascii="Calibri" w:cs="Calibri" w:eastAsia="Calibri" w:hAnsi="Calibri"/>
          <w:sz w:val="20"/>
          <w:szCs w:val="20"/>
          <w:color w:val="auto"/>
        </w:rPr>
        <w:t>”). Certain Personal Data may also consttute “Sensitve Personal Data” within the meaning of applicable local law. Such data</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include, but are not limited to, Personal Data and any changes thereto, and other appropriate personal and fnancial data about you. The Company’s lawful basis for processing Personal Data and Sensitve Personal Data include fulflling its role as an employer, compliance with law, and legitmate business interest. Executve hereby provides express consent to the Company to process such Personal Data and Sensitve Personal Data and to transfer any such Personal Data and Sensitve Personal Data to any third partes outside the country in which you are employed or retained, for purposes of administratng and managing your employment relatonship with the Company. Executve may, at any tme, review his or her Personal Data, request any necessary correctons to it, or withdraw his or her consent in writng by contactng the Company; however, withdrawal of your consent may afect your employment with the Company.</w:t>
      </w:r>
    </w:p>
    <w:p>
      <w:pPr>
        <w:spacing w:after="0" w:line="231"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9.13Eligibility to Work</w:t>
      </w:r>
      <w:r>
        <w:rPr>
          <w:rFonts w:ascii="Calibri" w:cs="Calibri" w:eastAsia="Calibri" w:hAnsi="Calibri"/>
          <w:sz w:val="20"/>
          <w:szCs w:val="20"/>
          <w:color w:val="auto"/>
        </w:rPr>
        <w:t>. In accordance with federal law, all new employees are required to present evidence of their eligibility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 be employed in the United States and this Agreement is subject to proof of Executve’s ability to lawfully work in the United States. Accordingly, the Company requests that Executve provide the Company with appropriate documentaton for this purpose within 72 hours of the frst day of employment. Acceptable documents include, but are not limited to, a birth certfcate, a passport, a visa, permanent residence card, or driver’s license and social security card.</w:t>
      </w:r>
    </w:p>
    <w:p>
      <w:pPr>
        <w:spacing w:after="0" w:line="253"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9.14Pre-Employment Screenings as a Conditon of Employment</w:t>
      </w:r>
      <w:r>
        <w:rPr>
          <w:rFonts w:ascii="Calibri" w:cs="Calibri" w:eastAsia="Calibri" w:hAnsi="Calibri"/>
          <w:sz w:val="20"/>
          <w:szCs w:val="20"/>
          <w:color w:val="auto"/>
        </w:rPr>
        <w:t>. As a conditon of employment, Executve will be required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submit to a background check which must yield results considered acceptable to the Company. Standard screenings include verifcaton of prior employment and educaton, a drug test, and a criminal history check. Additonal screenings, such as a credit check or Department of Motor Vehicles record check, may be applicable based on job functon. Further, the Company will require the receipt of professional references that are predominately positve in content and character. If the results of any of these screenings are determined by the Company to be noncompliant with its policies, procedures, or general business requirements, the Company reserves the right to unilaterally revoke this Agreement, with no obligaton or liability to you.</w:t>
      </w:r>
    </w:p>
    <w:p>
      <w:pPr>
        <w:spacing w:after="0" w:line="220"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In Witness Whereof</w:t>
      </w:r>
      <w:r>
        <w:rPr>
          <w:rFonts w:ascii="Calibri" w:cs="Calibri" w:eastAsia="Calibri" w:hAnsi="Calibri"/>
          <w:sz w:val="20"/>
          <w:szCs w:val="20"/>
          <w:color w:val="auto"/>
        </w:rPr>
        <w:t>, the partes have executed this Agreement on the respectve dates set forth below:</w:t>
      </w:r>
    </w:p>
    <w:p>
      <w:pPr>
        <w:spacing w:after="0" w:line="215" w:lineRule="exact"/>
        <w:rPr>
          <w:sz w:val="20"/>
          <w:szCs w:val="20"/>
          <w:color w:val="auto"/>
        </w:rPr>
      </w:pPr>
    </w:p>
    <w:p>
      <w:pPr>
        <w:jc w:val="center"/>
        <w:ind w:right="340"/>
        <w:spacing w:after="0"/>
        <w:rPr>
          <w:sz w:val="20"/>
          <w:szCs w:val="20"/>
          <w:color w:val="auto"/>
        </w:rPr>
      </w:pPr>
      <w:r>
        <w:rPr>
          <w:rFonts w:ascii="Calibri" w:cs="Calibri" w:eastAsia="Calibri" w:hAnsi="Calibri"/>
          <w:sz w:val="20"/>
          <w:szCs w:val="20"/>
          <w:b w:val="1"/>
          <w:bCs w:val="1"/>
          <w:color w:val="auto"/>
        </w:rPr>
        <w:t>GERON CORPORATION</w:t>
      </w:r>
    </w:p>
    <w:p>
      <w:pPr>
        <w:spacing w:after="0" w:line="200" w:lineRule="exact"/>
        <w:rPr>
          <w:sz w:val="20"/>
          <w:szCs w:val="20"/>
          <w:color w:val="auto"/>
        </w:rPr>
      </w:pPr>
    </w:p>
    <w:p>
      <w:pPr>
        <w:spacing w:after="0" w:line="285" w:lineRule="exact"/>
        <w:rPr>
          <w:sz w:val="20"/>
          <w:szCs w:val="20"/>
          <w:color w:val="auto"/>
        </w:rPr>
      </w:pPr>
    </w:p>
    <w:p>
      <w:pPr>
        <w:ind w:left="4500"/>
        <w:spacing w:after="0"/>
        <w:tabs>
          <w:tab w:leader="none" w:pos="4960" w:val="left"/>
        </w:tabs>
        <w:rPr>
          <w:sz w:val="20"/>
          <w:szCs w:val="20"/>
          <w:color w:val="auto"/>
        </w:rPr>
      </w:pPr>
      <w:r>
        <w:rPr>
          <w:rFonts w:ascii="Calibri" w:cs="Calibri" w:eastAsia="Calibri" w:hAnsi="Calibri"/>
          <w:sz w:val="20"/>
          <w:szCs w:val="20"/>
          <w:color w:val="auto"/>
        </w:rPr>
        <w:t>By:</w:t>
        <w:tab/>
        <w:t>/s/ John A. Scarlet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-21590</wp:posOffset>
            </wp:positionV>
            <wp:extent cx="11468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ind w:left="4860"/>
        <w:spacing w:after="0" w:line="238" w:lineRule="auto"/>
        <w:rPr>
          <w:sz w:val="20"/>
          <w:szCs w:val="20"/>
          <w:color w:val="auto"/>
        </w:rPr>
      </w:pPr>
      <w:r>
        <w:rPr>
          <w:rFonts w:ascii="Calibri" w:cs="Calibri" w:eastAsia="Calibri" w:hAnsi="Calibri"/>
          <w:sz w:val="20"/>
          <w:szCs w:val="20"/>
          <w:color w:val="auto"/>
        </w:rPr>
        <w:t>John A. Scarlet, MD</w:t>
      </w:r>
    </w:p>
    <w:p>
      <w:pPr>
        <w:ind w:left="4860"/>
        <w:spacing w:after="0"/>
        <w:rPr>
          <w:sz w:val="20"/>
          <w:szCs w:val="20"/>
          <w:color w:val="auto"/>
        </w:rPr>
      </w:pPr>
      <w:r>
        <w:rPr>
          <w:rFonts w:ascii="Calibri" w:cs="Calibri" w:eastAsia="Calibri" w:hAnsi="Calibri"/>
          <w:sz w:val="20"/>
          <w:szCs w:val="20"/>
          <w:color w:val="auto"/>
        </w:rPr>
        <w:t>Chairman of the Board, President &amp; CEO</w:t>
      </w:r>
    </w:p>
    <w:p>
      <w:pPr>
        <w:spacing w:after="0" w:line="242" w:lineRule="exact"/>
        <w:rPr>
          <w:sz w:val="20"/>
          <w:szCs w:val="20"/>
          <w:color w:val="auto"/>
        </w:rPr>
      </w:pPr>
    </w:p>
    <w:p>
      <w:pPr>
        <w:ind w:left="4500"/>
        <w:spacing w:after="0"/>
        <w:tabs>
          <w:tab w:leader="none" w:pos="5360" w:val="left"/>
        </w:tabs>
        <w:rPr>
          <w:sz w:val="20"/>
          <w:szCs w:val="20"/>
          <w:color w:val="auto"/>
        </w:rPr>
      </w:pPr>
      <w:r>
        <w:rPr>
          <w:rFonts w:ascii="Calibri" w:cs="Calibri" w:eastAsia="Calibri" w:hAnsi="Calibri"/>
          <w:sz w:val="20"/>
          <w:szCs w:val="20"/>
          <w:color w:val="auto"/>
        </w:rPr>
        <w:t>Date:</w:t>
      </w:r>
      <w:r>
        <w:rPr>
          <w:sz w:val="20"/>
          <w:szCs w:val="20"/>
          <w:color w:val="auto"/>
        </w:rPr>
        <w:tab/>
      </w:r>
      <w:r>
        <w:rPr>
          <w:rFonts w:ascii="Calibri" w:cs="Calibri" w:eastAsia="Calibri" w:hAnsi="Calibri"/>
          <w:sz w:val="20"/>
          <w:szCs w:val="20"/>
          <w:color w:val="auto"/>
        </w:rPr>
        <w:t>_</w:t>
      </w:r>
      <w:r>
        <w:rPr>
          <w:rFonts w:ascii="Calibri" w:cs="Calibri" w:eastAsia="Calibri" w:hAnsi="Calibri"/>
          <w:sz w:val="20"/>
          <w:szCs w:val="20"/>
          <w:u w:val="single" w:color="auto"/>
          <w:color w:val="auto"/>
        </w:rPr>
        <w:t>08-Aug-2024</w:t>
      </w:r>
      <w:r>
        <w:rPr>
          <w:rFonts w:ascii="Calibri" w:cs="Calibri" w:eastAsia="Calibri" w:hAnsi="Calibri"/>
          <w:sz w:val="20"/>
          <w:szCs w:val="20"/>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-20955</wp:posOffset>
            </wp:positionV>
            <wp:extent cx="584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alibri" w:cs="Calibri" w:eastAsia="Calibri" w:hAnsi="Calibri"/>
          <w:sz w:val="20"/>
          <w:szCs w:val="20"/>
          <w:color w:val="auto"/>
        </w:rPr>
        <w:t>Accepted and agreed this __</w:t>
      </w:r>
      <w:r>
        <w:rPr>
          <w:rFonts w:ascii="Calibri" w:cs="Calibri" w:eastAsia="Calibri" w:hAnsi="Calibri"/>
          <w:sz w:val="20"/>
          <w:szCs w:val="20"/>
          <w:u w:val="single" w:color="auto"/>
          <w:color w:val="auto"/>
        </w:rPr>
        <w:t>9</w:t>
      </w:r>
      <w:r>
        <w:rPr>
          <w:rFonts w:ascii="Calibri" w:cs="Calibri" w:eastAsia="Calibri" w:hAnsi="Calibri"/>
          <w:sz w:val="20"/>
          <w:szCs w:val="20"/>
          <w:color w:val="auto"/>
        </w:rPr>
        <w:t>___ day of ___</w:t>
      </w:r>
      <w:r>
        <w:rPr>
          <w:rFonts w:ascii="Calibri" w:cs="Calibri" w:eastAsia="Calibri" w:hAnsi="Calibri"/>
          <w:sz w:val="20"/>
          <w:szCs w:val="20"/>
          <w:u w:val="single" w:color="auto"/>
          <w:color w:val="auto"/>
        </w:rPr>
        <w:t>August_</w:t>
      </w:r>
      <w:r>
        <w:rPr>
          <w:rFonts w:ascii="Calibri" w:cs="Calibri" w:eastAsia="Calibri" w:hAnsi="Calibri"/>
          <w:sz w:val="20"/>
          <w:szCs w:val="20"/>
          <w:color w:val="auto"/>
        </w:rPr>
        <w:t>_______, 2024.</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color w:val="auto"/>
        </w:rPr>
        <w:t>/s/ James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626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62685" cy="8255"/>
                    </a:xfrm>
                    <a:prstGeom prst="rect">
                      <a:avLst/>
                    </a:prstGeom>
                    <a:noFill/>
                  </pic:spPr>
                </pic:pic>
              </a:graphicData>
            </a:graphic>
          </wp:anchor>
        </w:drawing>
      </w:r>
    </w:p>
    <w:p>
      <w:pPr>
        <w:spacing w:after="0" w:line="238" w:lineRule="auto"/>
        <w:rPr>
          <w:sz w:val="20"/>
          <w:szCs w:val="20"/>
          <w:color w:val="auto"/>
        </w:rPr>
      </w:pPr>
      <w:r>
        <w:rPr>
          <w:rFonts w:ascii="Calibri" w:cs="Calibri" w:eastAsia="Calibri" w:hAnsi="Calibri"/>
          <w:sz w:val="20"/>
          <w:szCs w:val="20"/>
          <w:color w:val="auto"/>
        </w:rPr>
        <w:t>James Ziegler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Scarlett, M.D., certify that:</w:t>
      </w:r>
    </w:p>
    <w:p>
      <w:pPr>
        <w:spacing w:after="0" w:line="117"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Geron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A.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14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A. SCARLETT, M.D.</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Robertson, certify that:</w:t>
      </w:r>
    </w:p>
    <w:p>
      <w:pPr>
        <w:spacing w:after="0" w:line="117"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Geron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147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Finance,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54" w:lineRule="exact"/>
        <w:rPr>
          <w:sz w:val="20"/>
          <w:szCs w:val="20"/>
          <w:color w:val="auto"/>
        </w:rPr>
      </w:pPr>
    </w:p>
    <w:p>
      <w:pPr>
        <w:ind w:left="1020" w:right="26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September 30, 2024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Dated: November 7, 2024</w:t>
      </w:r>
      <w:r>
        <w:rPr>
          <w:sz w:val="20"/>
          <w:szCs w:val="20"/>
          <w:color w:val="auto"/>
        </w:rPr>
        <w:tab/>
      </w:r>
      <w:r>
        <w:rPr>
          <w:rFonts w:ascii="Times New Roman" w:cs="Times New Roman" w:eastAsia="Times New Roman" w:hAnsi="Times New Roman"/>
          <w:sz w:val="18"/>
          <w:szCs w:val="18"/>
          <w:color w:val="auto"/>
        </w:rPr>
        <w:t>/s/ JOHN A.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JOHN A. SCARLETT, M.D.</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8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54" w:lineRule="exact"/>
        <w:rPr>
          <w:sz w:val="20"/>
          <w:szCs w:val="20"/>
          <w:color w:val="auto"/>
        </w:rPr>
      </w:pPr>
    </w:p>
    <w:p>
      <w:pPr>
        <w:ind w:left="1020" w:right="26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September 30, 2024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Dated: November 7, 2024</w:t>
      </w:r>
      <w:r>
        <w:rPr>
          <w:sz w:val="20"/>
          <w:szCs w:val="20"/>
          <w:color w:val="auto"/>
        </w:rPr>
        <w:tab/>
      </w:r>
      <w:r>
        <w:rPr>
          <w:rFonts w:ascii="Times New Roman" w:cs="Times New Roman" w:eastAsia="Times New Roman" w:hAnsi="Times New Roman"/>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Executive Vice President, Finance, Chief Financial Officer and</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Treasurer</w:t>
      </w:r>
    </w:p>
    <w:p>
      <w:pPr>
        <w:spacing w:after="0" w:line="26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1."/>
      <w:numFmt w:val="decimal"/>
      <w:start w:val="3"/>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1)"/>
      <w:numFmt w:val="upperLetter"/>
      <w:start w:val="2"/>
    </w:lvl>
  </w:abstractNum>
  <w:abstractNum w:abstractNumId="7">
    <w:nsid w:val="7A6D8D3C"/>
    <w:multiLevelType w:val="hybridMultilevel"/>
    <w:lvl w:ilvl="0">
      <w:lvlJc w:val="left"/>
      <w:lvlText w:val="%1."/>
      <w:numFmt w:val="decimal"/>
      <w:start w:val="7"/>
    </w:lvl>
  </w:abstractNum>
  <w:abstractNum w:abstractNumId="8">
    <w:nsid w:val="4B588F54"/>
    <w:multiLevelType w:val="hybridMultilevel"/>
    <w:lvl w:ilvl="0">
      <w:lvlJc w:val="left"/>
      <w:lvlText w:val="%1."/>
      <w:numFmt w:val="decimal"/>
      <w:start w:val="8"/>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9"/>
    </w:lvl>
  </w:abstractNum>
  <w:abstractNum w:abstractNumId="12">
    <w:nsid w:val="7644A45C"/>
    <w:multiLevelType w:val="hybridMultilevel"/>
    <w:lvl w:ilvl="0">
      <w:lvlJc w:val="left"/>
      <w:lvlText w:val="(%1)"/>
      <w:numFmt w:val="lowerRoman"/>
      <w:start w:val="2"/>
    </w:lvl>
  </w:abstractNum>
  <w:abstractNum w:abstractNumId="13">
    <w:nsid w:val="32FFF902"/>
    <w:multiLevelType w:val="hybridMultilevel"/>
    <w:lvl w:ilvl="0">
      <w:lvlJc w:val="left"/>
      <w:lvlText w:val="(%1)"/>
      <w:numFmt w:val="lowerRoman"/>
      <w:start w:val="2"/>
    </w:lvl>
  </w:abstractNum>
  <w:abstractNum w:abstractNumId="14">
    <w:nsid w:val="684A481A"/>
    <w:multiLevelType w:val="hybridMultilevel"/>
    <w:lvl w:ilvl="0">
      <w:lvlJc w:val="left"/>
      <w:lvlText w:val="(%1)"/>
      <w:numFmt w:val="lowerRoman"/>
      <w:start w:val="4"/>
    </w:lvl>
  </w:abstractNum>
  <w:abstractNum w:abstractNumId="15">
    <w:nsid w:val="579478FE"/>
    <w:multiLevelType w:val="hybridMultilevel"/>
    <w:lvl w:ilvl="0">
      <w:lvlJc w:val="left"/>
      <w:lvlText w:val="(%1)"/>
      <w:numFmt w:val="lowerRoman"/>
      <w:start w:val="9"/>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1"/>
      <w:numFmt w:val="bullet"/>
      <w:start w:val="1"/>
    </w:lvl>
  </w:abstractNum>
  <w:abstractNum w:abstractNumId="69">
    <w:nsid w:val="BF72B14"/>
    <w:multiLevelType w:val="hybridMultilevel"/>
    <w:lvl w:ilvl="0">
      <w:lvlJc w:val="left"/>
      <w:lvlText w:val="2"/>
      <w:numFmt w:val="bullet"/>
      <w:start w:val="1"/>
    </w:lvl>
  </w:abstractNum>
  <w:abstractNum w:abstractNumId="70">
    <w:nsid w:val="11447B73"/>
    <w:multiLevelType w:val="hybridMultilevel"/>
    <w:lvl w:ilvl="0">
      <w:lvlJc w:val="left"/>
      <w:lvlText w:val="3"/>
      <w:numFmt w:val="bullet"/>
      <w:start w:val="1"/>
    </w:lvl>
  </w:abstractNum>
  <w:abstractNum w:abstractNumId="71">
    <w:nsid w:val="42963E5A"/>
    <w:multiLevelType w:val="hybridMultilevel"/>
    <w:lvl w:ilvl="0">
      <w:lvlJc w:val="left"/>
      <w:lvlText w:val="4"/>
      <w:numFmt w:val="bullet"/>
      <w:start w:val="1"/>
    </w:lvl>
  </w:abstractNum>
  <w:abstractNum w:abstractNumId="72">
    <w:nsid w:val="A0382C5"/>
    <w:multiLevelType w:val="hybridMultilevel"/>
    <w:lvl w:ilvl="0">
      <w:lvlJc w:val="left"/>
      <w:lvlText w:val="%1"/>
      <w:numFmt w:val="decimal"/>
      <w:start w:val="101"/>
    </w:lvl>
  </w:abstractNum>
  <w:abstractNum w:abstractNumId="73">
    <w:nsid w:val="8F2B15E"/>
    <w:multiLevelType w:val="hybridMultilevel"/>
    <w:lvl w:ilvl="0">
      <w:lvlJc w:val="left"/>
      <w:lvlText w:val="+"/>
      <w:numFmt w:val="bullet"/>
      <w:start w:val="1"/>
    </w:lvl>
    <w:lvl w:ilvl="1">
      <w:lvlJc w:val="left"/>
      <w:lvlText w:val="%2"/>
      <w:numFmt w:val="decimal"/>
      <w:start w:val="104"/>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1)"/>
      <w:numFmt w:val="lowerLetter"/>
      <w:start w:val="2"/>
    </w:lvl>
  </w:abstractNum>
  <w:abstractNum w:abstractNumId="77">
    <w:nsid w:val="4962813B"/>
    <w:multiLevelType w:val="hybridMultilevel"/>
    <w:lvl w:ilvl="0">
      <w:lvlJc w:val="left"/>
      <w:lvlText w:val="(%1)"/>
      <w:numFmt w:val="lowerRoman"/>
      <w:start w:val="1"/>
    </w:lvl>
    <w:lvl w:ilvl="1">
      <w:lvlJc w:val="left"/>
      <w:lvlText w:val="(%2)"/>
      <w:numFmt w:val="lowerLetter"/>
      <w:start w:val="2"/>
    </w:lvl>
  </w:abstractNum>
  <w:abstractNum w:abstractNumId="78">
    <w:nsid w:val="60B6DF70"/>
    <w:multiLevelType w:val="hybridMultilevel"/>
    <w:lvl w:ilvl="0">
      <w:lvlJc w:val="left"/>
      <w:lvlText w:val="(%1)"/>
      <w:numFmt w:val="lowerLetter"/>
      <w:start w:val="3"/>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lowerRoman"/>
      <w:start w:val="1"/>
    </w:lvl>
  </w:abstractNum>
  <w:abstractNum w:abstractNumId="82">
    <w:nsid w:val="1A27709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2024-11-07T15:29:31Z</dcterms:created>
  <dcterms:modified xsi:type="dcterms:W3CDTF">2024-11-07T15:29:31Z</dcterms:modified>
</cp:coreProperties>
</file>