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GERON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 xml:space="preserve">Common Stock, $0.001 par value per share </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 Capital Management,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66,502,728.00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66,502,728.00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66,502,728.00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Peter Kolchinsky </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66,502,728.00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66,502,728.00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66,502,728.00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Rajeev Shah</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66,502,728.00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66,502,728.00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66,502,728.00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 Capital Healthcare Fund,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66,502,728.00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66,502,728.00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66,502,728.00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42"/>
        <w:gridCol w:w="8908"/>
        <w:gridCol w:w="155"/>
      </w:tblGrid>
      <w:tr>
        <w:trPr/>
        <w:tc>
          <w:tcPr>
            <w:tcW w:w="1142" w:type="dxa"/>
            <w:tcBorders/>
            <w:vAlign w:val="center"/>
          </w:tcPr>
          <w:p>
            <w:pPr>
              <w:pStyle w:val="TableContents"/>
              <w:bidi w:val="0"/>
              <w:spacing w:before="0" w:after="283"/>
              <w:jc w:val="left"/>
              <w:rPr/>
            </w:pPr>
            <w:r>
              <w:rPr/>
              <w:t>Item 1.</w:t>
            </w:r>
          </w:p>
        </w:tc>
        <w:tc>
          <w:tcPr>
            <w:tcW w:w="89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Name of issuer: </w:t>
            </w:r>
          </w:p>
          <w:p>
            <w:pPr>
              <w:pStyle w:val="TableContents"/>
              <w:bidi w:val="0"/>
              <w:spacing w:before="0" w:after="0"/>
              <w:jc w:val="left"/>
              <w:rPr/>
            </w:pPr>
            <w:r>
              <w:rPr/>
              <w:t>GERON CORPORATION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919 East Hillsdale Boulevard, Suite 250, Foster City, CA, 94404.</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2.</w:t>
            </w:r>
          </w:p>
        </w:tc>
        <w:tc>
          <w:tcPr>
            <w:tcW w:w="89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names of the persons filing this report (collectively, the "Reporting Persons") are: RA Capital Management, L.P. ("RA Capital") Peter Kolchinsky Rajeev Shah RA Capital Healthcare Fund, L.P. (the "Fund") The Reporting Persons expressly disclaim status as a "group" for purposes of this Schedule 13G/A.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c/o RA Capital Management, L.P., 200 Berkeley Street, 18th Floor, Boston MA 02116</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RA Capital and the Fund are Delaware limited partnerships. Dr. Kolchinsky and Mr. Shah are United States citizens.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(d)</w:t>
            </w:r>
          </w:p>
        </w:tc>
        <w:tc>
          <w:tcPr>
            <w:tcW w:w="890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 xml:space="preserve">Common Stock, $0.001 par value per share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(e)</w:t>
            </w:r>
          </w:p>
        </w:tc>
        <w:tc>
          <w:tcPr>
            <w:tcW w:w="890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3.</w:t>
            </w:r>
          </w:p>
        </w:tc>
        <w:tc>
          <w:tcPr>
            <w:tcW w:w="890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(d)</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(e)</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(f)</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(g)</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(h)</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(j)</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(k)</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4.</w:t>
            </w:r>
          </w:p>
        </w:tc>
        <w:tc>
          <w:tcPr>
            <w:tcW w:w="890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Row 9 of each Reporting Person's cover page to this Schedule 13G/A sets forth the aggregate number of shares of common stock of the Issuer beneficially owned by such Reporting Person as of June 30, 2026 and is incorporated by reference. The Fund directly holds 42,809,751 shares of common stock and pre-funded warrants ("Pre-Funded Warrants") exercisable for up to 29,053,145 shares of common stock. The Pre-Funded Warrants contain a provision (the "Beneficial Ownership Blocker"), which precludes the exercise of the Pre-Funded Warrants to the extent that, following exercise, the Fund, together with its affiliates and other attribution parties, would own more than 9.99% of the common stock outstanding. The Fund is currently prohibited from exercising a portion of the Pre-Funded Warrants to the extent that such exercise would result in beneficial ownership of more than 66,502,728 shares of common stock. RA Capital Healthcare Fund GP, LLC is the general partner of the Fund. The general partner of RA Capital is RA Capital Management GP, LLC, of which Dr. Kolchinsky and Mr. Shah are the controlling persons. RA Capital serves as investment adviser for the Fund and may be deemed a beneficial owner, for purposes of Section 13(d) of the Act, of any securities of the Issuer held by the Fund. The Fund has delegated to RA Capital the sole power to vote and the sole power to dispose of all securities held in the Fund's portfolio, including the shares of the Issuer's common stock reported herein. Because the Fund has divested voting and investment power over the reported securities it holds and may not revoke that delegation on less than 61 days' notice, the Fund disclaims beneficial ownership of the securities it holds for purposes of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13G/A other than for the purpose of determining their obligations under Section 13(d) of the Act, and the filing of this Schedule 13G/A shall not be deemed an admission that either RA Capital, Dr. Kolchinsky, or Mr. Shah is the beneficial owner of such securities for any other purpose.</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Due to the Beneficial Ownership Blocker listed in the Pre-Funded Warrants, each Reporting Person's beneficial ownership percentage was 9.99% as of June 30, 2026. Such percentage is based upon the sum of (i) 642,000,000 shares of the Issuer's common stock outstanding as of June 30, 2026, as reported in the Issuer's Quarterly Report on Form 10-Q filed with the Securities and Exchange Commission (the "SEC") on August 5, 2026 and (ii) 23,692,977 shares of common stock issuable upon the exercise of the Pre-Funded Warrants. Due to field limitations of the EDGAR filing system, the percentages listed in row 11 of the Reporting Persons' cover pages have been rounded down to 9.9%.   %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Row 5 of each Reporting Person's cover page to this Schedule 13G/A sets forth the sole power to vote or to direct the vote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Row 6 of each Reporting Person's cover page to this Schedule 13G/A sets forth the shared power to vote or to direct the vote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Row 7 of each Reporting Person's cover page to this Schedule 13G/A sets forth the sole power to dispose or to direct the disposition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Row 8 of each Reporting Person's cover page to this Schedule 13G/A sets forth the shared power to dispose or to direct the disposition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5.</w:t>
            </w:r>
          </w:p>
        </w:tc>
        <w:tc>
          <w:tcPr>
            <w:tcW w:w="890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6.</w:t>
            </w:r>
          </w:p>
        </w:tc>
        <w:tc>
          <w:tcPr>
            <w:tcW w:w="890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7.</w:t>
            </w:r>
          </w:p>
        </w:tc>
        <w:tc>
          <w:tcPr>
            <w:tcW w:w="890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8.</w:t>
            </w:r>
          </w:p>
        </w:tc>
        <w:tc>
          <w:tcPr>
            <w:tcW w:w="890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9.</w:t>
            </w:r>
          </w:p>
        </w:tc>
        <w:tc>
          <w:tcPr>
            <w:tcW w:w="890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RA Capital Management, L.P.</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6"/>
        <w:gridCol w:w="4259"/>
      </w:tblGrid>
      <w:tr>
        <w:trPr/>
        <w:tc>
          <w:tcPr>
            <w:tcW w:w="59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Peter Kolchinsky</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Peter Kolchinsky, 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59" w:type="dxa"/>
            <w:tcBorders/>
            <w:vAlign w:val="center"/>
          </w:tcPr>
          <w:p>
            <w:pPr>
              <w:pStyle w:val="TableContents"/>
              <w:bidi w:val="0"/>
              <w:spacing w:before="0" w:after="283"/>
              <w:jc w:val="left"/>
              <w:rPr>
                <w:sz w:val="4"/>
                <w:szCs w:val="4"/>
              </w:rPr>
            </w:pPr>
            <w:r>
              <w:rPr>
                <w:sz w:val="4"/>
                <w:szCs w:val="4"/>
              </w:rPr>
            </w:r>
          </w:p>
        </w:tc>
      </w:tr>
    </w:tbl>
    <w:tbl>
      <w:tblPr>
        <w:tblW w:w="3992" w:type="dxa"/>
        <w:jc w:val="left"/>
        <w:tblInd w:w="0" w:type="dxa"/>
        <w:tblLayout w:type="fixed"/>
        <w:tblCellMar>
          <w:top w:w="28" w:type="dxa"/>
          <w:left w:w="28" w:type="dxa"/>
          <w:bottom w:w="28" w:type="dxa"/>
          <w:right w:w="28" w:type="dxa"/>
        </w:tblCellMar>
      </w:tblPr>
      <w:tblGrid>
        <w:gridCol w:w="1996"/>
        <w:gridCol w:w="1996"/>
      </w:tblGrid>
      <w:tr>
        <w:trPr/>
        <w:tc>
          <w:tcPr>
            <w:tcW w:w="1996" w:type="dxa"/>
            <w:tcBorders/>
            <w:vAlign w:val="center"/>
          </w:tcPr>
          <w:p>
            <w:pPr>
              <w:pStyle w:val="TableContents"/>
              <w:bidi w:val="0"/>
              <w:spacing w:before="0" w:after="0"/>
              <w:jc w:val="left"/>
              <w:rPr/>
            </w:pPr>
            <w:r>
              <w:rPr/>
              <w:t> </w:t>
            </w:r>
          </w:p>
          <w:tbl>
            <w:tblPr>
              <w:tblW w:w="1861" w:type="dxa"/>
              <w:jc w:val="left"/>
              <w:tblInd w:w="0" w:type="dxa"/>
              <w:tblLayout w:type="fixed"/>
              <w:tblCellMar>
                <w:top w:w="28" w:type="dxa"/>
                <w:left w:w="28" w:type="dxa"/>
                <w:bottom w:w="28" w:type="dxa"/>
                <w:right w:w="28" w:type="dxa"/>
              </w:tblCellMar>
            </w:tblPr>
            <w:tblGrid>
              <w:gridCol w:w="1861"/>
            </w:tblGrid>
            <w:tr>
              <w:trPr/>
              <w:tc>
                <w:tcPr>
                  <w:tcW w:w="1861" w:type="dxa"/>
                  <w:tcBorders/>
                  <w:vAlign w:val="center"/>
                </w:tcPr>
                <w:p>
                  <w:pPr>
                    <w:pStyle w:val="TableContents"/>
                    <w:bidi w:val="0"/>
                    <w:spacing w:before="0" w:after="0"/>
                    <w:jc w:val="left"/>
                    <w:rPr/>
                  </w:pPr>
                  <w:r>
                    <w:rPr/>
                    <w:t xml:space="preserve">Peter Kolchinsky </w:t>
                  </w:r>
                </w:p>
              </w:tc>
            </w:tr>
          </w:tbl>
          <w:p>
            <w:pPr>
              <w:pStyle w:val="TableContents"/>
              <w:bidi w:val="0"/>
              <w:spacing w:before="0" w:after="283"/>
              <w:jc w:val="left"/>
              <w:rPr/>
            </w:pPr>
            <w:r>
              <w:rPr/>
            </w:r>
          </w:p>
        </w:tc>
        <w:tc>
          <w:tcPr>
            <w:tcW w:w="199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Peter Kolchinsky</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Peter Kolchinsky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2946" w:type="dxa"/>
        <w:jc w:val="left"/>
        <w:tblInd w:w="0" w:type="dxa"/>
        <w:tblLayout w:type="fixed"/>
        <w:tblCellMar>
          <w:top w:w="28" w:type="dxa"/>
          <w:left w:w="28" w:type="dxa"/>
          <w:bottom w:w="28" w:type="dxa"/>
          <w:right w:w="28" w:type="dxa"/>
        </w:tblCellMar>
      </w:tblPr>
      <w:tblGrid>
        <w:gridCol w:w="1473"/>
        <w:gridCol w:w="1473"/>
      </w:tblGrid>
      <w:tr>
        <w:trPr/>
        <w:tc>
          <w:tcPr>
            <w:tcW w:w="1473" w:type="dxa"/>
            <w:tcBorders/>
            <w:vAlign w:val="center"/>
          </w:tcPr>
          <w:p>
            <w:pPr>
              <w:pStyle w:val="TableContents"/>
              <w:bidi w:val="0"/>
              <w:spacing w:before="0" w:after="0"/>
              <w:jc w:val="left"/>
              <w:rPr/>
            </w:pPr>
            <w:r>
              <w:rPr/>
              <w:t> </w:t>
            </w:r>
          </w:p>
          <w:tbl>
            <w:tblPr>
              <w:tblW w:w="1366" w:type="dxa"/>
              <w:jc w:val="left"/>
              <w:tblInd w:w="0" w:type="dxa"/>
              <w:tblLayout w:type="fixed"/>
              <w:tblCellMar>
                <w:top w:w="28" w:type="dxa"/>
                <w:left w:w="28" w:type="dxa"/>
                <w:bottom w:w="28" w:type="dxa"/>
                <w:right w:w="28" w:type="dxa"/>
              </w:tblCellMar>
            </w:tblPr>
            <w:tblGrid>
              <w:gridCol w:w="1366"/>
            </w:tblGrid>
            <w:tr>
              <w:trPr/>
              <w:tc>
                <w:tcPr>
                  <w:tcW w:w="1366" w:type="dxa"/>
                  <w:tcBorders/>
                  <w:vAlign w:val="center"/>
                </w:tcPr>
                <w:p>
                  <w:pPr>
                    <w:pStyle w:val="TableContents"/>
                    <w:bidi w:val="0"/>
                    <w:spacing w:before="0" w:after="0"/>
                    <w:jc w:val="left"/>
                    <w:rPr/>
                  </w:pPr>
                  <w:r>
                    <w:rPr/>
                    <w:t>Rajeev Shah</w:t>
                  </w:r>
                </w:p>
              </w:tc>
            </w:tr>
          </w:tbl>
          <w:p>
            <w:pPr>
              <w:pStyle w:val="TableContents"/>
              <w:bidi w:val="0"/>
              <w:spacing w:before="0" w:after="283"/>
              <w:jc w:val="left"/>
              <w:rPr/>
            </w:pPr>
            <w:r>
              <w:rPr/>
            </w:r>
          </w:p>
        </w:tc>
        <w:tc>
          <w:tcPr>
            <w:tcW w:w="14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3"/>
        <w:gridCol w:w="4452"/>
      </w:tblGrid>
      <w:tr>
        <w:trPr/>
        <w:tc>
          <w:tcPr>
            <w:tcW w:w="57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Rajeev Shah</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Rajeev Shah</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52" w:type="dxa"/>
            <w:tcBorders/>
            <w:vAlign w:val="center"/>
          </w:tcPr>
          <w:p>
            <w:pPr>
              <w:pStyle w:val="TableContents"/>
              <w:bidi w:val="0"/>
              <w:spacing w:before="0" w:after="283"/>
              <w:jc w:val="left"/>
              <w:rPr>
                <w:sz w:val="4"/>
                <w:szCs w:val="4"/>
              </w:rPr>
            </w:pPr>
            <w:r>
              <w:rPr>
                <w:sz w:val="4"/>
                <w:szCs w:val="4"/>
              </w:rPr>
            </w:r>
          </w:p>
        </w:tc>
      </w:tr>
    </w:tbl>
    <w:tbl>
      <w:tblPr>
        <w:tblW w:w="7040" w:type="dxa"/>
        <w:jc w:val="left"/>
        <w:tblInd w:w="0" w:type="dxa"/>
        <w:tblLayout w:type="fixed"/>
        <w:tblCellMar>
          <w:top w:w="28" w:type="dxa"/>
          <w:left w:w="28" w:type="dxa"/>
          <w:bottom w:w="28" w:type="dxa"/>
          <w:right w:w="28" w:type="dxa"/>
        </w:tblCellMar>
      </w:tblPr>
      <w:tblGrid>
        <w:gridCol w:w="3520"/>
        <w:gridCol w:w="3520"/>
      </w:tblGrid>
      <w:tr>
        <w:trPr/>
        <w:tc>
          <w:tcPr>
            <w:tcW w:w="3520" w:type="dxa"/>
            <w:tcBorders/>
            <w:vAlign w:val="center"/>
          </w:tcPr>
          <w:p>
            <w:pPr>
              <w:pStyle w:val="TableContents"/>
              <w:bidi w:val="0"/>
              <w:spacing w:before="0" w:after="0"/>
              <w:jc w:val="left"/>
              <w:rPr/>
            </w:pPr>
            <w:r>
              <w:rPr/>
              <w:t> </w:t>
            </w:r>
          </w:p>
          <w:tbl>
            <w:tblPr>
              <w:tblW w:w="3406" w:type="dxa"/>
              <w:jc w:val="left"/>
              <w:tblInd w:w="0" w:type="dxa"/>
              <w:tblLayout w:type="fixed"/>
              <w:tblCellMar>
                <w:top w:w="28" w:type="dxa"/>
                <w:left w:w="28" w:type="dxa"/>
                <w:bottom w:w="28" w:type="dxa"/>
                <w:right w:w="28" w:type="dxa"/>
              </w:tblCellMar>
            </w:tblPr>
            <w:tblGrid>
              <w:gridCol w:w="3406"/>
            </w:tblGrid>
            <w:tr>
              <w:trPr/>
              <w:tc>
                <w:tcPr>
                  <w:tcW w:w="3406" w:type="dxa"/>
                  <w:tcBorders/>
                  <w:vAlign w:val="center"/>
                </w:tcPr>
                <w:p>
                  <w:pPr>
                    <w:pStyle w:val="TableContents"/>
                    <w:bidi w:val="0"/>
                    <w:spacing w:before="0" w:after="0"/>
                    <w:jc w:val="left"/>
                    <w:rPr/>
                  </w:pPr>
                  <w:r>
                    <w:rPr/>
                    <w:t>RA Capital Healthcare Fund, L.P.</w:t>
                  </w:r>
                </w:p>
              </w:tc>
            </w:tr>
          </w:tbl>
          <w:p>
            <w:pPr>
              <w:pStyle w:val="TableContents"/>
              <w:bidi w:val="0"/>
              <w:spacing w:before="0" w:after="283"/>
              <w:jc w:val="left"/>
              <w:rPr/>
            </w:pPr>
            <w:r>
              <w:rPr/>
            </w:r>
          </w:p>
        </w:tc>
        <w:tc>
          <w:tcPr>
            <w:tcW w:w="35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Peter Kolchinsky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RA Capital Healthcare Fund GP, LLC, its General Partner, By Peter Kolchinsky, Manager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99.1 Joint Filing Agreement (incorporated by reference to Exhibit 99.1 to Schedule 13G/A filed on May 15, 2025)</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1888</Words>
  <Characters>9706</Characters>
  <CharactersWithSpaces>11530</CharactersWithSpaces>
  <Paragraphs>301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