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30"/>
        <w:gridCol w:w="115"/>
        <w:gridCol w:w="116"/>
        <w:gridCol w:w="2880"/>
        <w:gridCol w:w="2880"/>
        <w:gridCol w:w="408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2"/>
              </w:rPr>
            </w:pPr>
            <w:r>
              <w:rPr>
                <w:rFonts w:ascii="Wingdings;sans-serif" w:hAnsi="Wingdings;sans-serif"/>
                <w:b/>
                <w:color w:val="000000"/>
                <w:sz w:val="22"/>
              </w:rPr>
              <w:t>x</w:t>
            </w:r>
          </w:p>
        </w:tc>
        <w:tc>
          <w:tcPr>
            <w:tcW w:w="9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2025</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2"/>
              </w:rPr>
            </w:pPr>
            <w:r>
              <w:rPr>
                <w:rFonts w:ascii="Wingdings;sans-serif" w:hAnsi="Wingdings;sans-serif"/>
                <w:b/>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000-20859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GERON CORPORATION</w:t>
      </w:r>
    </w:p>
    <w:p>
      <w:pPr>
        <w:pStyle w:val="TextBody"/>
        <w:bidi w:val="0"/>
        <w:spacing w:lineRule="auto" w:line="288" w:before="0" w:after="60"/>
        <w:jc w:val="center"/>
        <w:rPr/>
      </w:pPr>
      <w:r>
        <w:rPr>
          <w:rFonts w:ascii="Times New Roman;serif" w:hAnsi="Times New Roman;serif"/>
          <w:b/>
          <w:color w:val="000000"/>
          <w:sz w:val="20"/>
        </w:rPr>
        <w:t>(Exact name of registrant as specified in its charter)</w:t>
      </w:r>
      <w:r>
        <w:rPr>
          <w:color w:val="000000"/>
        </w:rPr>
        <w:t xml:space="preserve"> </w:t>
      </w:r>
    </w:p>
    <w:tbl>
      <w:tblPr>
        <w:tblW w:w="6839" w:type="dxa"/>
        <w:jc w:val="left"/>
        <w:tblInd w:w="0" w:type="dxa"/>
        <w:tblLayout w:type="fixed"/>
        <w:tblCellMar>
          <w:top w:w="28" w:type="dxa"/>
          <w:left w:w="28" w:type="dxa"/>
          <w:bottom w:w="28" w:type="dxa"/>
          <w:right w:w="28" w:type="dxa"/>
        </w:tblCellMar>
      </w:tblPr>
      <w:tblGrid>
        <w:gridCol w:w="1937"/>
        <w:gridCol w:w="1704"/>
        <w:gridCol w:w="1713"/>
        <w:gridCol w:w="434"/>
        <w:gridCol w:w="434"/>
        <w:gridCol w:w="617"/>
      </w:tblGrid>
      <w:tr>
        <w:trPr/>
        <w:tc>
          <w:tcPr>
            <w:tcW w:w="193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75-2287752</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919 EAST HILLSDALE BOULEVARD, SUITE 250, FOSTER CITY, CA</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94404</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(650) 473-7700</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bl>
      <w:tblPr>
        <w:tblW w:w="7365" w:type="dxa"/>
        <w:jc w:val="left"/>
        <w:tblInd w:w="0" w:type="dxa"/>
        <w:tblLayout w:type="fixed"/>
        <w:tblCellMar>
          <w:top w:w="28" w:type="dxa"/>
          <w:left w:w="28" w:type="dxa"/>
          <w:bottom w:w="28" w:type="dxa"/>
          <w:right w:w="28" w:type="dxa"/>
        </w:tblCellMar>
      </w:tblPr>
      <w:tblGrid>
        <w:gridCol w:w="907"/>
        <w:gridCol w:w="799"/>
        <w:gridCol w:w="799"/>
        <w:gridCol w:w="495"/>
        <w:gridCol w:w="495"/>
        <w:gridCol w:w="495"/>
        <w:gridCol w:w="989"/>
        <w:gridCol w:w="989"/>
        <w:gridCol w:w="1397"/>
      </w:tblGrid>
      <w:tr>
        <w:trPr/>
        <w:tc>
          <w:tcPr>
            <w:tcW w:w="90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7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GERN</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60"/>
        <w:ind w:left="0" w:right="0" w:firstLine="1296"/>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color w:val="000000"/>
          <w:sz w:val="18"/>
        </w:rPr>
        <w:t>o</w:t>
      </w:r>
      <w:r>
        <w:rPr>
          <w:color w:val="000000"/>
        </w:rPr>
        <w:t xml:space="preserve"> </w:t>
      </w:r>
    </w:p>
    <w:p>
      <w:pPr>
        <w:pStyle w:val="TextBody"/>
        <w:bidi w:val="0"/>
        <w:spacing w:lineRule="auto" w:line="288" w:before="0" w:after="60"/>
        <w:ind w:left="0" w:right="0" w:firstLine="1296"/>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color w:val="000000"/>
          <w:sz w:val="18"/>
        </w:rPr>
        <w:t>o</w:t>
      </w:r>
    </w:p>
    <w:p>
      <w:pPr>
        <w:pStyle w:val="TextBody"/>
        <w:bidi w:val="0"/>
        <w:spacing w:lineRule="auto" w:line="288" w:before="0" w:after="60"/>
        <w:ind w:left="0" w:right="0" w:firstLine="1296"/>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849" w:type="dxa"/>
        <w:jc w:val="left"/>
        <w:tblInd w:w="0" w:type="dxa"/>
        <w:tblLayout w:type="fixed"/>
        <w:tblCellMar>
          <w:top w:w="28" w:type="dxa"/>
          <w:left w:w="28" w:type="dxa"/>
          <w:bottom w:w="28" w:type="dxa"/>
          <w:right w:w="28" w:type="dxa"/>
        </w:tblCellMar>
      </w:tblPr>
      <w:tblGrid>
        <w:gridCol w:w="124"/>
        <w:gridCol w:w="109"/>
        <w:gridCol w:w="109"/>
        <w:gridCol w:w="694"/>
        <w:gridCol w:w="694"/>
        <w:gridCol w:w="696"/>
        <w:gridCol w:w="109"/>
        <w:gridCol w:w="109"/>
        <w:gridCol w:w="109"/>
        <w:gridCol w:w="109"/>
        <w:gridCol w:w="109"/>
        <w:gridCol w:w="109"/>
        <w:gridCol w:w="689"/>
        <w:gridCol w:w="689"/>
        <w:gridCol w:w="69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96"/>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8"/>
        </w:rPr>
        <w:t>o</w:t>
      </w:r>
    </w:p>
    <w:p>
      <w:pPr>
        <w:pStyle w:val="TextBody"/>
        <w:bidi w:val="0"/>
        <w:spacing w:lineRule="auto" w:line="288" w:before="0" w:after="120"/>
        <w:ind w:left="0" w:right="0" w:firstLine="1296"/>
        <w:jc w:val="left"/>
        <w:rPr/>
      </w:pPr>
      <w:r>
        <w:rPr>
          <w:rFonts w:ascii="Times New Roman;serif" w:hAnsi="Times New Roman;serif"/>
          <w:b w:val="false"/>
          <w:color w:val="000000"/>
          <w:sz w:val="18"/>
        </w:rPr>
        <w:t>Indicate by check mark whether the registrant is a shell company (as defined in Rule 12b-2 of the Exchange Act).     Yes   </w:t>
      </w:r>
      <w:r>
        <w:rPr>
          <w:rFonts w:ascii="Wingdings;sans-serif" w:hAnsi="Wingdings;sans-serif"/>
          <w:b/>
          <w:color w:val="000000"/>
          <w:sz w:val="18"/>
        </w:rPr>
        <w:t>o</w:t>
      </w:r>
      <w:r>
        <w:rPr>
          <w:color w:val="000000"/>
        </w:rPr>
        <w:t>   </w:t>
      </w:r>
      <w:r>
        <w:rPr>
          <w:rFonts w:ascii="Times New Roman;serif" w:hAnsi="Times New Roman;serif"/>
          <w:b w:val="false"/>
          <w:color w:val="000000"/>
          <w:sz w:val="18"/>
        </w:rPr>
        <w:t>No   </w:t>
      </w:r>
      <w:r>
        <w:rPr>
          <w:rFonts w:ascii="Wingdings;sans-serif" w:hAnsi="Wingdings;sans-serif"/>
          <w:b/>
          <w:color w:val="000000"/>
          <w:sz w:val="18"/>
        </w:rPr>
        <w:t>x</w:t>
      </w:r>
      <w:r>
        <w:rPr>
          <w:color w:val="000000"/>
        </w:rPr>
        <w:t xml:space="preserve"> </w:t>
      </w:r>
    </w:p>
    <w:p>
      <w:pPr>
        <w:pStyle w:val="TextBody"/>
        <w:bidi w:val="0"/>
        <w:spacing w:lineRule="auto" w:line="288" w:before="0" w:after="60"/>
        <w:ind w:left="0" w:right="0" w:firstLine="1296"/>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tbl>
      <w:tblPr>
        <w:tblW w:w="5276" w:type="dxa"/>
        <w:jc w:val="left"/>
        <w:tblInd w:w="0" w:type="dxa"/>
        <w:tblLayout w:type="fixed"/>
        <w:tblCellMar>
          <w:top w:w="28" w:type="dxa"/>
          <w:left w:w="28" w:type="dxa"/>
          <w:bottom w:w="28" w:type="dxa"/>
          <w:right w:w="28" w:type="dxa"/>
        </w:tblCellMar>
      </w:tblPr>
      <w:tblGrid>
        <w:gridCol w:w="901"/>
        <w:gridCol w:w="795"/>
        <w:gridCol w:w="808"/>
        <w:gridCol w:w="109"/>
        <w:gridCol w:w="109"/>
        <w:gridCol w:w="109"/>
        <w:gridCol w:w="714"/>
        <w:gridCol w:w="714"/>
        <w:gridCol w:w="1017"/>
      </w:tblGrid>
      <w:tr>
        <w:trPr/>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Outstanding at August 1, 2025:</w:t>
            </w:r>
          </w:p>
        </w:tc>
      </w:tr>
      <w:tr>
        <w:trPr/>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638,017,073 shares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 ENDED JUNE 30, 2025</w:t>
      </w:r>
    </w:p>
    <w:p>
      <w:pPr>
        <w:pStyle w:val="TextBody"/>
        <w:bidi w:val="0"/>
        <w:spacing w:lineRule="auto" w:line="288" w:before="0" w:after="240"/>
        <w:jc w:val="center"/>
        <w:rPr/>
      </w:pPr>
      <w:r>
        <w:rPr>
          <w:rFonts w:ascii="Times New Roman;serif" w:hAnsi="Times New Roman;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55"/>
        <w:gridCol w:w="309"/>
        <w:gridCol w:w="309"/>
        <w:gridCol w:w="2593"/>
        <w:gridCol w:w="2579"/>
        <w:gridCol w:w="2584"/>
        <w:gridCol w:w="424"/>
        <w:gridCol w:w="424"/>
        <w:gridCol w:w="628"/>
      </w:tblGrid>
      <w:tr>
        <w:trPr/>
        <w:tc>
          <w:tcPr>
            <w:tcW w:w="35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10">
              <w:r>
                <w:rPr>
                  <w:rStyle w:val="InternetLink"/>
                  <w:rFonts w:ascii="Times New Roman;serif" w:hAnsi="Times New Roman;serif"/>
                  <w:b/>
                  <w:color w:val="000000"/>
                  <w:sz w:val="20"/>
                  <w:u w:val="single"/>
                </w:rPr>
                <w:t>PART I. FINANCIAL INFORMATION</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3">
              <w:r>
                <w:rPr>
                  <w:rStyle w:val="InternetLink"/>
                  <w:rFonts w:ascii="Times New Roman;serif" w:hAnsi="Times New Roman;serif"/>
                  <w:b w:val="false"/>
                  <w:strike w:val="false"/>
                  <w:dstrike w:val="false"/>
                  <w:color w:val="000000"/>
                  <w:sz w:val="20"/>
                  <w:u w:val="none"/>
                  <w:effect w:val="none"/>
                </w:rPr>
                <w:t>Item 1:</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3">
              <w:r>
                <w:rPr>
                  <w:rStyle w:val="InternetLink"/>
                  <w:rFonts w:ascii="Times New Roman;serif" w:hAnsi="Times New Roman;serif"/>
                  <w:b w:val="false"/>
                  <w:color w:val="0000FF"/>
                  <w:sz w:val="20"/>
                  <w:u w:val="single"/>
                </w:rPr>
                <w:t>Financial Statements (Unaudited)</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13">
              <w:r>
                <w:rPr>
                  <w:rStyle w:val="InternetLink"/>
                  <w:rFonts w:ascii="Times New Roman;serif" w:hAnsi="Times New Roman;serif"/>
                  <w:b w:val="false"/>
                  <w:strike w:val="false"/>
                  <w:dstrike w:val="false"/>
                  <w:color w:val="000000"/>
                  <w:sz w:val="20"/>
                  <w:u w:val="none"/>
                  <w:effect w:val="none"/>
                </w:rPr>
                <w:t>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6">
              <w:r>
                <w:rPr>
                  <w:rStyle w:val="InternetLink"/>
                  <w:rFonts w:ascii="Times New Roman;serif" w:hAnsi="Times New Roman;serif"/>
                  <w:b w:val="false"/>
                  <w:color w:val="0000FF"/>
                  <w:sz w:val="20"/>
                  <w:u w:val="single"/>
                </w:rPr>
                <w:t>Condensed Consolidated Balance Sheets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16">
              <w:r>
                <w:rPr>
                  <w:rStyle w:val="InternetLink"/>
                  <w:rFonts w:ascii="Times New Roman;serif" w:hAnsi="Times New Roman;serif"/>
                  <w:b w:val="false"/>
                  <w:strike w:val="false"/>
                  <w:dstrike w:val="false"/>
                  <w:color w:val="000000"/>
                  <w:sz w:val="20"/>
                  <w:u w:val="none"/>
                  <w:effect w:val="none"/>
                </w:rPr>
                <w:t>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9">
              <w:r>
                <w:rPr>
                  <w:rStyle w:val="InternetLink"/>
                  <w:rFonts w:ascii="Times New Roman;serif" w:hAnsi="Times New Roman;serif"/>
                  <w:b w:val="false"/>
                  <w:color w:val="0000FF"/>
                  <w:sz w:val="20"/>
                  <w:u w:val="single"/>
                </w:rPr>
                <w:t>Condensed Consolidated Statements of Operations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19">
              <w:r>
                <w:rPr>
                  <w:rStyle w:val="InternetLink"/>
                  <w:rFonts w:ascii="Times New Roman;serif" w:hAnsi="Times New Roman;serif"/>
                  <w:b w:val="false"/>
                  <w:strike w:val="false"/>
                  <w:dstrike w:val="false"/>
                  <w:color w:val="000000"/>
                  <w:sz w:val="20"/>
                  <w:u w:val="none"/>
                  <w:effect w:val="none"/>
                </w:rPr>
                <w:t>4</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22">
              <w:r>
                <w:rPr>
                  <w:rStyle w:val="InternetLink"/>
                  <w:rFonts w:ascii="Times New Roman;serif" w:hAnsi="Times New Roman;serif"/>
                  <w:b w:val="false"/>
                  <w:color w:val="0000FF"/>
                  <w:sz w:val="20"/>
                  <w:u w:val="single"/>
                </w:rPr>
                <w:t>Condensed Consolidated Statements of Comprehensive Loss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22">
              <w:r>
                <w:rPr>
                  <w:rStyle w:val="InternetLink"/>
                  <w:rFonts w:ascii="Times New Roman;serif" w:hAnsi="Times New Roman;serif"/>
                  <w:b w:val="false"/>
                  <w:strike w:val="false"/>
                  <w:dstrike w:val="false"/>
                  <w:color w:val="000000"/>
                  <w:sz w:val="20"/>
                  <w:u w:val="none"/>
                  <w:effect w:val="none"/>
                </w:rPr>
                <w:t>5</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25">
              <w:r>
                <w:rPr>
                  <w:rStyle w:val="InternetLink"/>
                  <w:rFonts w:ascii="Times New Roman;serif" w:hAnsi="Times New Roman;serif"/>
                  <w:b w:val="false"/>
                  <w:color w:val="0000FF"/>
                  <w:sz w:val="20"/>
                  <w:u w:val="single"/>
                </w:rPr>
                <w:t>Condensed Consolidated Statements of Stockholders’ Equity</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25">
              <w:r>
                <w:rPr>
                  <w:rStyle w:val="InternetLink"/>
                  <w:rFonts w:ascii="Times New Roman;serif" w:hAnsi="Times New Roman;serif"/>
                  <w:b w:val="false"/>
                  <w:strike w:val="false"/>
                  <w:dstrike w:val="false"/>
                  <w:color w:val="000000"/>
                  <w:sz w:val="20"/>
                  <w:u w:val="none"/>
                  <w:effect w:val="none"/>
                </w:rPr>
                <w:t>6</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31">
              <w:r>
                <w:rPr>
                  <w:rStyle w:val="InternetLink"/>
                  <w:rFonts w:ascii="Times New Roman;serif" w:hAnsi="Times New Roman;serif"/>
                  <w:b w:val="false"/>
                  <w:color w:val="0000FF"/>
                  <w:sz w:val="20"/>
                  <w:u w:val="single"/>
                </w:rPr>
                <w:t>Condensed Consolidated Statements of Cash Flows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31">
              <w:r>
                <w:rPr>
                  <w:rStyle w:val="InternetLink"/>
                  <w:rFonts w:ascii="Times New Roman;serif" w:hAnsi="Times New Roman;serif"/>
                  <w:b w:val="false"/>
                  <w:strike w:val="false"/>
                  <w:dstrike w:val="false"/>
                  <w:color w:val="000000"/>
                  <w:sz w:val="20"/>
                  <w:u w:val="none"/>
                  <w:effect w:val="none"/>
                </w:rPr>
                <w:t>8</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34">
              <w:r>
                <w:rPr>
                  <w:rStyle w:val="InternetLink"/>
                  <w:rFonts w:ascii="Times New Roman;serif" w:hAnsi="Times New Roman;serif"/>
                  <w:b w:val="false"/>
                  <w:color w:val="0000FF"/>
                  <w:sz w:val="20"/>
                  <w:u w:val="single"/>
                </w:rPr>
                <w:t>Notes to Condensed Consolidated Financial Statements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34">
              <w:r>
                <w:rPr>
                  <w:rStyle w:val="InternetLink"/>
                  <w:rFonts w:ascii="Times New Roman;serif" w:hAnsi="Times New Roman;serif"/>
                  <w:b w:val="false"/>
                  <w:strike w:val="false"/>
                  <w:dstrike w:val="false"/>
                  <w:color w:val="000000"/>
                  <w:sz w:val="20"/>
                  <w:u w:val="none"/>
                  <w:effect w:val="none"/>
                </w:rPr>
                <w:t>9</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67">
              <w:r>
                <w:rPr>
                  <w:rStyle w:val="InternetLink"/>
                  <w:rFonts w:ascii="Times New Roman;serif" w:hAnsi="Times New Roman;serif"/>
                  <w:b w:val="false"/>
                  <w:strike w:val="false"/>
                  <w:dstrike w:val="false"/>
                  <w:color w:val="000000"/>
                  <w:sz w:val="20"/>
                  <w:u w:val="none"/>
                  <w:effect w:val="none"/>
                </w:rPr>
                <w:t>Item 2:</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67">
              <w:r>
                <w:rPr>
                  <w:rStyle w:val="InternetLink"/>
                  <w:rFonts w:ascii="Times New Roman;serif" w:hAnsi="Times New Roman;serif"/>
                  <w:b w:val="false"/>
                  <w:strike w:val="false"/>
                  <w:dstrike w:val="false"/>
                  <w:color w:val="000000"/>
                  <w:sz w:val="20"/>
                  <w:u w:val="none"/>
                  <w:effect w:val="none"/>
                </w:rPr>
                <w:t>26</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85">
              <w:r>
                <w:rPr>
                  <w:rStyle w:val="InternetLink"/>
                  <w:rFonts w:ascii="Times New Roman;serif" w:hAnsi="Times New Roman;serif"/>
                  <w:b w:val="false"/>
                  <w:strike w:val="false"/>
                  <w:dstrike w:val="false"/>
                  <w:color w:val="000000"/>
                  <w:sz w:val="20"/>
                  <w:u w:val="none"/>
                  <w:effect w:val="none"/>
                </w:rPr>
                <w:t>Item 3:</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85">
              <w:r>
                <w:rPr>
                  <w:rStyle w:val="InternetLink"/>
                  <w:rFonts w:ascii="Times New Roman;serif" w:hAnsi="Times New Roman;serif"/>
                  <w:b w:val="false"/>
                  <w:color w:val="0000FF"/>
                  <w:sz w:val="20"/>
                  <w:u w:val="single"/>
                </w:rPr>
                <w:t>Quantitative and Qualitative Disclosures About Market Risk</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85">
              <w:r>
                <w:rPr>
                  <w:rStyle w:val="InternetLink"/>
                  <w:rFonts w:ascii="Times New Roman;serif" w:hAnsi="Times New Roman;serif"/>
                  <w:b w:val="false"/>
                  <w:strike w:val="false"/>
                  <w:dstrike w:val="false"/>
                  <w:color w:val="000000"/>
                  <w:sz w:val="20"/>
                  <w:u w:val="none"/>
                  <w:effect w:val="none"/>
                </w:rPr>
                <w:t>37</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88">
              <w:r>
                <w:rPr>
                  <w:rStyle w:val="InternetLink"/>
                  <w:rFonts w:ascii="Times New Roman;serif" w:hAnsi="Times New Roman;serif"/>
                  <w:b w:val="false"/>
                  <w:strike w:val="false"/>
                  <w:dstrike w:val="false"/>
                  <w:color w:val="000000"/>
                  <w:sz w:val="20"/>
                  <w:u w:val="none"/>
                  <w:effect w:val="none"/>
                </w:rPr>
                <w:t>Item 4:</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88">
              <w:r>
                <w:rPr>
                  <w:rStyle w:val="InternetLink"/>
                  <w:rFonts w:ascii="Times New Roman;serif" w:hAnsi="Times New Roman;serif"/>
                  <w:b w:val="false"/>
                  <w:color w:val="0000FF"/>
                  <w:sz w:val="20"/>
                  <w:u w:val="single"/>
                </w:rPr>
                <w:t>Controls and Procedures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88">
              <w:r>
                <w:rPr>
                  <w:rStyle w:val="InternetLink"/>
                  <w:rFonts w:ascii="Times New Roman;serif" w:hAnsi="Times New Roman;serif"/>
                  <w:b w:val="false"/>
                  <w:strike w:val="false"/>
                  <w:dstrike w:val="false"/>
                  <w:color w:val="000000"/>
                  <w:sz w:val="20"/>
                  <w:u w:val="none"/>
                  <w:effect w:val="none"/>
                </w:rPr>
                <w:t>37</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91">
              <w:r>
                <w:rPr>
                  <w:rStyle w:val="InternetLink"/>
                  <w:rFonts w:ascii="Times New Roman;serif" w:hAnsi="Times New Roman;serif"/>
                  <w:b/>
                  <w:color w:val="000000"/>
                  <w:sz w:val="20"/>
                  <w:u w:val="single"/>
                </w:rPr>
                <w:t>PART II. OTHER INFORMATION</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94">
              <w:r>
                <w:rPr>
                  <w:rStyle w:val="InternetLink"/>
                  <w:rFonts w:ascii="Times New Roman;serif" w:hAnsi="Times New Roman;serif"/>
                  <w:b w:val="false"/>
                  <w:strike w:val="false"/>
                  <w:dstrike w:val="false"/>
                  <w:color w:val="000000"/>
                  <w:sz w:val="20"/>
                  <w:u w:val="none"/>
                  <w:effect w:val="none"/>
                </w:rPr>
                <w:t>Item 1:</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94">
              <w:r>
                <w:rPr>
                  <w:rStyle w:val="InternetLink"/>
                  <w:rFonts w:ascii="Times New Roman;serif" w:hAnsi="Times New Roman;serif"/>
                  <w:b w:val="false"/>
                  <w:color w:val="0000FF"/>
                  <w:sz w:val="20"/>
                  <w:u w:val="single"/>
                </w:rPr>
                <w:t>Legal Proceedings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94">
              <w:r>
                <w:rPr>
                  <w:rStyle w:val="InternetLink"/>
                  <w:rFonts w:ascii="Times New Roman;serif" w:hAnsi="Times New Roman;serif"/>
                  <w:b w:val="false"/>
                  <w:strike w:val="false"/>
                  <w:dstrike w:val="false"/>
                  <w:color w:val="000000"/>
                  <w:sz w:val="20"/>
                  <w:u w:val="none"/>
                  <w:effect w:val="none"/>
                </w:rPr>
                <w:t>38</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97">
              <w:r>
                <w:rPr>
                  <w:rStyle w:val="InternetLink"/>
                  <w:rFonts w:ascii="Times New Roman;serif" w:hAnsi="Times New Roman;serif"/>
                  <w:b w:val="false"/>
                  <w:strike w:val="false"/>
                  <w:dstrike w:val="false"/>
                  <w:color w:val="000000"/>
                  <w:sz w:val="20"/>
                  <w:u w:val="none"/>
                  <w:effect w:val="none"/>
                </w:rPr>
                <w:t>Item 1A:</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97">
              <w:r>
                <w:rPr>
                  <w:rStyle w:val="InternetLink"/>
                  <w:rFonts w:ascii="Times New Roman;serif" w:hAnsi="Times New Roman;serif"/>
                  <w:b w:val="false"/>
                  <w:color w:val="0000FF"/>
                  <w:sz w:val="20"/>
                  <w:u w:val="single"/>
                </w:rPr>
                <w:t>Risk Factors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97">
              <w:r>
                <w:rPr>
                  <w:rStyle w:val="InternetLink"/>
                  <w:rFonts w:ascii="Times New Roman;serif" w:hAnsi="Times New Roman;serif"/>
                  <w:b w:val="false"/>
                  <w:strike w:val="false"/>
                  <w:dstrike w:val="false"/>
                  <w:color w:val="000000"/>
                  <w:sz w:val="20"/>
                  <w:u w:val="none"/>
                  <w:effect w:val="none"/>
                </w:rPr>
                <w:t>38</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00">
              <w:r>
                <w:rPr>
                  <w:rStyle w:val="InternetLink"/>
                  <w:rFonts w:ascii="Times New Roman;serif" w:hAnsi="Times New Roman;serif"/>
                  <w:b w:val="false"/>
                  <w:strike w:val="false"/>
                  <w:dstrike w:val="false"/>
                  <w:color w:val="000000"/>
                  <w:sz w:val="20"/>
                  <w:u w:val="none"/>
                  <w:effect w:val="none"/>
                </w:rPr>
                <w:t>Item 2:</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00">
              <w:r>
                <w:rPr>
                  <w:rStyle w:val="InternetLink"/>
                  <w:rFonts w:ascii="Times New Roman;serif" w:hAnsi="Times New Roman;serif"/>
                  <w:b w:val="false"/>
                  <w:color w:val="0000FF"/>
                  <w:sz w:val="20"/>
                  <w:u w:val="single"/>
                </w:rPr>
                <w:t>Unregistered Sales of Equity Securities, Use of Proceeds, and Issuer Purchases of Equity Securitie</w:t>
              </w:r>
            </w:hyperlink>
            <w:r>
              <w:rPr>
                <w:rFonts w:ascii="Times New Roman;serif" w:hAnsi="Times New Roman;serif"/>
                <w:b w:val="false"/>
                <w:color w:val="000000"/>
                <w:sz w:val="20"/>
              </w:rPr>
              <w:t>s</w:t>
            </w:r>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100">
              <w:r>
                <w:rPr>
                  <w:rStyle w:val="InternetLink"/>
                  <w:rFonts w:ascii="Times New Roman;serif" w:hAnsi="Times New Roman;serif"/>
                  <w:b w:val="false"/>
                  <w:strike w:val="false"/>
                  <w:dstrike w:val="false"/>
                  <w:color w:val="000000"/>
                  <w:sz w:val="20"/>
                  <w:u w:val="none"/>
                  <w:effect w:val="none"/>
                </w:rPr>
                <w:t>90</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03">
              <w:r>
                <w:rPr>
                  <w:rStyle w:val="InternetLink"/>
                  <w:rFonts w:ascii="Times New Roman;serif" w:hAnsi="Times New Roman;serif"/>
                  <w:b w:val="false"/>
                  <w:strike w:val="false"/>
                  <w:dstrike w:val="false"/>
                  <w:color w:val="000000"/>
                  <w:sz w:val="20"/>
                  <w:u w:val="none"/>
                  <w:effect w:val="none"/>
                </w:rPr>
                <w:t>Item 3:</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03">
              <w:r>
                <w:rPr>
                  <w:rStyle w:val="InternetLink"/>
                  <w:rFonts w:ascii="Times New Roman;serif" w:hAnsi="Times New Roman;serif"/>
                  <w:b w:val="false"/>
                  <w:color w:val="0000FF"/>
                  <w:sz w:val="20"/>
                  <w:u w:val="single"/>
                </w:rPr>
                <w:t>Defaults Upon Senior Securities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103">
              <w:r>
                <w:rPr>
                  <w:rStyle w:val="InternetLink"/>
                  <w:rFonts w:ascii="Times New Roman;serif" w:hAnsi="Times New Roman;serif"/>
                  <w:b w:val="false"/>
                  <w:strike w:val="false"/>
                  <w:dstrike w:val="false"/>
                  <w:color w:val="000000"/>
                  <w:sz w:val="20"/>
                  <w:u w:val="none"/>
                  <w:effect w:val="none"/>
                </w:rPr>
                <w:t>90</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06">
              <w:r>
                <w:rPr>
                  <w:rStyle w:val="InternetLink"/>
                  <w:rFonts w:ascii="Times New Roman;serif" w:hAnsi="Times New Roman;serif"/>
                  <w:b w:val="false"/>
                  <w:strike w:val="false"/>
                  <w:dstrike w:val="false"/>
                  <w:color w:val="000000"/>
                  <w:sz w:val="20"/>
                  <w:u w:val="none"/>
                  <w:effect w:val="none"/>
                </w:rPr>
                <w:t>Item 4:</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06">
              <w:r>
                <w:rPr>
                  <w:rStyle w:val="InternetLink"/>
                  <w:rFonts w:ascii="Times New Roman;serif" w:hAnsi="Times New Roman;serif"/>
                  <w:b w:val="false"/>
                  <w:color w:val="0000FF"/>
                  <w:sz w:val="20"/>
                  <w:u w:val="single"/>
                </w:rPr>
                <w:t>Mine Safety Disclosures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106">
              <w:r>
                <w:rPr>
                  <w:rStyle w:val="InternetLink"/>
                  <w:rFonts w:ascii="Times New Roman;serif" w:hAnsi="Times New Roman;serif"/>
                  <w:b w:val="false"/>
                  <w:strike w:val="false"/>
                  <w:dstrike w:val="false"/>
                  <w:color w:val="000000"/>
                  <w:sz w:val="20"/>
                  <w:u w:val="none"/>
                  <w:effect w:val="none"/>
                </w:rPr>
                <w:t>90</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09">
              <w:r>
                <w:rPr>
                  <w:rStyle w:val="InternetLink"/>
                  <w:rFonts w:ascii="Times New Roman;serif" w:hAnsi="Times New Roman;serif"/>
                  <w:b w:val="false"/>
                  <w:strike w:val="false"/>
                  <w:dstrike w:val="false"/>
                  <w:color w:val="000000"/>
                  <w:sz w:val="20"/>
                  <w:u w:val="none"/>
                  <w:effect w:val="none"/>
                </w:rPr>
                <w:t>Item 5:</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09">
              <w:r>
                <w:rPr>
                  <w:rStyle w:val="InternetLink"/>
                  <w:rFonts w:ascii="Times New Roman;serif" w:hAnsi="Times New Roman;serif"/>
                  <w:b w:val="false"/>
                  <w:color w:val="0000FF"/>
                  <w:sz w:val="20"/>
                  <w:u w:val="single"/>
                </w:rPr>
                <w:t>Other Information</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109">
              <w:r>
                <w:rPr>
                  <w:rStyle w:val="InternetLink"/>
                  <w:rFonts w:ascii="Times New Roman;serif" w:hAnsi="Times New Roman;serif"/>
                  <w:b w:val="false"/>
                  <w:strike w:val="false"/>
                  <w:dstrike w:val="false"/>
                  <w:color w:val="000000"/>
                  <w:sz w:val="20"/>
                  <w:u w:val="none"/>
                  <w:effect w:val="none"/>
                </w:rPr>
                <w:t>90</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15">
              <w:r>
                <w:rPr>
                  <w:rStyle w:val="InternetLink"/>
                  <w:rFonts w:ascii="Times New Roman;serif" w:hAnsi="Times New Roman;serif"/>
                  <w:b w:val="false"/>
                  <w:strike w:val="false"/>
                  <w:dstrike w:val="false"/>
                  <w:color w:val="000000"/>
                  <w:sz w:val="20"/>
                  <w:u w:val="none"/>
                  <w:effect w:val="none"/>
                </w:rPr>
                <w:t>Item 6:</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15">
              <w:r>
                <w:rPr>
                  <w:rStyle w:val="InternetLink"/>
                  <w:rFonts w:ascii="Times New Roman;serif" w:hAnsi="Times New Roman;serif"/>
                  <w:b w:val="false"/>
                  <w:color w:val="0000FF"/>
                  <w:sz w:val="20"/>
                  <w:u w:val="single"/>
                </w:rPr>
                <w:t>Exhibits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115">
              <w:r>
                <w:rPr>
                  <w:rStyle w:val="InternetLink"/>
                  <w:rFonts w:ascii="Times New Roman;serif" w:hAnsi="Times New Roman;serif"/>
                  <w:b w:val="false"/>
                  <w:strike w:val="false"/>
                  <w:dstrike w:val="false"/>
                  <w:color w:val="000000"/>
                  <w:sz w:val="20"/>
                  <w:u w:val="none"/>
                  <w:effect w:val="none"/>
                </w:rPr>
                <w:t>91</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efb3ede15a4d12a6ecfcbc465dd776_118">
              <w:r>
                <w:rPr>
                  <w:rStyle w:val="InternetLink"/>
                  <w:rFonts w:ascii="Times New Roman;serif" w:hAnsi="Times New Roman;serif"/>
                  <w:b w:val="false"/>
                  <w:color w:val="0000FF"/>
                  <w:sz w:val="20"/>
                  <w:u w:val="single"/>
                </w:rPr>
                <w:t>SIGNATURES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d7efb3ede15a4d12a6ecfcbc465dd776_118">
              <w:r>
                <w:rPr>
                  <w:rStyle w:val="InternetLink"/>
                  <w:rFonts w:ascii="Times New Roman;serif" w:hAnsi="Times New Roman;serif"/>
                  <w:b w:val="false"/>
                  <w:strike w:val="false"/>
                  <w:dstrike w:val="false"/>
                  <w:color w:val="000000"/>
                  <w:sz w:val="20"/>
                  <w:u w:val="none"/>
                  <w:effect w:val="none"/>
                </w:rPr>
                <w:t>93</w:t>
              </w:r>
            </w:hyperlink>
          </w:p>
        </w:tc>
      </w:tr>
    </w:tbl>
    <w:p>
      <w:pPr>
        <w:pStyle w:val="TextBody"/>
        <w:bidi w:val="0"/>
        <w:spacing w:lineRule="auto" w:line="288" w:before="0" w:after="240"/>
        <w:jc w:val="left"/>
        <w:rPr/>
      </w:pPr>
      <w:r>
        <w:rPr>
          <w:rFonts w:ascii="Times New Roman;serif" w:hAnsi="Times New Roman;serif"/>
          <w:b w:val="false"/>
          <w:color w:val="000000"/>
          <w:sz w:val="20"/>
        </w:rPr>
        <w:t>RYTELO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other trademarks or service marks of Geron Corporation appearing in this Quarterly Report on Form 10-Q (this "Report") are the property of Geron Corporation. This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(IN THOUSANDS) </w:t>
      </w:r>
    </w:p>
    <w:tbl>
      <w:tblPr>
        <w:tblW w:w="7229" w:type="dxa"/>
        <w:jc w:val="left"/>
        <w:tblInd w:w="0" w:type="dxa"/>
        <w:tblLayout w:type="fixed"/>
        <w:tblCellMar>
          <w:top w:w="28" w:type="dxa"/>
          <w:left w:w="28" w:type="dxa"/>
          <w:bottom w:w="28" w:type="dxa"/>
          <w:right w:w="28" w:type="dxa"/>
        </w:tblCellMar>
      </w:tblPr>
      <w:tblGrid>
        <w:gridCol w:w="1588"/>
        <w:gridCol w:w="1401"/>
        <w:gridCol w:w="1405"/>
        <w:gridCol w:w="213"/>
        <w:gridCol w:w="837"/>
        <w:gridCol w:w="109"/>
        <w:gridCol w:w="109"/>
        <w:gridCol w:w="109"/>
        <w:gridCol w:w="109"/>
        <w:gridCol w:w="239"/>
        <w:gridCol w:w="936"/>
        <w:gridCol w:w="174"/>
      </w:tblGrid>
      <w:tr>
        <w:trPr/>
        <w:tc>
          <w:tcPr>
            <w:tcW w:w="1588"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5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77,734 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79,016 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310,247 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327,550 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35,946 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receivables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2,853 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38,714 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5,053 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490,992 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marketable securities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94,519 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right-of-use assets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2,881 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555,198 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593,781 </w:t>
            </w:r>
          </w:p>
        </w:tc>
        <w:tc>
          <w:tcPr>
            <w:tcW w:w="17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8,595 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22,808 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royalties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20,372 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35,549 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88,298 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liability related to sale of future royalties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104,421 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debt</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118,991 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118,476 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2,067,327 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2,051,794 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(1,772,341)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280,320 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555,198 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593,781 </w:t>
            </w:r>
          </w:p>
        </w:tc>
        <w:tc>
          <w:tcPr>
            <w:tcW w:w="17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676"/>
        <w:gridCol w:w="1425"/>
        <w:gridCol w:w="1435"/>
        <w:gridCol w:w="227"/>
        <w:gridCol w:w="795"/>
        <w:gridCol w:w="119"/>
        <w:gridCol w:w="109"/>
        <w:gridCol w:w="109"/>
        <w:gridCol w:w="109"/>
        <w:gridCol w:w="227"/>
        <w:gridCol w:w="795"/>
        <w:gridCol w:w="119"/>
        <w:gridCol w:w="109"/>
        <w:gridCol w:w="109"/>
        <w:gridCol w:w="109"/>
        <w:gridCol w:w="211"/>
        <w:gridCol w:w="826"/>
        <w:gridCol w:w="109"/>
        <w:gridCol w:w="109"/>
        <w:gridCol w:w="109"/>
        <w:gridCol w:w="109"/>
        <w:gridCol w:w="211"/>
        <w:gridCol w:w="892"/>
        <w:gridCol w:w="157"/>
      </w:tblGrid>
      <w:tr>
        <w:trPr/>
        <w:tc>
          <w:tcPr>
            <w:tcW w:w="1676"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49,036 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30,779 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36,814 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60,152 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66,484 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61,490 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70,215 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117,797 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126,653 </w:t>
            </w:r>
          </w:p>
        </w:tc>
        <w:tc>
          <w:tcPr>
            <w:tcW w:w="15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(69,333)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(125,467)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5,332 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9,571 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(6,752)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 net</w:t>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(67,383)</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(122,773)</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computing basic and diluted net loss per share</w:t>
            </w:r>
          </w:p>
        </w:tc>
        <w:tc>
          <w:tcPr>
            <w:tcW w:w="11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666,170,358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653,904,978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666,038,645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628,699,214</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9809" w:type="dxa"/>
        <w:jc w:val="left"/>
        <w:tblInd w:w="0" w:type="dxa"/>
        <w:tblLayout w:type="fixed"/>
        <w:tblCellMar>
          <w:top w:w="28" w:type="dxa"/>
          <w:left w:w="28" w:type="dxa"/>
          <w:bottom w:w="28" w:type="dxa"/>
          <w:right w:w="28" w:type="dxa"/>
        </w:tblCellMar>
      </w:tblPr>
      <w:tblGrid>
        <w:gridCol w:w="1523"/>
        <w:gridCol w:w="1333"/>
        <w:gridCol w:w="1358"/>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901"/>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(16,375)</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(67,383)</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(36,210)</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(122,773)</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gain/(loss) on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(123,495)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948"/>
        <w:gridCol w:w="577"/>
        <w:gridCol w:w="580"/>
        <w:gridCol w:w="334"/>
        <w:gridCol w:w="334"/>
        <w:gridCol w:w="338"/>
        <w:gridCol w:w="109"/>
        <w:gridCol w:w="109"/>
        <w:gridCol w:w="109"/>
        <w:gridCol w:w="196"/>
        <w:gridCol w:w="421"/>
        <w:gridCol w:w="109"/>
        <w:gridCol w:w="109"/>
        <w:gridCol w:w="109"/>
        <w:gridCol w:w="109"/>
        <w:gridCol w:w="196"/>
        <w:gridCol w:w="871"/>
        <w:gridCol w:w="109"/>
        <w:gridCol w:w="109"/>
        <w:gridCol w:w="109"/>
        <w:gridCol w:w="109"/>
        <w:gridCol w:w="196"/>
        <w:gridCol w:w="895"/>
        <w:gridCol w:w="109"/>
        <w:gridCol w:w="109"/>
        <w:gridCol w:w="109"/>
        <w:gridCol w:w="109"/>
        <w:gridCol w:w="329"/>
        <w:gridCol w:w="709"/>
        <w:gridCol w:w="183"/>
        <w:gridCol w:w="109"/>
        <w:gridCol w:w="109"/>
        <w:gridCol w:w="109"/>
        <w:gridCol w:w="204"/>
        <w:gridCol w:w="767"/>
        <w:gridCol w:w="165"/>
      </w:tblGrid>
      <w:tr>
        <w:trPr/>
        <w:tc>
          <w:tcPr>
            <w:tcW w:w="94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 xml:space="preserve">Gain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 xml:space="preserve">Equity </w:t>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606,387,666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2,051,794 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(1,772,341)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8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280,320 </w:t>
            </w:r>
          </w:p>
        </w:tc>
        <w:tc>
          <w:tcPr>
            <w:tcW w:w="16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(19,835)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Pre-Funded Warrant</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30,369,830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 under equity plans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155,349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issuances of common stock and options in exchange for services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4,913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636,917,758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2,059,473 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(1,792,176)</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83"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268,238 </w:t>
            </w:r>
          </w:p>
        </w:tc>
        <w:tc>
          <w:tcPr>
            <w:tcW w:w="16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(16,375)</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ind w:left="0" w:right="0" w:hanging="101"/>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issuances of common stock and options in exchange for services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 under equity plans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509,072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6,738 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417,369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006"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637,849,739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2,067,327 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(1,808,551)</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8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259,531 </w:t>
            </w:r>
          </w:p>
        </w:tc>
        <w:tc>
          <w:tcPr>
            <w:tcW w:w="16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r>
        <w:trPr/>
        <w:tc>
          <w:tcPr>
            <w:tcW w:w="2105"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40"/>
        <w:jc w:val="left"/>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58"/>
        <w:gridCol w:w="575"/>
        <w:gridCol w:w="577"/>
        <w:gridCol w:w="334"/>
        <w:gridCol w:w="334"/>
        <w:gridCol w:w="338"/>
        <w:gridCol w:w="109"/>
        <w:gridCol w:w="109"/>
        <w:gridCol w:w="109"/>
        <w:gridCol w:w="196"/>
        <w:gridCol w:w="421"/>
        <w:gridCol w:w="109"/>
        <w:gridCol w:w="109"/>
        <w:gridCol w:w="109"/>
        <w:gridCol w:w="109"/>
        <w:gridCol w:w="196"/>
        <w:gridCol w:w="871"/>
        <w:gridCol w:w="109"/>
        <w:gridCol w:w="109"/>
        <w:gridCol w:w="109"/>
        <w:gridCol w:w="109"/>
        <w:gridCol w:w="196"/>
        <w:gridCol w:w="893"/>
        <w:gridCol w:w="109"/>
        <w:gridCol w:w="109"/>
        <w:gridCol w:w="109"/>
        <w:gridCol w:w="109"/>
        <w:gridCol w:w="322"/>
        <w:gridCol w:w="718"/>
        <w:gridCol w:w="180"/>
        <w:gridCol w:w="109"/>
        <w:gridCol w:w="109"/>
        <w:gridCol w:w="109"/>
        <w:gridCol w:w="203"/>
        <w:gridCol w:w="766"/>
        <w:gridCol w:w="165"/>
      </w:tblGrid>
      <w:tr>
        <w:trPr/>
        <w:tc>
          <w:tcPr>
            <w:tcW w:w="9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2023</w:t>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544,912,215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1,844,988 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(1,597,769)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18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247,949 </w:t>
            </w:r>
          </w:p>
        </w:tc>
        <w:tc>
          <w:tcPr>
            <w:tcW w:w="16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(55,390)</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01"/>
              <w:jc w:val="left"/>
              <w:rPr>
                <w:rFonts w:ascii="Times New Roman;serif" w:hAnsi="Times New Roman;serif"/>
                <w:b w:val="false"/>
                <w:color w:val="000000"/>
                <w:sz w:val="16"/>
              </w:rPr>
            </w:pPr>
            <w:r>
              <w:rPr>
                <w:rFonts w:ascii="Times New Roman;serif" w:hAnsi="Times New Roman;serif"/>
                <w:b w:val="false"/>
                <w:color w:val="000000"/>
                <w:sz w:val="16"/>
              </w:rPr>
              <w:t>Issuance of common stock and pre-funded warrant to purchase common stock in public offering, net of issuance costs of $9,000</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41,999,998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140,958 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141,000 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exercise of warrants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37,640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 of common stock and options in exchange for services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4,211,493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6,749 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4,877 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2024</w:t>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591,163,808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1,997,709 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(1,653,159)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344,868 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(67,383)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(67,383)</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Offering expenses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(271)</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exercise of warrants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281,211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issuances of common stock and options in exchange for services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equity plans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9,400,121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16,373 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12,625 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purchases</w:t>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201,052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366 </w:t>
            </w:r>
          </w:p>
        </w:tc>
        <w:tc>
          <w:tcPr>
            <w:tcW w:w="165"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2024</w:t>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601,048,108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2,027,173 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(1,720,542)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(537)</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306,695 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2110"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pPr>
      <w:r>
        <w:rPr>
          <w:rFonts w:ascii="Times New Roman;serif" w:hAnsi="Times New Roman;serif"/>
          <w:b/>
          <w:color w:val="000000"/>
          <w:sz w:val="20"/>
        </w:rPr>
        <w:t>(UNAUDITED)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515"/>
        <w:gridCol w:w="2118"/>
        <w:gridCol w:w="2132"/>
        <w:gridCol w:w="109"/>
        <w:gridCol w:w="109"/>
        <w:gridCol w:w="135"/>
        <w:gridCol w:w="135"/>
        <w:gridCol w:w="262"/>
        <w:gridCol w:w="974"/>
        <w:gridCol w:w="135"/>
        <w:gridCol w:w="109"/>
        <w:gridCol w:w="109"/>
        <w:gridCol w:w="109"/>
        <w:gridCol w:w="211"/>
        <w:gridCol w:w="885"/>
        <w:gridCol w:w="158"/>
      </w:tblGrid>
      <w:tr>
        <w:trPr/>
        <w:tc>
          <w:tcPr>
            <w:tcW w:w="2515"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1"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581" w:type="dxa"/>
            <w:gridSpan w:val="6"/>
            <w:tcBorders/>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and amortization on investments,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(3,948)</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costs/debt discounts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liabilities for sales of future royalties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services by non-employees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for employees and directors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14,146 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17,502 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allowance for doubtful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(30,410)</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(774)</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interest receivable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(1,309)</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and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(21,484)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on Royalty agreement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(6,705)</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(75,394)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(115,731)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(123,173)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(226,333)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196,065 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225,215 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72,754 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issuances of common stock from equity plans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23,122 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from offering and pre-funded warrant, net of paid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warrants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164,631 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rates on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in cash, cash equivalents and restricted 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46,930 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80,876 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71,138 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79,604 </w:t>
            </w:r>
          </w:p>
        </w:tc>
        <w:tc>
          <w:tcPr>
            <w:tcW w:w="13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118,068 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 BASIS OF PRESENTATION, PRINCIPLES OF CONSOLIDATION, USE OF ESTIMATES AND RECENT ACCOUNTING PRONOUNCEMENTS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terms “Geron”, the “Company”, “we” and “us” as used in this Report refer to Geron Corporation and its wholly-owned subsidiaries, Geron UK Limited, or Geron UK, a United Kingdom company, and Geron Netherlands B.V., or Geron Netherlands, a Netherlands company. Geron UK was incorporated in September 2021, and its operations commenced in January 2022. Geron Netherlands was incorporated in February 2023, and its operations commenced in June 2023. </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considered necessary for a fair presentation have been included. Operating results for the three and six months ended June 30, 2025 are not necessarily indicative of the results that may be expected for the year ending December 31, 2025 or any other period. These unaudited condensed consolidated financial statements and notes should be read in conjunction with the audited financial statements for each of the three years ended December 31, 2024, included in our Annual Report on Form 10-K for the year ended December 31, 2024, or the 2024 Form 10-K. The accompanying condensed consolidated balance sheet as of December 31, 2024 has been derived from audited financial statements at that date.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Geron Corporation and its wholly-owned subsidiaries, Geron UK and Geron Netherlands. For Geron UK and Geron Netherlands, we have eliminated intercompany accounts and transactions. We prepare the financial statements of Geron UK and Geron Netherlands using the local currency as the functional currency. We translate the assets and liabilities of Geron UK and Geron Netherlands at rates of exchange at the balance sheet date and translate income and expense items at average monthly rates of exchange. The resultant translation adjustments are included in accumulated other comprehensive income (loss), a separate component of stockholders’ equity, on our condensed consolidated balance sheets.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in the United States, or U.S. GAAP. 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and equity investments, operating leases, right-of-use assets, lease liabilities, income taxes, and stock-based compensation. We base our estimates on historical experience and on various other market specific and relevant assumptions that we believe to be reasonable under the circumstances. Actual results could differ from those estimates.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Summary of Significant Accounting Policies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significant accounting policies used in preparation of these condensed consolidated financial statements for the three and six months ended June 30, 2025 are consistent with those discussed in Note 1 to the consolidated financial statements in the 2024 Form 10-K.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Accounting Pronouncements – Issued But Not Yet Adopted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left"/>
        <w:rPr/>
      </w:pPr>
      <w:r>
        <w:rPr/>
      </w:r>
    </w:p>
    <w:p>
      <w:pPr>
        <w:pStyle w:val="TextBody"/>
        <w:bidi w:val="0"/>
        <w:spacing w:lineRule="auto" w:line="288" w:before="0" w:after="240"/>
        <w:ind w:left="0" w:right="0" w:firstLine="1296"/>
        <w:jc w:val="left"/>
        <w:rPr/>
      </w:pPr>
      <w:r>
        <w:rPr>
          <w:rFonts w:ascii="Times New Roman;serif" w:hAnsi="Times New Roman;serif"/>
          <w:b w:val="false"/>
          <w:color w:val="000000"/>
          <w:sz w:val="20"/>
        </w:rPr>
        <w:t>In November 2024, the FASB issued ASU 2024-03, Income Statement - Reporting Comprehensive Income - Expense Disaggregation Disclosures (Subtopic 220-40): Disaggregation of Income Statement Expenses. The amendments in ASU 2024-03 address investor requests for more detailed expense information 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 years beginning after December 15, 2027, with early adoption permitted. We are evaluating the impact of this ASU on our condensed consolidated financial statements.</w:t>
      </w:r>
      <w:r>
        <w:rPr>
          <w:color w:val="000000"/>
        </w:rPr>
        <w:t xml:space="preserve"> </w:t>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Other recent accounting pronouncements issued by the FASB are not believed by management to have a material impact on our financial statements.</w:t>
      </w:r>
    </w:p>
    <w:p>
      <w:pPr>
        <w:pStyle w:val="TextBody"/>
        <w:bidi w:val="0"/>
        <w:spacing w:before="0" w:after="0"/>
        <w:ind w:left="0" w:right="0" w:firstLine="1296"/>
        <w:jc w:val="left"/>
        <w:rPr/>
      </w:pPr>
      <w:r>
        <w:rPr/>
      </w:r>
    </w:p>
    <w:p>
      <w:pPr>
        <w:pStyle w:val="TextBody"/>
        <w:bidi w:val="0"/>
        <w:spacing w:before="0" w:after="0"/>
        <w:ind w:left="0" w:right="0" w:firstLine="12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Product Revenue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To date, our only source of product revenue has been from the U.S. sales of RYTELO, which we began shipping to our customers in June 2024. The reconciliation of gross product sales to net product sales by each significant category of gross-to-net adjustments was as follows for the three and six months ended June 30, 2025 (in thousands): </w:t>
      </w:r>
    </w:p>
    <w:tbl>
      <w:tblPr>
        <w:tblW w:w="8034" w:type="dxa"/>
        <w:jc w:val="left"/>
        <w:tblInd w:w="0" w:type="dxa"/>
        <w:tblLayout w:type="fixed"/>
        <w:tblCellMar>
          <w:top w:w="28" w:type="dxa"/>
          <w:left w:w="28" w:type="dxa"/>
          <w:bottom w:w="28" w:type="dxa"/>
          <w:right w:w="28" w:type="dxa"/>
        </w:tblCellMar>
      </w:tblPr>
      <w:tblGrid>
        <w:gridCol w:w="1058"/>
        <w:gridCol w:w="933"/>
        <w:gridCol w:w="934"/>
        <w:gridCol w:w="221"/>
        <w:gridCol w:w="758"/>
        <w:gridCol w:w="114"/>
        <w:gridCol w:w="114"/>
        <w:gridCol w:w="114"/>
        <w:gridCol w:w="114"/>
        <w:gridCol w:w="221"/>
        <w:gridCol w:w="490"/>
        <w:gridCol w:w="114"/>
        <w:gridCol w:w="109"/>
        <w:gridCol w:w="109"/>
        <w:gridCol w:w="109"/>
        <w:gridCol w:w="211"/>
        <w:gridCol w:w="826"/>
        <w:gridCol w:w="109"/>
        <w:gridCol w:w="109"/>
        <w:gridCol w:w="109"/>
        <w:gridCol w:w="109"/>
        <w:gridCol w:w="211"/>
        <w:gridCol w:w="466"/>
        <w:gridCol w:w="109"/>
        <w:gridCol w:w="109"/>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0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revenue</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Gross-to-net adjustments:</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 and customer credits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rebates</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returns and allowances</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gross-to-net adjustments</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(8,867)</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3</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INVENTORY</w:t>
      </w:r>
      <w:r>
        <w:rPr>
          <w:color w:val="000000"/>
        </w:rPr>
        <w:t xml:space="preserv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All of our inventories are related to the manufacturing of RYTELO. The following table presents our inventory as of June 30, 2025 (in thousands):</w:t>
      </w:r>
    </w:p>
    <w:tbl>
      <w:tblPr>
        <w:tblW w:w="5412" w:type="dxa"/>
        <w:jc w:val="left"/>
        <w:tblInd w:w="0" w:type="dxa"/>
        <w:tblLayout w:type="fixed"/>
        <w:tblCellMar>
          <w:top w:w="28" w:type="dxa"/>
          <w:left w:w="28" w:type="dxa"/>
          <w:bottom w:w="28" w:type="dxa"/>
          <w:right w:w="28" w:type="dxa"/>
        </w:tblCellMar>
      </w:tblPr>
      <w:tblGrid>
        <w:gridCol w:w="542"/>
        <w:gridCol w:w="455"/>
        <w:gridCol w:w="459"/>
        <w:gridCol w:w="419"/>
        <w:gridCol w:w="1434"/>
        <w:gridCol w:w="216"/>
        <w:gridCol w:w="109"/>
        <w:gridCol w:w="109"/>
        <w:gridCol w:w="109"/>
        <w:gridCol w:w="303"/>
        <w:gridCol w:w="1036"/>
        <w:gridCol w:w="221"/>
      </w:tblGrid>
      <w:tr>
        <w:trPr/>
        <w:tc>
          <w:tcPr>
            <w:tcW w:w="54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206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4,904 </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85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47,012 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30,093 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8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14,532 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4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69,125 </w:t>
            </w:r>
          </w:p>
        </w:tc>
        <w:tc>
          <w:tcPr>
            <w:tcW w:w="2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38,714 </w:t>
            </w:r>
          </w:p>
        </w:tc>
        <w:tc>
          <w:tcPr>
            <w:tcW w:w="2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4. FAIR VALUE MEASUREMENTS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Equivalents and Marketable Securities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restricted cash and marketable securities by security type at June 30, 2025 were as follows: </w:t>
      </w:r>
    </w:p>
    <w:tbl>
      <w:tblPr>
        <w:tblW w:w="10205" w:type="dxa"/>
        <w:jc w:val="center"/>
        <w:tblInd w:w="0" w:type="dxa"/>
        <w:tblLayout w:type="fixed"/>
        <w:tblCellMar>
          <w:top w:w="28" w:type="dxa"/>
          <w:left w:w="28" w:type="dxa"/>
          <w:bottom w:w="28" w:type="dxa"/>
          <w:right w:w="28" w:type="dxa"/>
        </w:tblCellMar>
      </w:tblPr>
      <w:tblGrid>
        <w:gridCol w:w="1901"/>
        <w:gridCol w:w="1453"/>
        <w:gridCol w:w="1432"/>
        <w:gridCol w:w="109"/>
        <w:gridCol w:w="109"/>
        <w:gridCol w:w="10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6"/>
      </w:tblGrid>
      <w:tr>
        <w:trPr/>
        <w:tc>
          <w:tcPr>
            <w:tcW w:w="190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78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2,486 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38,781 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5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1 to 2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121,546 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121,510 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42,742 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352,847 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352,990 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restricted cash and marketable securities by security type at December 31, 2024 were as follows: </w:t>
      </w:r>
    </w:p>
    <w:tbl>
      <w:tblPr>
        <w:tblW w:w="10205" w:type="dxa"/>
        <w:jc w:val="center"/>
        <w:tblInd w:w="0" w:type="dxa"/>
        <w:tblLayout w:type="fixed"/>
        <w:tblCellMar>
          <w:top w:w="28" w:type="dxa"/>
          <w:left w:w="28" w:type="dxa"/>
          <w:bottom w:w="28" w:type="dxa"/>
          <w:right w:w="28" w:type="dxa"/>
        </w:tblCellMar>
      </w:tblPr>
      <w:tblGrid>
        <w:gridCol w:w="1900"/>
        <w:gridCol w:w="1451"/>
        <w:gridCol w:w="1430"/>
        <w:gridCol w:w="109"/>
        <w:gridCol w:w="109"/>
        <w:gridCol w:w="109"/>
        <w:gridCol w:w="211"/>
        <w:gridCol w:w="826"/>
        <w:gridCol w:w="109"/>
        <w:gridCol w:w="109"/>
        <w:gridCol w:w="109"/>
        <w:gridCol w:w="109"/>
        <w:gridCol w:w="237"/>
        <w:gridCol w:w="525"/>
        <w:gridCol w:w="124"/>
        <w:gridCol w:w="109"/>
        <w:gridCol w:w="109"/>
        <w:gridCol w:w="109"/>
        <w:gridCol w:w="233"/>
        <w:gridCol w:w="538"/>
        <w:gridCol w:w="121"/>
        <w:gridCol w:w="109"/>
        <w:gridCol w:w="109"/>
        <w:gridCol w:w="109"/>
        <w:gridCol w:w="211"/>
        <w:gridCol w:w="826"/>
        <w:gridCol w:w="155"/>
      </w:tblGrid>
      <w:tr>
        <w:trPr/>
        <w:tc>
          <w:tcPr>
            <w:tcW w:w="1900"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45,215 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50,193 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50,192 </w:t>
            </w:r>
          </w:p>
        </w:tc>
        <w:tc>
          <w:tcPr>
            <w:tcW w:w="15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7,959 </w:t>
            </w:r>
          </w:p>
        </w:tc>
        <w:tc>
          <w:tcPr>
            <w:tcW w:w="155"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22,610 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 securities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180,225 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130,361 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130,618 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71,909 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421,790 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2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422,069 </w:t>
            </w:r>
          </w:p>
        </w:tc>
        <w:tc>
          <w:tcPr>
            <w:tcW w:w="1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and marketable securities with unrealized losses that have been in a continuous unrealized loss position for less than 12 months and 12 months or longer at June 30, 2025 and December 31, 2024 were as follows: </w:t>
      </w:r>
    </w:p>
    <w:tbl>
      <w:tblPr>
        <w:tblW w:w="10205" w:type="dxa"/>
        <w:jc w:val="left"/>
        <w:tblInd w:w="0" w:type="dxa"/>
        <w:tblLayout w:type="fixed"/>
        <w:tblCellMar>
          <w:top w:w="28" w:type="dxa"/>
          <w:left w:w="28" w:type="dxa"/>
          <w:bottom w:w="28" w:type="dxa"/>
          <w:right w:w="28" w:type="dxa"/>
        </w:tblCellMar>
      </w:tblPr>
      <w:tblGrid>
        <w:gridCol w:w="834"/>
        <w:gridCol w:w="735"/>
        <w:gridCol w:w="741"/>
        <w:gridCol w:w="109"/>
        <w:gridCol w:w="109"/>
        <w:gridCol w:w="109"/>
        <w:gridCol w:w="211"/>
        <w:gridCol w:w="826"/>
        <w:gridCol w:w="109"/>
        <w:gridCol w:w="109"/>
        <w:gridCol w:w="109"/>
        <w:gridCol w:w="109"/>
        <w:gridCol w:w="233"/>
        <w:gridCol w:w="532"/>
        <w:gridCol w:w="121"/>
        <w:gridCol w:w="109"/>
        <w:gridCol w:w="109"/>
        <w:gridCol w:w="109"/>
        <w:gridCol w:w="211"/>
        <w:gridCol w:w="616"/>
        <w:gridCol w:w="109"/>
        <w:gridCol w:w="109"/>
        <w:gridCol w:w="109"/>
        <w:gridCol w:w="109"/>
        <w:gridCol w:w="257"/>
        <w:gridCol w:w="495"/>
        <w:gridCol w:w="134"/>
        <w:gridCol w:w="109"/>
        <w:gridCol w:w="109"/>
        <w:gridCol w:w="109"/>
        <w:gridCol w:w="211"/>
        <w:gridCol w:w="826"/>
        <w:gridCol w:w="109"/>
        <w:gridCol w:w="109"/>
        <w:gridCol w:w="109"/>
        <w:gridCol w:w="109"/>
        <w:gridCol w:w="232"/>
        <w:gridCol w:w="529"/>
        <w:gridCol w:w="172"/>
      </w:tblGrid>
      <w:tr>
        <w:trPr/>
        <w:tc>
          <w:tcPr>
            <w:tcW w:w="834"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Less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12 Months or Longer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sz w:val="16"/>
              </w:rPr>
              <w:br/>
            </w:r>
            <w:r>
              <w:rPr>
                <w:rFonts w:ascii="Times New Roman;serif" w:hAnsi="Times New Roman;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r>
      <w:tr>
        <w:trPr/>
        <w:tc>
          <w:tcPr>
            <w:tcW w:w="23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91,123 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31,549 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33,542 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2"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169,724 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(190)</w:t>
            </w:r>
          </w:p>
        </w:tc>
        <w:tc>
          <w:tcPr>
            <w:tcW w:w="1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171,717 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7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gross unrealized losses related to U.S. Treasury securities, municipal securities, government-sponsored enterprise securities, commercial paper and corporate notes as of June 30, 2025 and December 31, 2024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and six months ended June 30, 2025 and December 31, 2024 as we have not identified any unrealized losses for these securities attributable to credit factors. Our exposure to unrealized losses may increase in the future due to the economic pressures or uncertainties associated with macroeconomic or other global economic conditions, including those resulting from inflation, fluctuations in interest rates, prospects of a recession, bank failures and other disruptions to financial systems, civil or political unrest, military conflicts, pandemics or other health crises.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Fair Value on a Recurring Basis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categorize financial instruments recorded at fair value on our condensed consolidated balance sheets based upon the level of judgment associated with inputs used to measure their fair value. The categories are as follows: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5"/>
        <w:gridCol w:w="205"/>
        <w:gridCol w:w="207"/>
        <w:gridCol w:w="115"/>
        <w:gridCol w:w="115"/>
        <w:gridCol w:w="116"/>
        <w:gridCol w:w="2655"/>
        <w:gridCol w:w="2584"/>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are unadjusted, quoted prices in active markets for identical assets or liabilities at the measurement date. An active market for an asset or liability is a market in which transactions for the asset or liability occur with sufficient frequency and volume to provide pricing information on an ongoing basis.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(other than quoted market prices included in Level 1) are either directly or indirectly observable for the asset or liability through correlation with market data at the measurement date and for the duration of the instrument’s anticipated life.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reflect management’s best estimate of what market participants would use in pricing the asset or liability at the measurement date. Consideration is given to the risk inherent in the valuation technique and the risk inherent in the inputs to the model.</w:t>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 financial instrument’s categorization within the valuation hierarchy is based upon the lowest level of input that is significant to the fair value measurement. Money market funds are categorized as Level 1 within the fair value hierarchy as their fair values are based on quoted prices available in active markets. U.S. Treasury securities, municipal securities, government-sponsored enterprise securities, commercial paper, and corporate notes are categorized as Level 2 within the fair value hierarchy as their fair values are estimated by using pricing models, quoted prices of securities with similar characteristics or discounted cash flows.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 financial instrument’s categorization within the valuation hierarchy is based upon the lowest level of input that is significant to the fair value measurement. Below is a description of the valuation methodologies used for financial instruments measured at fair value on our consolidated balance sheets, including the category for such financial instruments.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Money market funds and certificates of deposit are categorized as Level 1 within the fair value hierarchy as their fair values are based on quoted prices available in active markets. Commercial paper, U.S. Treasury securities, municipal securities, government-sponsored enterprise securities and corporate notes are categorized as Level 2 within the fair value hierarchy as their fair values are estimated by using pricing models, quoted prices of securities with similar characteristics or discounted cash flows.</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The embedded derivatives are classified within Level 3 of the fair value hierarchy. See </w:t>
      </w:r>
      <w:hyperlink w:anchor="id7efb3ede15a4d12a6ecfcbc465dd776_52">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on Debt.</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Liability Related to the Sale of Future Royalties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will utilize the prospective method to account for subsequent changes in the estimated future payments to be made to Royalty Pharma and will update the effective interest rate on a quarterly basis.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determined the fair value of the liability related to the sale of future royalties based on our current estimates of future royalties expected to be paid to Royalty Pharma over the life of the arrangement, which are considered Level 3. See </w:t>
      </w:r>
      <w:hyperlink w:anchor="id7efb3ede15a4d12a6ecfcbc465dd776_52">
        <w:r>
          <w:rPr>
            <w:rStyle w:val="InternetLink"/>
            <w:rFonts w:ascii="Times New Roman;serif" w:hAnsi="Times New Roman;serif"/>
            <w:b w:val="false"/>
            <w:strike w:val="false"/>
            <w:dstrike w:val="false"/>
            <w:color w:val="000000"/>
            <w:sz w:val="20"/>
            <w:u w:val="none"/>
            <w:effect w:val="none"/>
          </w:rPr>
          <w:t>Note 6</w:t>
        </w:r>
      </w:hyperlink>
      <w:r>
        <w:rPr>
          <w:rFonts w:ascii="Times New Roman;serif" w:hAnsi="Times New Roman;serif"/>
          <w:b w:val="false"/>
          <w:color w:val="000000"/>
          <w:sz w:val="20"/>
        </w:rPr>
        <w:t xml:space="preserve"> on Debt.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during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financial instruments that are measured at fair value on a recurring basis as of June 30, 2025 and December 31, 2024 and indicates the fair value category assigned.</w:t>
      </w:r>
    </w:p>
    <w:tbl>
      <w:tblPr>
        <w:tblW w:w="10205" w:type="dxa"/>
        <w:jc w:val="center"/>
        <w:tblInd w:w="0" w:type="dxa"/>
        <w:tblLayout w:type="fixed"/>
        <w:tblCellMar>
          <w:top w:w="28" w:type="dxa"/>
          <w:left w:w="28" w:type="dxa"/>
          <w:bottom w:w="28" w:type="dxa"/>
          <w:right w:w="28" w:type="dxa"/>
        </w:tblCellMar>
      </w:tblPr>
      <w:tblGrid>
        <w:gridCol w:w="1355"/>
        <w:gridCol w:w="1194"/>
        <w:gridCol w:w="1184"/>
        <w:gridCol w:w="109"/>
        <w:gridCol w:w="109"/>
        <w:gridCol w:w="109"/>
        <w:gridCol w:w="296"/>
        <w:gridCol w:w="1014"/>
        <w:gridCol w:w="152"/>
        <w:gridCol w:w="109"/>
        <w:gridCol w:w="109"/>
        <w:gridCol w:w="109"/>
        <w:gridCol w:w="259"/>
        <w:gridCol w:w="1017"/>
        <w:gridCol w:w="133"/>
        <w:gridCol w:w="109"/>
        <w:gridCol w:w="109"/>
        <w:gridCol w:w="109"/>
        <w:gridCol w:w="318"/>
        <w:gridCol w:w="612"/>
        <w:gridCol w:w="166"/>
        <w:gridCol w:w="109"/>
        <w:gridCol w:w="109"/>
        <w:gridCol w:w="109"/>
        <w:gridCol w:w="211"/>
        <w:gridCol w:w="826"/>
        <w:gridCol w:w="160"/>
      </w:tblGrid>
      <w:tr>
        <w:trPr/>
        <w:tc>
          <w:tcPr>
            <w:tcW w:w="1355"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Reporting Date Using</w:t>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33"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June 30,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37,892 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Certificate of deposit</w:t>
            </w:r>
            <w:r>
              <w:rPr>
                <w:rFonts w:ascii="Times New Roman;serif" w:hAnsi="Times New Roman;serif"/>
                <w:b w:val="false"/>
                <w:color w:val="000000"/>
                <w:sz w:val="13"/>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22,785 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Government-sponsored enterprise securities</w:t>
            </w:r>
            <w:r>
              <w:rPr>
                <w:rFonts w:ascii="Times New Roman;serif" w:hAnsi="Times New Roman;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4,001 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Commercial paper</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Corporate notes</w:t>
            </w:r>
            <w:r>
              <w:rPr>
                <w:rFonts w:ascii="Times New Roman;serif" w:hAnsi="Times New Roman;serif"/>
                <w:b w:val="false"/>
                <w:color w:val="000000"/>
                <w:sz w:val="13"/>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204,695 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204,695 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38,165 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355,476 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393,641 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46,802 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Certificate of deposit</w:t>
            </w:r>
            <w:r>
              <w:rPr>
                <w:rFonts w:ascii="Times New Roman;serif" w:hAnsi="Times New Roman;serif"/>
                <w:b w:val="false"/>
                <w:color w:val="000000"/>
                <w:sz w:val="13"/>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30,570 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Government-sponsored enterprise securities</w:t>
            </w:r>
            <w:r>
              <w:rPr>
                <w:rFonts w:ascii="Times New Roman;serif" w:hAnsi="Times New Roman;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8,748 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Commercial paper</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Corporate notes</w:t>
            </w:r>
            <w:r>
              <w:rPr>
                <w:rFonts w:ascii="Times New Roman;serif" w:hAnsi="Times New Roman;serif"/>
                <w:b w:val="false"/>
                <w:color w:val="000000"/>
                <w:sz w:val="13"/>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202,527 </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202,527 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47,075 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427,046 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474,121 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6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(1)Included in cash and cash equivalents on our condensed consolidated balance sheets.</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(2)Included in restricted cash on our condensed consolidated balance sheets.</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(3)Included in current portion of marketable securities on our condensed consolidated balance sheets.</w:t>
      </w:r>
    </w:p>
    <w:p>
      <w:pPr>
        <w:pStyle w:val="TextBody"/>
        <w:bidi w:val="0"/>
        <w:spacing w:lineRule="auto" w:line="288" w:before="0" w:after="36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(4)Included in noncurrent portion of marketable securities on our condensed consolidated balance sheets.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Credit Risk</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currently place our cash, restricted cash, cash equivalents and marketable securities with multiple institutions in the United States. Generally, these deposits may be redeemed upon demand and therefore, bear minimal risk. Deposits with banks may exceed the amount of insurance provided on such deposits. Financial instruments that potentially subject us to concentrations of credit risk consist primarily of cash equivalents and marketable securities. Cash equivalents and marketable securities currently consist of money market funds, government-sponsored enterprise securities, U.S. Treasury securities, municipal securities, commercial paper and corporate notes. Our investment policy, approved by the audit committee of our board of directors, limits the amount we may invest in any one type of investment issuer, thereby reducing credit risk concentrations. However, we are exposed to credit risk in the event of default by the financial institutions holding our cash and cash equivalents to the extent recorded in our consolidated balance sheets. We have not experienced any losses in such accounts and we believe that we are not exposed to significant credit risk of our financial position at the depository institutions in which those deposits are held. As of June 30, 2025, five customers accounted for 100% of our gross accounts receivable: McKesson Financial Center, which accounted for 44% of our gross accounts receivable; ASD Specialty Healthcare LLC, which accounted for 34% of our gross accounts receivable; Cardinal Health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Inc., which accounted for 20% of our gross accounts receivable; Biologics Inc, which accounted for 1% of our gross accounts receivable; and Sina Drug for 1% of our gross accounts receivable.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5. ACCRUED LIABILITIES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consisted of the following as of June 30, 2025 and December 31, 2024: </w:t>
      </w:r>
    </w:p>
    <w:tbl>
      <w:tblPr>
        <w:tblW w:w="6268" w:type="dxa"/>
        <w:jc w:val="center"/>
        <w:tblInd w:w="0" w:type="dxa"/>
        <w:tblLayout w:type="fixed"/>
        <w:tblCellMar>
          <w:top w:w="28" w:type="dxa"/>
          <w:left w:w="28" w:type="dxa"/>
          <w:bottom w:w="28" w:type="dxa"/>
          <w:right w:w="28" w:type="dxa"/>
        </w:tblCellMar>
      </w:tblPr>
      <w:tblGrid>
        <w:gridCol w:w="1165"/>
        <w:gridCol w:w="1028"/>
        <w:gridCol w:w="1031"/>
        <w:gridCol w:w="109"/>
        <w:gridCol w:w="109"/>
        <w:gridCol w:w="109"/>
        <w:gridCol w:w="211"/>
        <w:gridCol w:w="721"/>
        <w:gridCol w:w="109"/>
        <w:gridCol w:w="109"/>
        <w:gridCol w:w="109"/>
        <w:gridCol w:w="109"/>
        <w:gridCol w:w="262"/>
        <w:gridCol w:w="896"/>
        <w:gridCol w:w="191"/>
      </w:tblGrid>
      <w:tr>
        <w:trPr/>
        <w:tc>
          <w:tcPr>
            <w:tcW w:w="1165"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322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CRO and clinical trial costs</w:t>
            </w:r>
          </w:p>
        </w:tc>
        <w:tc>
          <w:tcPr>
            <w:tcW w:w="327" w:type="dxa"/>
            <w:gridSpan w:val="3"/>
            <w:tcBorders>
              <w:top w:val="single" w:sz="4" w:space="0" w:color="FFFFFF"/>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6,689 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18,968 </w:t>
            </w:r>
          </w:p>
        </w:tc>
        <w:tc>
          <w:tcPr>
            <w:tcW w:w="19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11,839 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legal and accounting fees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Gross-to-net adjustments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Total Accrued 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26,294 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35,549 </w:t>
            </w:r>
          </w:p>
        </w:tc>
        <w:tc>
          <w:tcPr>
            <w:tcW w:w="19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Pharmakon Loan Agreement </w:t>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(i) a Tranche A Loan in an aggregate principal amount of $125.0 million, or the Tranche A Loan, which was funded on November 1, 2024, or the Tranche A Closing Date; (ii) a Tranche B Loan in an aggregate principal amount of $75.0 million, or the Tranche B Loan, which is available, subject to certain limited conditions, at our option; and (iii) a Tranche C Loan in an aggregate principal amount of $50.0 million, or the Tranche C Loan, and together with the Tranche A Loan and the Tranche B Loan, collectively, the Term Loans, which is available to us upon reaching a specified trailing twelve-month RYTELO revenue milestone. The Tranche B Loan and the Tranche C Loan, once available, may be requested on or prior to December 31, 2025. A portion of the proceeds from the Tranche A Loan were used to repay, in full, all amounts owed under the Hercules Loan Agreement, which was terminated effective November 1, 2024. The remaining proceeds will be used to fund our general corporate and working capital requirements.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Loans mature on November 1, 2029. The Term Loans bear interest at a variable rate per annum equal to 5.75% plus the three-month Secured Overnight Financing Rate, or SOFR, with a SOFR floor of 3.00%. As of inception of the Tranche A Loan, the interest rate applicable to the Tranche A Loan was 10.32%. Interest is due and payable quarterly on the last day of each quarter with the first payment due on December 31, 2024. The Pharmakon Loan Agreement requires we pay an amount equal to 2.50% of the Lenders’ total committed amount to fund the Term Loans, payable with respect to each Term Loan on the funding date of such Term Loan.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elect to prepay the Term Loans in part or in whole prior to the Maturity Date with such prepayments being subject to a prepayment premium equal to the principal amount so prepaid multiplied by 3% if made prior to the 3rd anniversary of the funding date of the applicable Term Loan, 2% if made on or after the 3rd anniversary of the funding date of the applicable Term Loan but prior to the 4th anniversary of the funding date of the applicable Term Loan, and 1% if made on or after the 4th anniversary of the funding date of the applicable Term Loan but prior to the Maturity Date. In addition to the prepayment premium, prepayments of any Term Loan prior to the 2nd anniversary of the funding date of such Term Loan are subject to a make-whole amount equal to the sum of all interest that would have accrued through such 2nd anniversary.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obligations under the Pharmakon Loan Agreement are secured by substantially all of our assets, including our intellectual property. Certain of our subsidiaries may, from time to time after the Tranche A Closing Date, be required to guarantee our obligations under the Pharmakon Loan Agreement and, in connection with such guarantee, pledge substantially all of their assets, including intellectual property, to secure such guarantee.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contains customary affirmative and restrictive covenants and representations and warranties. We are bound by certain affirmative covenants setting forth actions that are required during the term of the Pharmakon Loan Agreement, including, without limitation, certain information delivery requirements, obligations to maintain certain insurance, and certain notice requirements. There are no financial covenants. Additionally, we are bound by certain restrictive covenants setting forth actions that are not permitted to be taken during the term of the Pharmakon Loan Agreement, including, without limitation, (i) selling or disposing of assets, (ii) amending, modifying or waiving our rights under material agreements, (iii) consummating change in control transactions unless all amounts becoming due under the Loan Agreement are paid in full immediately upon (and concurrent with) the consummation of any such change in control transaction, (iv) incurring additional indebtedness, (v) incurring non-permitted liens or encumbrance on our or our subsidiaries’ assets, (vi) paying dividends or making any distribution or payment on or redeeming, retiring or purchasing any equity interests, and (vii) making payments on subordinated indebtedness, in each case, subject to specified exceptions. The Pharmakon Loan Agreement also contains the following events of default: (i) failure to pay principal, interest and other amounts when due, (ii) the breach of the covenants under the Loan Agreement, (iii) the occurrence of a material adverse change or the occurrence of a withdrawal event in respect of RYTELO, (iv) certain attachments of the credit parties assets and restraints on their business, (v) certain insolvency, liquidation, bankruptcy or similar events, (vi) certain cross-default of third-party indebtedness and royalty revenue contracts, (vii) the failure to pay certain judgements, (viii) material misrepresentations, (ix) the loan documents ceasing to create a valid security interest in a material portion of the collateral, (x) the occurrence of certain ERISA events, and (xi) the occurrence of a default under any subordination or intercreditor agreement, in each case subject to the grace periods, cure period and thresholds as specified in the Pharmakon Loan Agreement. Upon the occurrence and during the continuance of an event of default, the Lenders may, among other things, accelerate our obligations under the Pharmakon Loan Agreement (including all obligations for principal, interest and any applicable make-whole and prepayment premiums); provided that upon an event of default relating to certain insolvency, liquidation, bankruptcy or similar events, all outstanding obligations will be immediately accelerated.</w:t>
      </w:r>
    </w:p>
    <w:p>
      <w:pPr>
        <w:pStyle w:val="TextBody"/>
        <w:bidi w:val="0"/>
        <w:spacing w:before="0" w:after="0"/>
        <w:ind w:left="0" w:right="0" w:firstLine="1296"/>
        <w:jc w:val="left"/>
        <w:rPr/>
      </w:pPr>
      <w:r>
        <w:rPr/>
      </w:r>
    </w:p>
    <w:p>
      <w:pPr>
        <w:pStyle w:val="TextBody"/>
        <w:bidi w:val="0"/>
        <w:spacing w:lineRule="auto" w:line="216" w:before="0" w:after="0"/>
        <w:jc w:val="left"/>
        <w:rPr>
          <w:rFonts w:ascii="Times New Roman;serif" w:hAnsi="Times New Roman;serif"/>
          <w:b/>
          <w:color w:val="000000"/>
          <w:sz w:val="20"/>
        </w:rPr>
      </w:pPr>
      <w:r>
        <w:rPr>
          <w:rFonts w:ascii="Times New Roman;serif" w:hAnsi="Times New Roman;serif"/>
          <w:b/>
          <w:color w:val="000000"/>
          <w:sz w:val="20"/>
        </w:rPr>
        <w:t>Future Minimum Payments</w:t>
      </w:r>
    </w:p>
    <w:p>
      <w:pPr>
        <w:pStyle w:val="TextBody"/>
        <w:bidi w:val="0"/>
        <w:spacing w:before="0" w:after="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future minimum payments, including interest and the end of term charge, under the Loan Agreement as of June 30, 2025 (in thousands): </w:t>
      </w:r>
    </w:p>
    <w:tbl>
      <w:tblPr>
        <w:tblW w:w="5480" w:type="dxa"/>
        <w:jc w:val="center"/>
        <w:tblInd w:w="0" w:type="dxa"/>
        <w:tblLayout w:type="fixed"/>
        <w:tblCellMar>
          <w:top w:w="28" w:type="dxa"/>
          <w:left w:w="28" w:type="dxa"/>
          <w:bottom w:w="28" w:type="dxa"/>
          <w:right w:w="28" w:type="dxa"/>
        </w:tblCellMar>
      </w:tblPr>
      <w:tblGrid>
        <w:gridCol w:w="1550"/>
        <w:gridCol w:w="1360"/>
        <w:gridCol w:w="1379"/>
        <w:gridCol w:w="211"/>
        <w:gridCol w:w="82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12,734 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135,641 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183,472 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(6,009)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Liabilities Related to Sale of Future Royalties</w:t>
      </w:r>
    </w:p>
    <w:p>
      <w:pPr>
        <w:pStyle w:val="TextBody"/>
        <w:bidi w:val="0"/>
        <w:spacing w:before="0" w:after="0"/>
        <w:ind w:left="0" w:right="0" w:firstLine="49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which Royalty Pharma obtained the right, or the Revenue Participation Right, to receive certain amounts calculated as a percentage of future U.S. net sales of RYTELO for each calendar quarter, or Royalty Payments, during the term contemplated by the Royalty Pharma Agreement. Specifically, the revenue participation rate commences at 7.75% for annual U.S. net sales of up to and equal to $500.0 million declining to 1.0% for annual U.S. net sales exceeding $1.0 billion until the date when the aggregate Royalty Payments equal or exceed 1.65 times the Purchase Price, if this occurs by June 30, 2031 or the date when the aggregate Royalty Payments equal or exceed 2.0 times the Purchase Price.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had the option to repurchase all of the Revenue Participation Right from Royalty Pharma for a purchase price of equal to the Buy-Out-Payment, as defined below, if we entered into a definitive agreement to consummate a change of control, or Buy-Back Option. </w:t>
      </w:r>
    </w:p>
    <w:p>
      <w:pPr>
        <w:pStyle w:val="TextBody"/>
        <w:bidi w:val="0"/>
        <w:spacing w:lineRule="auto" w:line="288" w:before="0" w:after="240"/>
        <w:ind w:left="0" w:right="0" w:firstLine="1296"/>
        <w:jc w:val="left"/>
        <w:rPr>
          <w:color w:val="000000"/>
        </w:rPr>
      </w:pPr>
      <w:r>
        <w:rPr>
          <w:color w:val="000000"/>
        </w:rPr>
        <w:t>“</w:t>
      </w:r>
      <w:r>
        <w:rPr>
          <w:rFonts w:ascii="Times New Roman;serif" w:hAnsi="Times New Roman;serif"/>
          <w:b w:val="false"/>
          <w:color w:val="000000"/>
          <w:sz w:val="20"/>
        </w:rPr>
        <w:t xml:space="preserve">Buy-Out Payment” means an amount equal to (a) 1.65 times the Purchase Price minus the aggregate Royalty Payments as of the change of control, if the change of control occurs on or prior to December 31, 2027, or (b) 2.0 times the Purchase Price minus the aggregate Royalty Payments as of the change of control, if the change of control occurs after December 31, 2027.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accounted for the Royalty Pharma Agreement as a financing liability, primarily because it has significant continuing involvement in generating the future revenue on which the Royalty Payments are based. The liability related to Revenue Participation Right and the related interest expense are measured based on our current estimate of the timing and amount of expected future Royalty Payments expected to be paid over the estimated term of the Royalty Pharma Agreement The liability is amortized using the effective interest rate method, resulting in recognition of interest expense over the estimated term of the agreement.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determined the fair value of the liability related to the sale of future royalties is based on our current estimates of future royalties expected to be paid to Royalty Pharma over the life of the arrangement, which are considered Level 3.</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activity within the liability related to sale of future royalties during the six months ended June 30, 2025: </w:t>
      </w:r>
    </w:p>
    <w:p>
      <w:pPr>
        <w:pStyle w:val="TextBody"/>
        <w:bidi w:val="0"/>
        <w:spacing w:before="0" w:after="0"/>
        <w:ind w:left="0" w:right="0" w:firstLine="490"/>
        <w:jc w:val="left"/>
        <w:rPr/>
      </w:pPr>
      <w:r>
        <w:rPr/>
      </w:r>
    </w:p>
    <w:tbl>
      <w:tblPr>
        <w:tblW w:w="10205" w:type="dxa"/>
        <w:jc w:val="left"/>
        <w:tblInd w:w="0" w:type="dxa"/>
        <w:tblLayout w:type="fixed"/>
        <w:tblCellMar>
          <w:top w:w="28" w:type="dxa"/>
          <w:left w:w="28" w:type="dxa"/>
          <w:bottom w:w="28" w:type="dxa"/>
          <w:right w:w="28" w:type="dxa"/>
        </w:tblCellMar>
      </w:tblPr>
      <w:tblGrid>
        <w:gridCol w:w="2259"/>
        <w:gridCol w:w="1983"/>
        <w:gridCol w:w="1993"/>
        <w:gridCol w:w="109"/>
        <w:gridCol w:w="109"/>
        <w:gridCol w:w="109"/>
        <w:gridCol w:w="644"/>
        <w:gridCol w:w="2526"/>
        <w:gridCol w:w="473"/>
      </w:tblGrid>
      <w:tr>
        <w:trPr/>
        <w:tc>
          <w:tcPr>
            <w:tcW w:w="225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Liability Related to Sale of Future Royalties</w:t>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Carrying value of liability related to sale of future royalties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125,912 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(3,023)</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liability related to sale of future royalties at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127,968 </w:t>
            </w:r>
          </w:p>
        </w:tc>
        <w:tc>
          <w:tcPr>
            <w:tcW w:w="4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Embedded Derivatives and Debt Discounts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conditional exercisable call option related to the event of default is considered to be an embedded derivative which is required to be bifurcated and accounted for as a separate financial instrument. In the periods presented, the value of the embedded derivative is not material and therefore, no amount has been recognized. If an event of default becomes more probable than is currently estimated, then the embedded derivative could become material in future periods and would be recognized as a separate financial instrument at that time. The embedded derivatives are classified within Level 3 of the fair value hierarchy due to the use of significant unobservable inputs.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7. CONTINGENCIES AND UNCERTAINTIES</w:t>
      </w:r>
    </w:p>
    <w:p>
      <w:pPr>
        <w:pStyle w:val="TextBody"/>
        <w:bidi w:val="0"/>
        <w:spacing w:lineRule="auto" w:line="288" w:before="0" w:after="120"/>
        <w:jc w:val="left"/>
        <w:rPr/>
      </w:pPr>
      <w:r>
        <w:rPr>
          <w:rFonts w:ascii="Times New Roman;serif" w:hAnsi="Times New Roman;serif"/>
          <w:b/>
          <w:color w:val="000000"/>
          <w:sz w:val="20"/>
        </w:rPr>
        <w:t>Legal Proceedings</w:t>
      </w:r>
      <w:r>
        <w:rPr>
          <w:color w:val="000000"/>
        </w:rPr>
        <w:t xml:space="preserv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On March 13 and March 14, 2025, we and certain of our current and former officers were named as defendants in two putative securities class action lawsuits, each filed in the United States District Court for the Northern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pPr>
      <w:r>
        <w:rPr>
          <w:rFonts w:ascii="Times New Roman;serif" w:hAnsi="Times New Roman;serif"/>
          <w:b w:val="false"/>
          <w:color w:val="000000"/>
          <w:sz w:val="20"/>
        </w:rPr>
        <w:t xml:space="preserve">District of California, captioned </w:t>
      </w:r>
      <w:r>
        <w:rPr>
          <w:rFonts w:ascii="Times New Roman;serif" w:hAnsi="Times New Roman;serif"/>
          <w:b w:val="false"/>
          <w:i/>
          <w:color w:val="000000"/>
          <w:sz w:val="20"/>
        </w:rPr>
        <w:t>Dabestani v. Geron Corporation, et al.</w:t>
      </w:r>
      <w:r>
        <w:rPr>
          <w:rFonts w:ascii="Times New Roman;serif" w:hAnsi="Times New Roman;serif"/>
          <w:b w:val="false"/>
          <w:color w:val="000000"/>
          <w:sz w:val="20"/>
        </w:rPr>
        <w:t xml:space="preserve">, No. 3:25-cv-02507-CRB and </w:t>
      </w:r>
      <w:r>
        <w:rPr>
          <w:rFonts w:ascii="Times New Roman;serif" w:hAnsi="Times New Roman;serif"/>
          <w:b w:val="false"/>
          <w:i/>
          <w:color w:val="000000"/>
          <w:sz w:val="20"/>
        </w:rPr>
        <w:t>Potvin v. Geron Corporation, et al.,</w:t>
      </w:r>
      <w:r>
        <w:rPr>
          <w:color w:val="000000"/>
        </w:rPr>
        <w:t xml:space="preserve"> </w:t>
      </w:r>
      <w:r>
        <w:rPr>
          <w:rFonts w:ascii="Times New Roman;serif" w:hAnsi="Times New Roman;serif"/>
          <w:b w:val="false"/>
          <w:color w:val="000000"/>
          <w:sz w:val="20"/>
        </w:rPr>
        <w:t xml:space="preserve">No. 3:25-cv-02563-CRB, respectively. Both lawsuits allege violations of Sections 10(b) and 20(a) of the Securities Exchange Act of 1934, as amended, or the Exchange Act,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On May 29, 2025, the Court consolidated the </w:t>
      </w:r>
      <w:r>
        <w:rPr>
          <w:rFonts w:ascii="Times New Roman;serif" w:hAnsi="Times New Roman;serif"/>
          <w:b w:val="false"/>
          <w:i/>
          <w:color w:val="000000"/>
          <w:sz w:val="20"/>
        </w:rPr>
        <w:t xml:space="preserve">Dabestani </w:t>
      </w:r>
      <w:r>
        <w:rPr>
          <w:rFonts w:ascii="Times New Roman;serif" w:hAnsi="Times New Roman;serif"/>
          <w:b w:val="false"/>
          <w:color w:val="000000"/>
          <w:sz w:val="20"/>
        </w:rPr>
        <w:t xml:space="preserve">and </w:t>
      </w:r>
      <w:r>
        <w:rPr>
          <w:rFonts w:ascii="Times New Roman;serif" w:hAnsi="Times New Roman;serif"/>
          <w:b w:val="false"/>
          <w:i/>
          <w:color w:val="000000"/>
          <w:sz w:val="20"/>
        </w:rPr>
        <w:t>Potvin</w:t>
      </w:r>
      <w:r>
        <w:rPr>
          <w:color w:val="000000"/>
        </w:rPr>
        <w:t xml:space="preserve"> </w:t>
      </w:r>
      <w:r>
        <w:rPr>
          <w:rFonts w:ascii="Times New Roman;serif" w:hAnsi="Times New Roman;serif"/>
          <w:b w:val="false"/>
          <w:color w:val="000000"/>
          <w:sz w:val="20"/>
        </w:rPr>
        <w:t xml:space="preserve">cases into one consolidated action captioned </w:t>
      </w:r>
      <w:r>
        <w:rPr>
          <w:rFonts w:ascii="Times New Roman;serif" w:hAnsi="Times New Roman;serif"/>
          <w:b w:val="false"/>
          <w:i/>
          <w:color w:val="000000"/>
          <w:sz w:val="20"/>
        </w:rPr>
        <w:t>In re Geron Corporation Securities Litigation</w:t>
      </w:r>
      <w:r>
        <w:rPr>
          <w:rFonts w:ascii="Times New Roman;serif" w:hAnsi="Times New Roman;serif"/>
          <w:b w:val="false"/>
          <w:color w:val="000000"/>
          <w:sz w:val="20"/>
        </w:rPr>
        <w:t>, or the Securities Class Action, and appointed lead plaintiffs and counsel for lead plaintiffs. On June 10, 2025, the Court ordered plaintiffs to file a consolidated amended complaint by August 8, 2025.</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April 15, 2025 and April 16, 2025, three purported stockholders filed derivative complaints, each in the United States District Court for the Northern District of California, captioned </w:t>
      </w:r>
      <w:r>
        <w:rPr>
          <w:rFonts w:ascii="Times New Roman;serif" w:hAnsi="Times New Roman;serif"/>
          <w:b w:val="false"/>
          <w:i/>
          <w:color w:val="000000"/>
          <w:sz w:val="20"/>
        </w:rPr>
        <w:t>Bishop v. Scarlett, et al</w:t>
      </w:r>
      <w:r>
        <w:rPr>
          <w:rFonts w:ascii="Times New Roman;serif" w:hAnsi="Times New Roman;serif"/>
          <w:b w:val="false"/>
          <w:color w:val="000000"/>
          <w:sz w:val="20"/>
        </w:rPr>
        <w:t xml:space="preserve">., No. 3:25-cv-03356, </w:t>
      </w:r>
      <w:r>
        <w:rPr>
          <w:rFonts w:ascii="Times New Roman;serif" w:hAnsi="Times New Roman;serif"/>
          <w:b w:val="false"/>
          <w:i/>
          <w:color w:val="000000"/>
          <w:sz w:val="20"/>
        </w:rPr>
        <w:t>Lerner v. Scarlett, et al.</w:t>
      </w:r>
      <w:r>
        <w:rPr>
          <w:rFonts w:ascii="Times New Roman;serif" w:hAnsi="Times New Roman;serif"/>
          <w:b w:val="false"/>
          <w:color w:val="000000"/>
          <w:sz w:val="20"/>
        </w:rPr>
        <w:t xml:space="preserve">, No. 3:25-cv-03401, and </w:t>
      </w:r>
      <w:r>
        <w:rPr>
          <w:rFonts w:ascii="Times New Roman;serif" w:hAnsi="Times New Roman;serif"/>
          <w:b w:val="false"/>
          <w:i/>
          <w:color w:val="000000"/>
          <w:sz w:val="20"/>
        </w:rPr>
        <w:t>Willis v. Scarlett, et al</w:t>
      </w:r>
      <w:r>
        <w:rPr>
          <w:rFonts w:ascii="Times New Roman;serif" w:hAnsi="Times New Roman;serif"/>
          <w:b w:val="false"/>
          <w:color w:val="000000"/>
          <w:sz w:val="20"/>
        </w:rPr>
        <w:t xml:space="preserve">., No: 3:25-cv-03396, respectively. The three derivative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two aforementioned securities class action lawsuits, which these lawsuits are premised on. Each of the three plaintiffs seek damages and interest, and an award of reasonable costs, including attorneys' and experts' fees. The plaintiffs in Bishop v. Scarlett, et al. and Willis v. Scarlett, et al. also seek punitive damages. On May 16, 2025, the Court consolidated the three derivative complaints into one consolidated action captioned </w:t>
      </w:r>
      <w:r>
        <w:rPr>
          <w:rFonts w:ascii="Times New Roman;serif" w:hAnsi="Times New Roman;serif"/>
          <w:b w:val="false"/>
          <w:i/>
          <w:color w:val="000000"/>
          <w:sz w:val="20"/>
        </w:rPr>
        <w:t>In re Geron Corporation Derivative Litigation</w:t>
      </w:r>
      <w:r>
        <w:rPr>
          <w:rFonts w:ascii="Times New Roman;serif" w:hAnsi="Times New Roman;serif"/>
          <w:b w:val="false"/>
          <w:color w:val="000000"/>
          <w:sz w:val="20"/>
        </w:rPr>
        <w:t>, or the Consolidated Derivative Action. On June 17, 2025, the Court stayed the Consolidated Derivative Action pending a final ruling on the anticipated motion to dismiss in the Securities Class Action.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additional lawsuits will be filed or allegations made by stockholders with respect to these same or other matters and also naming us and/or our officers and directors as defendants. We intend to vigorously defend against the claims brought by the plaintiffs in these matters.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Such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defending against the pending lawsuits and any other related lawsuits, and we may not prevail. Monitoring, initiating and defending against legal actions is time-consuming for our management, is likely to be expensive, and may detract from our ability to fully focus our internal resources on our business activities. Additionally, we may not be successful in having any such lawsuits dismissed or settled within the limits of our insurance coverage. Given the early stage of these lawsuits and the inherent uncertainly of litigation, we cannot predict how long it may take to resolve the pending lawsuits or the potential outcome or possible amount of any damages. As such, we currently are unable to reasonably estimate the possible losses or a range of possible losses that may result from these matters, if any. Expenses associated with the pending lawsuits and any potential related lawsuits could be material to our consolidated financial statements if we do not prevail in the defense of such lawsuits, or even if we do prevail.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Indemnifications to Officers and Directors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engaged third</w:t>
        <w:noBreakHyphen/>
        <w:t>party contract manufacturers and have re-established our own manufacturing supply chain to manufacture and supply additional quantities of RYTELO that meet applicable regulatory standards for current and potential future clinical trials and commercial uses. Related to those contract manufacturing agreements, we have noncancelable commercial purchase commitments for approximately $124.7 million in the aggregate as of June 30, 2025. These purchase commitments can vary based on the commercial demand of RYTELO and are binding based on future manufacturing needs.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agreements with CROs for clinical trials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Warrant Exercises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30,380,000 pre-funded warrants issued in connection with our underwritten public offerings were net exercised, which resulted in the issuance of 30,369,830 shares of our common stock. The pre-funded warrants were issued in connection with underwritten public offerings of common stock and pre-funded warrants. There was no activity related to the pre-funded warrants during the second quarter of 2025. As of June 30, 2025, the following warrants remained outstanding from our offerings: </w:t>
      </w:r>
    </w:p>
    <w:p>
      <w:pPr>
        <w:pStyle w:val="TextBody"/>
        <w:bidi w:val="0"/>
        <w:spacing w:before="0" w:after="240"/>
        <w:ind w:left="0" w:right="0" w:firstLine="1296"/>
        <w:jc w:val="left"/>
        <w:rPr/>
      </w:pPr>
      <w:r>
        <w:rPr/>
      </w:r>
    </w:p>
    <w:p>
      <w:pPr>
        <w:pStyle w:val="TextBody"/>
        <w:bidi w:val="0"/>
        <w:spacing w:lineRule="auto" w:line="288" w:before="0" w:after="120"/>
        <w:ind w:left="0" w:right="0" w:hanging="1260"/>
        <w:jc w:val="left"/>
        <w:rPr/>
      </w:pPr>
      <w:r>
        <w:rPr>
          <w:color w:val="000000"/>
        </w:rPr>
        <w:t>•</w:t>
      </w:r>
      <w:r>
        <w:rPr>
          <w:rFonts w:ascii="Times New Roman;serif" w:hAnsi="Times New Roman;serif"/>
          <w:b w:val="false"/>
          <w:color w:val="000000"/>
          <w:sz w:val="20"/>
        </w:rPr>
        <w:t>pre-funded warrants with an exercise price of $0.001 per share to purchase 29,053,145 shares of our common stock, which have no expiration date; and</w:t>
      </w:r>
    </w:p>
    <w:p>
      <w:pPr>
        <w:pStyle w:val="TextBody"/>
        <w:bidi w:val="0"/>
        <w:spacing w:lineRule="auto" w:line="288" w:before="0" w:after="360"/>
        <w:ind w:left="0" w:right="0" w:hanging="1260"/>
        <w:jc w:val="left"/>
        <w:rPr/>
      </w:pPr>
      <w:r>
        <w:rPr>
          <w:color w:val="000000"/>
        </w:rPr>
        <w:t>•</w:t>
      </w:r>
      <w:r>
        <w:rPr>
          <w:rFonts w:ascii="Times New Roman;serif" w:hAnsi="Times New Roman;serif"/>
          <w:b w:val="false"/>
          <w:color w:val="000000"/>
          <w:sz w:val="20"/>
        </w:rPr>
        <w:t xml:space="preserve">stock purchase warrants with an exercise price of $1.30 per share to purchase 1,402,522 shares of our common stock, which expire on December 31, 2025.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Net Loss Per Share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Basic net income (loss) per share is calculated by dividing net income (loss) by the weighted-average number of shares of common stock outstanding for the periods presented without consideration of potential common shares. In connection with previous public offerings, we issued pre-funded warrants to purchase shares of our common stock.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and six months ended June 30, 2025 and 2024, the diluted net loss per share calculation excludes potential dilutive securities of 80,516,533 and 78,759,286, respectively, related to outstanding stock options and warrants as their effect would have been anti-dilutive.</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various stock incentive plans under which stock options and restricted stock awards and units can be granted to employees, non-employee directors and consultants, as applicable. We also have an employee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pPr>
      <w:r>
        <w:rPr>
          <w:rFonts w:ascii="Times New Roman;serif" w:hAnsi="Times New Roman;serif"/>
          <w:b w:val="false"/>
          <w:color w:val="000000"/>
          <w:sz w:val="20"/>
        </w:rPr>
        <w:t xml:space="preserve">purchase plan for all eligible employees. We recognize stock-based compensation expense based on grant-date fair values of service-based stock options and restricted stock </w:t>
      </w:r>
      <w:r>
        <w:rPr>
          <w:rFonts w:ascii="Times New Roman;serif" w:hAnsi="Times New Roman;serif"/>
          <w:b w:val="false"/>
          <w:color w:val="000000"/>
          <w:sz w:val="20"/>
          <w:shd w:fill="FFFFFF" w:val="clear"/>
        </w:rPr>
        <w:t>units, or RS</w:t>
      </w:r>
      <w:r>
        <w:rPr>
          <w:rFonts w:ascii="Times New Roman;serif" w:hAnsi="Times New Roman;serif"/>
          <w:b w:val="false"/>
          <w:color w:val="000000"/>
          <w:sz w:val="20"/>
        </w:rPr>
        <w:t>Us, on a straight-line basis over the requisite service period, which is generally the vesting period. For performance-based stock options, or PSOs, with vesting based on the achievement of certain strategic milestones, stock-based compensation expense is recognized over the period from the date the performance condition is determined to be probable of occurring through the date the applicable condition is expected to be met and is reduced for estimated forfeitures, as applicable. If the performance condition is not considered probable of being achieved, no stock-based compensation expense is recognized until such time as the performance condition is considered probable of being met, if at all. If the assessment of probability of the performance condition changes, the impact of the change in estimate would be recognized in the period of the change. The determination of grant-date fair values for our service-based and performance-based stock options and employee stock purchases using the Black-Scholes option</w:t>
        <w:noBreakHyphen/>
        <w:t>pricing model is affected by our stock price as well as assumptions regarding a number of complex and subjective variables. The grant-date fair value for service-based restricted stock awards is determined using the fair value of our common stock on the date of grant. We evaluate whether an adjustment to the assumptions of fair value of our common stock and historical volatility are required if observed prices of our common stock materially differ from historical information.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stock-based compensation expense included in operating expenses on our condensed consolidated statements of operations related to stock options, restricted stock units, and employee stock purchases for the three and six months ended June 30, 2025 and 2024, which was allocated as follows: </w:t>
      </w:r>
    </w:p>
    <w:tbl>
      <w:tblPr>
        <w:tblW w:w="9297" w:type="dxa"/>
        <w:jc w:val="left"/>
        <w:tblInd w:w="0" w:type="dxa"/>
        <w:tblLayout w:type="fixed"/>
        <w:tblCellMar>
          <w:top w:w="28" w:type="dxa"/>
          <w:left w:w="28" w:type="dxa"/>
          <w:bottom w:w="28" w:type="dxa"/>
          <w:right w:w="28" w:type="dxa"/>
        </w:tblCellMar>
      </w:tblPr>
      <w:tblGrid>
        <w:gridCol w:w="1245"/>
        <w:gridCol w:w="1096"/>
        <w:gridCol w:w="1108"/>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4,375 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6,056 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6,738 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12,625 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14,147 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17,502 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of $0.3 million and $0.6 million was capitalized to inventory for the three and six months ended June 30, 2025, respectively, and $0.1 million was capitalized to inventory for the three and six months ended June 30, 2024. </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stock-based compensation expense recognized in our condensed consolidated statements of operations for the three and six months ended June 30, 2025 and 2024 is based on awards ultimately expected to vest, it has been reduced for estimated forfeitures, but at a minimum, reflects the grant-date fair value of those awards that actually vested in the period. Forfeitures have been estimated at the time of grant based on historical data and revised, if necessary, in subsequent periods if actual forfeitures differ from those estimates.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Amendments to 2018 Equity Incentive Plan and 2014 Employee Stock Purchase Plan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br/>
        <w:t>        In May 2025, our stockholders approved amendments to (i) our 2018 Equity Incentive Plan, or 2018 EIP, to increase the total number of shares issuable under the 2018 EIP by 20,000,000 shares of our common stock, for an aggregate total reserve of 105,455,419 shares; and (ii) our 2014 Employee Stock Purchase Plan, or 2014 Purchase Plan, to increase the total number of shares issuable under the 2014 Purchase Plan by 6,000,000 shares of our common stock, for an aggregate total reserve of 8,000,000 shares. As of June 30, 2025, an aggregate of 47,398,383 shares of our common stock have been issued under our 2018 EIP and an aggregate of 2,159,003 shares of our common stock have been issued under our 2014 Purchase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grant service-based and performance-based stock options under our equity plans to employees, non-employee directors and consultants. The service-based vesting period for employee stock options is generally four years from the date of the stock option grant. PSOs vest upon the achievement of specified strategic milestones. The fair value of service-based stock options granted during the six months ended June 30, 2025 and 2024 has been estimated at the date of grant using the Black-Scholes option-pricing model with the following assumptions:</w:t>
      </w:r>
    </w:p>
    <w:tbl>
      <w:tblPr>
        <w:tblW w:w="6297" w:type="dxa"/>
        <w:jc w:val="center"/>
        <w:tblInd w:w="0" w:type="dxa"/>
        <w:tblLayout w:type="fixed"/>
        <w:tblCellMar>
          <w:top w:w="28" w:type="dxa"/>
          <w:left w:w="28" w:type="dxa"/>
          <w:bottom w:w="28" w:type="dxa"/>
          <w:right w:w="28" w:type="dxa"/>
        </w:tblCellMar>
      </w:tblPr>
      <w:tblGrid>
        <w:gridCol w:w="848"/>
        <w:gridCol w:w="745"/>
        <w:gridCol w:w="747"/>
        <w:gridCol w:w="714"/>
        <w:gridCol w:w="453"/>
        <w:gridCol w:w="453"/>
        <w:gridCol w:w="224"/>
        <w:gridCol w:w="224"/>
        <w:gridCol w:w="224"/>
        <w:gridCol w:w="645"/>
        <w:gridCol w:w="422"/>
        <w:gridCol w:w="598"/>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62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6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range</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71.96% to 73.94%</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82.94% to 86.68%</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range</w:t>
            </w:r>
          </w:p>
        </w:tc>
        <w:tc>
          <w:tcPr>
            <w:tcW w:w="162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4.04% to 4.47%</w:t>
            </w:r>
          </w:p>
        </w:tc>
        <w:tc>
          <w:tcPr>
            <w:tcW w:w="6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4.05% to 4.62%</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 years</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 years</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Employee Stock Purchase Plan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employees’ stock purchase rights during the six months ended June 30, 2025 and 2024 has been estimated using the Black-Scholes option-pricing model with the following assumptions: </w:t>
      </w:r>
    </w:p>
    <w:tbl>
      <w:tblPr>
        <w:tblW w:w="6986" w:type="dxa"/>
        <w:jc w:val="center"/>
        <w:tblInd w:w="0" w:type="dxa"/>
        <w:tblLayout w:type="fixed"/>
        <w:tblCellMar>
          <w:top w:w="28" w:type="dxa"/>
          <w:left w:w="28" w:type="dxa"/>
          <w:bottom w:w="28" w:type="dxa"/>
          <w:right w:w="28" w:type="dxa"/>
        </w:tblCellMar>
      </w:tblPr>
      <w:tblGrid>
        <w:gridCol w:w="848"/>
        <w:gridCol w:w="745"/>
        <w:gridCol w:w="747"/>
        <w:gridCol w:w="866"/>
        <w:gridCol w:w="549"/>
        <w:gridCol w:w="549"/>
        <w:gridCol w:w="224"/>
        <w:gridCol w:w="224"/>
        <w:gridCol w:w="224"/>
        <w:gridCol w:w="779"/>
        <w:gridCol w:w="509"/>
        <w:gridCol w:w="722"/>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6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9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c>
          <w:tcPr>
            <w:tcW w:w="6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 range</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44.18% to 93.79%</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59.46% to 79.05%</w:t>
            </w:r>
          </w:p>
        </w:tc>
      </w:tr>
      <w:tr>
        <w:trPr/>
        <w:tc>
          <w:tcPr>
            <w:tcW w:w="234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 range</w:t>
            </w:r>
          </w:p>
        </w:tc>
        <w:tc>
          <w:tcPr>
            <w:tcW w:w="1964"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4.17% to 5.10%</w:t>
            </w:r>
          </w:p>
        </w:tc>
        <w:tc>
          <w:tcPr>
            <w:tcW w:w="67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4.79% to 5.40%</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range</w:t>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 months to 12 months</w:t>
            </w:r>
          </w:p>
        </w:tc>
        <w:tc>
          <w:tcPr>
            <w:tcW w:w="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 months to 12 months</w:t>
            </w:r>
          </w:p>
        </w:tc>
      </w:tr>
    </w:tbl>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Dividend yield is based on historical cash dividend payments and Geron has paid no cash dividends to date. The expected volatility range is based on historical volatilities of our stock, since traded options on Geron common stock do not correspond to option terms and the trading volume of options is limited. The risk-free interest rate range is based on the U.S. Zero Coupon Treasury Strip Yields for the expected term in effect on the date of grant for an award. The expected term of stock options is derived from actual historical exercise and post-vesting cancellation data and represents the period of time that stock options granted are expected to be outstanding. The expected term of employees’ stock purchase rights is equal to the purchase period.</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Restricted Stock Units</w:t>
      </w:r>
    </w:p>
    <w:p>
      <w:pPr>
        <w:pStyle w:val="TextBody"/>
        <w:bidi w:val="0"/>
        <w:spacing w:lineRule="auto" w:line="288" w:before="0" w:after="360"/>
        <w:ind w:left="0" w:right="0" w:firstLine="1296"/>
        <w:jc w:val="left"/>
        <w:rPr/>
      </w:pPr>
      <w:r>
        <w:rPr>
          <w:rFonts w:ascii="Times New Roman;serif" w:hAnsi="Times New Roman;serif"/>
          <w:b w:val="false"/>
          <w:color w:val="000000"/>
          <w:sz w:val="20"/>
          <w:shd w:fill="FFFFFF" w:val="clear"/>
        </w:rPr>
        <w:t xml:space="preserve">We grant service-based RSUs under our equity plans to employees. The service-based vesting period for an employee RSU is generally </w:t>
      </w:r>
      <w:r>
        <w:rPr>
          <w:rFonts w:ascii="Times New Roman;serif" w:hAnsi="Times New Roman;serif"/>
          <w:b w:val="false"/>
          <w:color w:val="000000"/>
          <w:sz w:val="20"/>
        </w:rPr>
        <w:t xml:space="preserve">four years </w:t>
      </w:r>
      <w:r>
        <w:rPr>
          <w:rFonts w:ascii="Times New Roman;serif" w:hAnsi="Times New Roman;serif"/>
          <w:b w:val="false"/>
          <w:color w:val="000000"/>
          <w:sz w:val="20"/>
          <w:shd w:fill="FFFFFF" w:val="clear"/>
        </w:rPr>
        <w:t>from the date of the grant. We measure the expense of the RSUs based on the grant-date fair value.</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Non-Employee Stock-Based Awards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measure share-based payments to non-employees based on the grant-date fair value of the equity awards. We recognize stock-based compensation expense for the fair value of the vested portion of non-employee stock-based awards on our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stock options, RSUs and PSOs as of June 30, 2025:</w:t>
      </w:r>
    </w:p>
    <w:tbl>
      <w:tblPr>
        <w:tblW w:w="9479" w:type="dxa"/>
        <w:jc w:val="left"/>
        <w:tblInd w:w="0" w:type="dxa"/>
        <w:tblLayout w:type="fixed"/>
        <w:tblCellMar>
          <w:top w:w="28" w:type="dxa"/>
          <w:left w:w="28" w:type="dxa"/>
          <w:bottom w:w="28" w:type="dxa"/>
          <w:right w:w="28" w:type="dxa"/>
        </w:tblCellMar>
      </w:tblPr>
      <w:tblGrid>
        <w:gridCol w:w="1629"/>
        <w:gridCol w:w="1432"/>
        <w:gridCol w:w="1439"/>
        <w:gridCol w:w="109"/>
        <w:gridCol w:w="109"/>
        <w:gridCol w:w="109"/>
        <w:gridCol w:w="576"/>
        <w:gridCol w:w="579"/>
        <w:gridCol w:w="441"/>
        <w:gridCol w:w="109"/>
        <w:gridCol w:w="109"/>
        <w:gridCol w:w="109"/>
        <w:gridCol w:w="488"/>
        <w:gridCol w:w="488"/>
        <w:gridCol w:w="201"/>
        <w:gridCol w:w="109"/>
        <w:gridCol w:w="109"/>
        <w:gridCol w:w="109"/>
        <w:gridCol w:w="488"/>
        <w:gridCol w:w="488"/>
        <w:gridCol w:w="249"/>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Stock 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PSOs</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awards outstanding, beginning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71,180,260 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4,787,107 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Changes during the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15,179,500 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4,699,750 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Exercised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(591,321)</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Expired or 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(15,725,482)</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(821,500)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(73,100)</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outstanding,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70,042,957 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3,878,250 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4,340,457 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portion of equity outstanding,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32,083,468 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3,878,250 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of June 30, 2025, total compensation cost related to unvested awards not yet recognized and the weighted-average periods over which the awards are expected to be recognized were as follows ($ in thousands):</w:t>
      </w:r>
    </w:p>
    <w:tbl>
      <w:tblPr>
        <w:tblW w:w="10205" w:type="dxa"/>
        <w:jc w:val="left"/>
        <w:tblInd w:w="0" w:type="dxa"/>
        <w:tblLayout w:type="fixed"/>
        <w:tblCellMar>
          <w:top w:w="28" w:type="dxa"/>
          <w:left w:w="28" w:type="dxa"/>
          <w:bottom w:w="28" w:type="dxa"/>
          <w:right w:w="28" w:type="dxa"/>
        </w:tblCellMar>
      </w:tblPr>
      <w:tblGrid>
        <w:gridCol w:w="2021"/>
        <w:gridCol w:w="1705"/>
        <w:gridCol w:w="1713"/>
        <w:gridCol w:w="109"/>
        <w:gridCol w:w="109"/>
        <w:gridCol w:w="109"/>
        <w:gridCol w:w="211"/>
        <w:gridCol w:w="1081"/>
        <w:gridCol w:w="109"/>
        <w:gridCol w:w="109"/>
        <w:gridCol w:w="109"/>
        <w:gridCol w:w="109"/>
        <w:gridCol w:w="211"/>
        <w:gridCol w:w="976"/>
        <w:gridCol w:w="109"/>
        <w:gridCol w:w="109"/>
        <w:gridCol w:w="109"/>
        <w:gridCol w:w="109"/>
        <w:gridCol w:w="211"/>
        <w:gridCol w:w="721"/>
        <w:gridCol w:w="156"/>
      </w:tblGrid>
      <w:tr>
        <w:trPr/>
        <w:tc>
          <w:tcPr>
            <w:tcW w:w="2021"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PSOs </w:t>
            </w:r>
          </w:p>
        </w:tc>
      </w:tr>
      <w:tr>
        <w:trPr/>
        <w:tc>
          <w:tcPr>
            <w:tcW w:w="5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Unrecognized compensation cost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42,177,124 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6,960,870 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weighted-average period in years of compensation cost to be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9. SEGMENT REPORTING</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are currently developing therapies for the treatment of hematologic malignancies. To date, our only source of product revenue has been from U.S. sales of RYTELO, which began shipping to customers in June 2024. Additionally, we have generated insignificant royalty and license fee revenue under agreements that out-license technology to various companies.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2025, we have identified one operating and reportable segment. We define our operating segment based on internally reported financial information that is regularly reviewed by the Chief Operating Decision Maker, or CODM, to analyze financial performance, make decisions, and allocate resources. Our Interim President and Chief Executive Officer is the CODM.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CODM reviews the segment's profit or loss based on net (loss) income reported on the consolidated statement of operations and comprehensive (loss) income and considers forecast-to-actuals variances on a quarterly basis for expenses that are deemed significant. Further, the CODM reviews the segment's assets based on total assets reported on the consolidated balance sheet. All long-lived assets are held in the United States.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CODM views specific categories within research and development expenses and selling, general and administrative expenses as significant given the correlation between cash burn and profitability. The following table reconciles reported revenues to net (loss) income under the significant expense principle for the three and six months ended June 30, 2025 and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8970" w:type="dxa"/>
        <w:jc w:val="left"/>
        <w:tblInd w:w="0" w:type="dxa"/>
        <w:tblLayout w:type="fixed"/>
        <w:tblCellMar>
          <w:top w:w="28" w:type="dxa"/>
          <w:left w:w="28" w:type="dxa"/>
          <w:bottom w:w="28" w:type="dxa"/>
          <w:right w:w="28" w:type="dxa"/>
        </w:tblCellMar>
      </w:tblPr>
      <w:tblGrid>
        <w:gridCol w:w="1570"/>
        <w:gridCol w:w="1373"/>
        <w:gridCol w:w="1392"/>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91"/>
        <w:gridCol w:w="154"/>
      </w:tblGrid>
      <w:tr>
        <w:trPr/>
        <w:tc>
          <w:tcPr>
            <w:tcW w:w="157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Product revenue,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Royalties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Research and clinical expenses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Chemistry, manufacturing, and control expenses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Commercial expenses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expenses*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r>
      <w:tr>
        <w:trPr/>
        <w:tc>
          <w:tcPr>
            <w:tcW w:w="4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segment expenses includes stock-based compensation expense and other general and administrative expenses largely resulting from personnel costs for individuals in administrative functions and legal and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JUNE 30, 2025</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60"/>
        <w:jc w:val="left"/>
        <w:rPr/>
      </w:pPr>
      <w:r>
        <w:rPr/>
      </w:r>
    </w:p>
    <w:p>
      <w:pPr>
        <w:pStyle w:val="TextBody"/>
        <w:bidi w:val="0"/>
        <w:spacing w:before="0" w:after="160"/>
        <w:jc w:val="left"/>
        <w:rPr/>
      </w:pPr>
      <w:r>
        <w:rPr/>
      </w: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10. SUBSEQUENT EVENTS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Effective August 1, 2025, the Compensation Committee of our Board of Directors approved an amendment to our 2018 Inducement Award Plan to increase the number of shares of our common stock issuable thereunder from 40,300,000 shares to 51,300,000 shares, to be used exclusively for grants of inducement awards to individuals who were not previously employees or directors of the Company, other than following a bona fide period of non-employment, as a material inducement within the meaning of Rule 5635(c)(4) of the Nasdaq Listing Rules to each such individual’s entry into employment with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the Report and are statements regarding our intent, belief, or current expectations, primarily with respect to our business and related industry developments. You should not place undue reliance on these forward-looking statements, which apply only as of the date of this Report. Our actual results could differ materially from those anticipated in these forward-looking statements for many reasons, including the risks faced by us and described in Part II, Item 1A, titled “Risk Factors,” and in “Management’s Discussion and Analysis of Financial Condition and Results of Operations” in Part I, Item 2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should be read in conjunction with the unaudited condensed consolidated financial statements and notes thereto included in Part I, Item 1 of this Report; and the sections titled “Business” and “Management’s Discussion and Analysis of Financial Condition and Results of Operations” contained in our Form 10-K for the year ended December 31, 2024 as filed with the SEC on February 27, 2025, or the 2024 Form 10-K.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Company Overview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Summary </w:t>
      </w:r>
    </w:p>
    <w:p>
      <w:pPr>
        <w:pStyle w:val="TextBody"/>
        <w:bidi w:val="0"/>
        <w:spacing w:lineRule="auto" w:line="288" w:before="0" w:after="240"/>
        <w:ind w:left="0" w:right="0" w:firstLine="1296"/>
        <w:jc w:val="left"/>
        <w:rPr/>
      </w:pPr>
      <w:r>
        <w:rPr>
          <w:rFonts w:ascii="Times New Roman;serif" w:hAnsi="Times New Roman;serif"/>
          <w:b w:val="false"/>
          <w:color w:val="000000"/>
          <w:sz w:val="20"/>
        </w:rPr>
        <w:t>We are a commercial-stage biopharmaceutical company aiming to change lives by changing the course of blood cancer. Our first-in-class telomerase inhibitor, RYTELO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(imetelstat), harnesses Nobel Prize-winning science in a treatment that scientific evidence suggests reduces proliferation of malignant cells, allowing production of new healthy cells, which we believe drives differentiated clinical benefits, potentially altering the underlying course and modifying the disease of these hematologic malignancies.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commercially launched RYTELO in the U.S. in June 2024 following its approval by the U.S. Food and Drug Administration, or FDA, on June 6, 2024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ESAs. Lower-risk MDS is a progressive blood cancer with high unmet need, where many patients with anemia become dependent on red blood cell transfusions, which can be associated with clinical consequences and decreased quality of life. </w:t>
      </w:r>
      <w:r>
        <w:rPr>
          <w:rFonts w:ascii="Times New Roman;serif" w:hAnsi="Times New Roman;serif"/>
          <w:b w:val="false"/>
          <w:color w:val="000000"/>
          <w:sz w:val="20"/>
          <w:shd w:fill="FFFFFF" w:val="clear"/>
        </w:rPr>
        <w:t>We believe that the high unmet need in lower-risk MDS and significant product differentiation, including observed benefit, of RYTELO in difficult-to-treat sub-populations such as patients with high transfusion burden and ring sideroblast negative, or RS- patients, as well as the favorable FDA label and the National Comprehensive Cancer Network, or NCCN</w:t>
      </w:r>
      <w:r>
        <w:rPr>
          <w:rFonts w:ascii="Times New Roman;serif" w:hAnsi="Times New Roman;serif"/>
          <w:b w:val="false"/>
          <w:color w:val="000000"/>
          <w:sz w:val="13"/>
          <w:shd w:fill="FFFFFF" w:val="clear"/>
        </w:rPr>
        <w:t>®</w:t>
      </w:r>
      <w:r>
        <w:rPr>
          <w:rFonts w:ascii="Times New Roman;serif" w:hAnsi="Times New Roman;serif"/>
          <w:b w:val="false"/>
          <w:color w:val="000000"/>
          <w:sz w:val="20"/>
          <w:shd w:fill="FFFFFF" w:val="clear"/>
        </w:rPr>
        <w:t>, Clinical Practice Guidelines in Oncology, or NCCN Guidelines</w:t>
      </w:r>
      <w:r>
        <w:rPr>
          <w:rFonts w:ascii="Times New Roman;serif" w:hAnsi="Times New Roman;serif"/>
          <w:b w:val="false"/>
          <w:color w:val="000000"/>
          <w:sz w:val="13"/>
          <w:shd w:fill="FFFFFF" w:val="clear"/>
        </w:rPr>
        <w:t>®</w:t>
      </w:r>
      <w:r>
        <w:rPr>
          <w:rFonts w:ascii="Times New Roman;serif" w:hAnsi="Times New Roman;serif"/>
          <w:b w:val="false"/>
          <w:color w:val="000000"/>
          <w:sz w:val="20"/>
          <w:shd w:fill="FFFFFF" w:val="clear"/>
        </w:rPr>
        <w:t>, position RYTELO to potentially compete for significant market segments in lower-risk MDS.</w:t>
      </w:r>
    </w:p>
    <w:p>
      <w:pPr>
        <w:pStyle w:val="TextBody"/>
        <w:bidi w:val="0"/>
        <w:spacing w:lineRule="auto" w:line="288" w:before="0" w:after="240"/>
        <w:ind w:left="0" w:right="0" w:firstLine="1296"/>
        <w:jc w:val="left"/>
        <w:rPr/>
      </w:pPr>
      <w:r>
        <w:rPr>
          <w:rFonts w:ascii="Times New Roman;serif" w:hAnsi="Times New Roman;serif"/>
          <w:b w:val="false"/>
          <w:color w:val="000000"/>
          <w:sz w:val="20"/>
        </w:rPr>
        <w:t>In March 2025, we were granted marketing authorization by the European Commission, or EC, for RYTELO as a monotherapy for the treatment of adult patients with TD anemia due to very low, low or intermediate risk myelodysplastic syndromes without an isolated deletion 5q cytogenetic, or non-del 5q, abnormality and who had an unsatisfactory response to or are ineligible for erythropoietin-based therapy</w:t>
      </w:r>
      <w:r>
        <w:rPr>
          <w:rFonts w:ascii="Times New Roman;serif" w:hAnsi="Times New Roman;serif"/>
          <w:b w:val="false"/>
          <w:color w:val="000000"/>
          <w:sz w:val="20"/>
          <w:shd w:fill="FFFFFF" w:val="clear"/>
        </w:rPr>
        <w:t>. We are preparing for the planned commercialization of RYTELO in select EU markets in 2026. At this time, we do not plan to commercialize RYTELO independently in the EU (or in any other regions outside of the United States where RYTELO may be approved for marketing in the future). Accordingly, we plan to work with experienced third parties for the commercialization and marketing of RYTELO in the EU, including on critical path activities for the planned launch of RYTELO in the EU, such as reimbursement, Health Technology Assessment, or HTA, submissions, market access and distribution.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lower-risk MDS, we are developing imetelstat for the treatment of other myeloid hematologic malignancies. Our Phase 3 IMpactMF clinical trial is evaluating imetelstat in patients with intermediate-2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high-risk myelofibrosis, or MF, who have relapsed after or are refractory to treatment with a janus associate kinase inhibitor, or JAK inhibitor, or relapsed/refractory MF with overall survival, or OS, as the primary end</w:t>
      </w:r>
      <w:r>
        <w:rPr>
          <w:rFonts w:ascii="Times New Roman;serif" w:hAnsi="Times New Roman;serif"/>
          <w:b w:val="false"/>
          <w:color w:val="000000"/>
          <w:sz w:val="20"/>
          <w:shd w:fill="FFFFFF" w:val="clear"/>
        </w:rPr>
        <w:t xml:space="preserve">point. </w:t>
      </w:r>
      <w:r>
        <w:rPr>
          <w:rFonts w:ascii="Times New Roman;serif" w:hAnsi="Times New Roman;serif"/>
          <w:b w:val="false"/>
          <w:color w:val="000000"/>
          <w:sz w:val="20"/>
        </w:rPr>
        <w:t>As of the end of July 2025, the trial has reached over 95% enrollment and we expect to complete enrollment by the end of 2025. Based on our current planning assumptions for enrollment and event (death) rates in the trial, we expect the interim analysis for OS in IMpactMF may occur in the second half of 2026 and the final analysis may occur in the second half of 2028.</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telomerase inhibition with imetelstat represents a novel mechanism of action with unique benefits in hematologic malignancies and potentially in other tumor types.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primarily financed our operations through the sale of equity securities, draw downs on our debt facilities, interest income on our marketable securities, and payments we received under the Royalty Pharma Agreement and our prior collaborative and licensing arrangements. As of June 30, 2025, we had approximately $432.6 million in cash, cash equivalents, restricted cash and marketable securities.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commercializing RYTELO in June 2024, and the commercial potential of and our ability to successfully commercialize RYTELO remains unproven. Our success in commercializing RYTELO will require, among other things, effective sales, marketing, manufacturing, distribution, information systems and pricing strategies, as well as compliance with applicable laws and regulations. Prior to our commercialization of RYTELO, substantially all of our revenues were generated from payments under prior collaboration agreements, and milestones, royalties and other revenues from our licensing arrangements. We reported a small profit for the year ended December 31, 2015,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June 30, 2025, we had an accumulated deficit of approximately $1.8 billion.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See </w:t>
      </w:r>
      <w:hyperlink w:anchor="id7efb3ede15a4d12a6ecfcbc465dd776_52">
        <w:r>
          <w:rPr>
            <w:rStyle w:val="InternetLink"/>
            <w:rFonts w:ascii="Times New Roman;serif" w:hAnsi="Times New Roman;serif"/>
            <w:b w:val="false"/>
            <w:strike w:val="false"/>
            <w:dstrike w:val="false"/>
            <w:color w:val="000000"/>
            <w:sz w:val="20"/>
            <w:u w:val="none"/>
            <w:effect w:val="none"/>
          </w:rPr>
          <w:t>Note 6</w:t>
        </w:r>
      </w:hyperlink>
      <w:r>
        <w:rPr>
          <w:rFonts w:ascii="Times New Roman;serif" w:hAnsi="Times New Roman;serif"/>
          <w:b w:val="false"/>
          <w:color w:val="000000"/>
          <w:sz w:val="20"/>
        </w:rPr>
        <w:t xml:space="preserve"> 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which Royalty Pharma obtained the right to receive tiered royalty payments with respect to annual U.S. net sales, or Annual Net Sales, of RYTELO beginning on July 1, 2024, ranging from: (i) 7.75% of Annual Net Sales up to $500.0 million; (ii) 3.0% of Annual Net Sales in excess of $500.0 million but less than or equal to $1.0 billion; and (iii) 1.0% in respect of Annual Net Sales in excess of $1.0 billion, or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Based on our current operating plans and assumptions, we expect that our Royalty Payments to Royalty Pharma will reach a multiple of 1.65 times the Purchase Price in respect of net sales occurring on or before June 30, 2031. Our Royalty Payment obligations under the Royalty Pharma Agreement may be discharged in connection with a change of control of Geron in an amount equal to 1.65 times the Purchase Price minus the aggregate Royalty Payments received by Royalty Pharma as of the date of the closing of the change of control, if the closing of the change of control occurs on or prior to December 31, 2027, or in an amount equal to 2.0 times the Purchase Price minus the aggregate Royalty Payments received by Royalty Pharma as of the date of the closing of the change of control, if the closing of the change of control occurs after December 31, 2027. There are no other royalties payable on RYTELO, which was developed internally and is exclusively owned by Geron.</w:t>
      </w:r>
    </w:p>
    <w:p>
      <w:pPr>
        <w:pStyle w:val="TextBody"/>
        <w:bidi w:val="0"/>
        <w:spacing w:lineRule="auto" w:line="276" w:before="0" w:after="0"/>
        <w:ind w:left="0" w:right="0" w:firstLine="1440"/>
        <w:jc w:val="left"/>
        <w:rPr/>
      </w:pPr>
      <w:r>
        <w:rPr>
          <w:rFonts w:ascii="Times New Roman;serif" w:hAnsi="Times New Roman;serif"/>
          <w:b w:val="false"/>
          <w:color w:val="000000"/>
          <w:sz w:val="20"/>
          <w:shd w:fill="FFFFFF" w:val="clear"/>
        </w:rPr>
        <w:t>The significance of future losses, future revenues and any potential future profitability will depend primarily on the clinical and commercial success of RYTELO, our sole product. In this regard, our ability to generate meaningful revenue from product sales and achieve profitability is wholly dependent on our ability to successfully commercialize RYTELO in the U.S. for lower-risk MDS or to expand its indications of use.</w:t>
      </w:r>
      <w:r>
        <w:rPr>
          <w:color w:val="000000"/>
        </w:rPr>
        <w:t xml:space="preserve"> </w:t>
      </w:r>
      <w:r>
        <w:rPr>
          <w:rFonts w:ascii="Times New Roman;serif" w:hAnsi="Times New Roman;serif"/>
          <w:b w:val="false"/>
          <w:color w:val="000000"/>
          <w:sz w:val="20"/>
        </w:rPr>
        <w:t>We have seen and may continue to see variability in RYTELO sales trends. Net product revenue was approximately $49.0 million in the second quarter of 2025, $39.4 million in the first quarter of 2025, and $47.5 million in the fourth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ind w:left="0" w:right="0" w:firstLine="1296"/>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priority is to drive new patient starts across the breadth of the eligible patient population in RYTELO’s approved indication in the U.S. Our strategy to drive sales growth in the U.S. is currently focused on three key areas: investing additional resources to increase brand awareness, including increasing the size of our commercial and medical field forces; refining our marketing and medical efforts to enhance prescribing clarity and confidence with the approved use of RYTELO; and implementing programs to expand key opinion leader support and advocacy. However, this strategy and our ongoing commercialization efforts may not achieve meaningful sales growth, which may require us to, among others, further adjust or amend our commercialization strategy and plans and incur significant expenses, and there can be no assurance that we will be able to grow RYTELO net product revenues in future periods. In particular, our strategy may not drive new patient starts across the breadth of the eligible patient population in RYTELO's approved indication in a timely manner or at all, or the duration of therapy could be shorter than we expect, each of which would limit RYTELO’s growth potential and could preclude or delay our ability to generate meaningful revenue from product sales and to achieve profitability. In addition, in an effort to expand its indications of use, we are also developing RYTELO for the treatment of several myeloid hematologic malignancies that will continue to require additional time and significant investment in clinical trials to complete. We also expect to continue to seek regulatory approvals of RYTELO in jurisdictions outside of the United States, such as our recent marketing authorization in the EU, and to establish arrangements with third parties to assist us in the commercialization of RYTELO in such jurisdictions. As a result, we expect research and development expenses and selling, general and administrative expenses to increase in future periods as we continue to support the commercialization of RYTELO in the U.S. and further development of RYTELO, including the conduct and completion of our IMpactMF Phase 3 clinical trial, as well as our ongoing Phase 1 IMproveMF combination clinical trial in frontline MF and our Phase 2 investigator-led IMpress clinical trial in higher-risk MDS and acute myeloid leukemia, and as we prepare for commercialization of RYTELO in the EU in lower-risk MDS. In addition, we expect our interest expense to increase due to the draw down of the Tranche A Loan and potential future draw downs of the other Term Loans under the Pharmakon Loan Agreement, if available, as well as the non-cash interest expense related to the Royalty Pharma Agreement.</w:t>
      </w:r>
    </w:p>
    <w:p>
      <w:pPr>
        <w:pStyle w:val="TextBody"/>
        <w:bidi w:val="0"/>
        <w:spacing w:before="0" w:after="0"/>
        <w:ind w:left="0" w:right="0" w:firstLine="12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United States, and present a meaningful presentation of our financial condition and results of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are described in Item 7, “Critical Accounting Policies and Estimates” in our 2024 Form 10-K. There have been no significant changes in our critical accounting policies and estimates during the three months and six months ended June 30, 2025, as compared to the critical accounting policies and estimates disclosed in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 In this regard, although we have begun to recognize revenue from RYTELO product sales in the U.S., we are early in </w:t>
      </w:r>
      <w:r>
        <w:rPr>
          <w:rFonts w:ascii="Times New Roman;serif" w:hAnsi="Times New Roman;serif"/>
          <w:b w:val="false"/>
          <w:color w:val="000000"/>
          <w:sz w:val="20"/>
          <w:shd w:fill="FFFFFF" w:val="clear"/>
        </w:rPr>
        <w:t>our commercialization efforts. We expect that our sales revenue may vary from period to period as our commercialization efforts progress.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RYTELO is our only product approved for marketing in the U.S. and the EU for certain patients with lower-risk MDS. Revenue based on sales of RYTELO is dependent on our ability to successfully commercialize RYTELO in the U.S. and the EU and to obtain regulatory approvals to commercialize RYTELO in other jurisdictions and in other indications. We are subject to risks common to companies in our industry and at our stage of development, including, but not limited to, risks inherent in the development, manufacture, regulatory approval for and commercialization of RYTELO; uncertainty of non-clinical and clinical trial results or regulatory approvals or clearances; the future development of imetelstat by us and its use by patients generally, including any future efficacy or safety results from clinical or commercial use that may cause the benefit-risk profile of imetelstat to become unacceptable; the uncertain and unpredictable drug research and development process; our ability to obtain and maintain contractual arrangements, strategic partnerships, collaborations, alliances or licensing arrangements with third parties to assist us with the commercialization of RYTELO in jurisdictions outside of the U.S.; overcoming disruptions and/or delays due to macroeconomic or other global conditions, such as further changes in tariffs and other trade restrictions, </w:t>
      </w:r>
      <w:r>
        <w:rPr>
          <w:rFonts w:ascii="Times New Roman;serif" w:hAnsi="Times New Roman;serif"/>
          <w:b w:val="false"/>
          <w:color w:val="000000"/>
          <w:sz w:val="20"/>
          <w:shd w:fill="FFFFFF" w:val="clear"/>
        </w:rPr>
        <w:t xml:space="preserve">renegotiation of existing international trade agreements or further escalation of trade tensions, </w:t>
      </w:r>
      <w:r>
        <w:rPr>
          <w:rFonts w:ascii="Times New Roman;serif" w:hAnsi="Times New Roman;serif"/>
          <w:b w:val="false"/>
          <w:color w:val="000000"/>
          <w:sz w:val="20"/>
        </w:rPr>
        <w:t xml:space="preserve">inflation, fluctuations in interest rates, prospects of a recession, government shutdowns, bank failures and other disruptions to financial systems, civil or political unrest, military conflicts, pandemics or other health crises and supply chain and resource issues; our ability to obtain additional capital if and when needed; enforcement of our patent and proprietary rights; reliance upon our CROs, contract manufacturing organizations, or CMOs, consultants, licensees, investigators and other third parties; and potential competition.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and six months ended June 30 :</w:t>
      </w:r>
    </w:p>
    <w:tbl>
      <w:tblPr>
        <w:tblW w:w="11402" w:type="dxa"/>
        <w:jc w:val="left"/>
        <w:tblInd w:w="0" w:type="dxa"/>
        <w:tblLayout w:type="fixed"/>
        <w:tblCellMar>
          <w:top w:w="28" w:type="dxa"/>
          <w:left w:w="28" w:type="dxa"/>
          <w:bottom w:w="28" w:type="dxa"/>
          <w:right w:w="28" w:type="dxa"/>
        </w:tblCellMar>
      </w:tblPr>
      <w:tblGrid>
        <w:gridCol w:w="594"/>
        <w:gridCol w:w="258"/>
        <w:gridCol w:w="259"/>
        <w:gridCol w:w="196"/>
        <w:gridCol w:w="661"/>
        <w:gridCol w:w="109"/>
        <w:gridCol w:w="109"/>
        <w:gridCol w:w="109"/>
        <w:gridCol w:w="109"/>
        <w:gridCol w:w="196"/>
        <w:gridCol w:w="661"/>
        <w:gridCol w:w="109"/>
        <w:gridCol w:w="109"/>
        <w:gridCol w:w="109"/>
        <w:gridCol w:w="109"/>
        <w:gridCol w:w="196"/>
        <w:gridCol w:w="646"/>
        <w:gridCol w:w="109"/>
        <w:gridCol w:w="109"/>
        <w:gridCol w:w="109"/>
        <w:gridCol w:w="109"/>
        <w:gridCol w:w="236"/>
        <w:gridCol w:w="185"/>
        <w:gridCol w:w="357"/>
        <w:gridCol w:w="109"/>
        <w:gridCol w:w="109"/>
        <w:gridCol w:w="109"/>
        <w:gridCol w:w="196"/>
        <w:gridCol w:w="661"/>
        <w:gridCol w:w="109"/>
        <w:gridCol w:w="109"/>
        <w:gridCol w:w="109"/>
        <w:gridCol w:w="109"/>
        <w:gridCol w:w="196"/>
        <w:gridCol w:w="751"/>
        <w:gridCol w:w="109"/>
        <w:gridCol w:w="196"/>
        <w:gridCol w:w="646"/>
        <w:gridCol w:w="109"/>
        <w:gridCol w:w="109"/>
        <w:gridCol w:w="109"/>
        <w:gridCol w:w="109"/>
        <w:gridCol w:w="236"/>
        <w:gridCol w:w="185"/>
        <w:gridCol w:w="357"/>
        <w:gridCol w:w="109"/>
        <w:gridCol w:w="109"/>
        <w:gridCol w:w="109"/>
        <w:gridCol w:w="109"/>
        <w:gridCol w:w="109"/>
        <w:gridCol w:w="109"/>
        <w:gridCol w:w="109"/>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4" w:type="dxa"/>
            <w:gridSpan w:val="4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except for percentage data) </w:t>
            </w:r>
          </w:p>
        </w:tc>
        <w:tc>
          <w:tcPr>
            <w:tcW w:w="917" w:type="dxa"/>
            <w:gridSpan w:val="8"/>
            <w:tcBorders/>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revenues, net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(72)</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87,453 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Costs and operating expenses: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(9,043)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60,152 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30"/>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39,419 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(8,725)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126,653 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(69,333)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(125,467)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and (expense),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(67,383)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51,008 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(122,773)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86,563 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158"/>
        <w:jc w:val="left"/>
        <w:rPr>
          <w:rFonts w:ascii="Times New Roman;serif" w:hAnsi="Times New Roman;serif"/>
          <w:b w:val="false"/>
          <w:color w:val="000000"/>
          <w:sz w:val="18"/>
        </w:rPr>
      </w:pPr>
      <w:r>
        <w:rPr>
          <w:rFonts w:ascii="Times New Roman;serif" w:hAnsi="Times New Roman;serif"/>
          <w:b w:val="false"/>
          <w:color w:val="000000"/>
          <w:sz w:val="18"/>
        </w:rPr>
        <w:t>*Percentage not meaningful</w:t>
      </w:r>
    </w:p>
    <w:p>
      <w:pPr>
        <w:pStyle w:val="TextBody"/>
        <w:bidi w:val="0"/>
        <w:spacing w:lineRule="auto" w:line="288" w:before="0" w:after="120"/>
        <w:jc w:val="left"/>
        <w:rPr/>
      </w:pPr>
      <w:r>
        <w:rPr>
          <w:rFonts w:ascii="Times New Roman;serif" w:hAnsi="Times New Roman;serif"/>
          <w:b/>
          <w:color w:val="000000"/>
          <w:sz w:val="20"/>
        </w:rPr>
        <w:t>Revenues:</w:t>
      </w:r>
      <w:r>
        <w:rPr>
          <w:color w:val="000000"/>
        </w:rPr>
        <w:t xml:space="preserve">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Product Revenues, Net</w:t>
      </w:r>
    </w:p>
    <w:p>
      <w:pPr>
        <w:pStyle w:val="TextBody"/>
        <w:bidi w:val="0"/>
        <w:spacing w:lineRule="auto" w:line="268" w:before="0" w:after="0"/>
        <w:ind w:left="0" w:right="0" w:firstLine="1260"/>
        <w:jc w:val="left"/>
        <w:rPr/>
      </w:pPr>
      <w:r>
        <w:rPr>
          <w:rFonts w:ascii="Times New Roman;serif" w:hAnsi="Times New Roman;serif"/>
          <w:b w:val="false"/>
          <w:color w:val="000000"/>
          <w:sz w:val="20"/>
        </w:rPr>
        <w:t>On June 6, 2024, we announced that the FDA approved RYTELO for the treatment of adult patients with lower-risk MDS, with TD anemia requiring four or more red blood cell units over eight weeks who have not responded to, or have lost response to, or are ineligible for ESAs. To date, our only source of product revenue has been from the U.S. sales of RYTELO, which we began shipping to our customers in June 2024. We did not generate any revenue from product sales prior to June 30, 2024</w:t>
      </w:r>
      <w:r>
        <w:rPr>
          <w:rFonts w:ascii="Times New Roman;serif" w:hAnsi="Times New Roman;serif"/>
          <w:b/>
          <w:i/>
          <w:color w:val="000000"/>
          <w:sz w:val="20"/>
        </w:rPr>
        <w:t>.</w:t>
      </w:r>
      <w:r>
        <w:rPr>
          <w:color w:val="000000"/>
        </w:rPr>
        <w:t xml:space="preserve"> </w:t>
      </w:r>
      <w:r>
        <w:rPr>
          <w:rFonts w:ascii="Times New Roman;serif" w:hAnsi="Times New Roman;serif"/>
          <w:b w:val="false"/>
          <w:color w:val="000000"/>
          <w:sz w:val="20"/>
        </w:rPr>
        <w:t>Total product revenues, net for the three and six months ended June 30, 2025 were approximately $49.0 million and $88.4 million, respectively.</w:t>
      </w:r>
    </w:p>
    <w:p>
      <w:pPr>
        <w:pStyle w:val="TextBody"/>
        <w:bidi w:val="0"/>
        <w:spacing w:before="0" w:after="0"/>
        <w:jc w:val="left"/>
        <w:rPr/>
      </w:pPr>
      <w:r>
        <w:rPr/>
      </w:r>
    </w:p>
    <w:p>
      <w:pPr>
        <w:pStyle w:val="TextBody"/>
        <w:bidi w:val="0"/>
        <w:spacing w:lineRule="auto" w:line="288" w:before="0" w:after="240"/>
        <w:ind w:left="0" w:right="0" w:firstLine="1296"/>
        <w:jc w:val="left"/>
        <w:rPr/>
      </w:pPr>
      <w:r>
        <w:rPr>
          <w:rFonts w:ascii="Times New Roman;serif" w:hAnsi="Times New Roman;serif"/>
          <w:b w:val="false"/>
          <w:color w:val="000000"/>
          <w:sz w:val="20"/>
        </w:rPr>
        <w:t>Total gross-to-net adjustments for the three and six months ended June 30, 2025</w:t>
      </w:r>
      <w:r>
        <w:rPr>
          <w:color w:val="000000"/>
          <w:shd w:fill="FFFFFF" w:val="clear"/>
        </w:rPr>
        <w:t xml:space="preserve"> </w:t>
      </w:r>
      <w:r>
        <w:rPr>
          <w:rFonts w:ascii="Times New Roman;serif" w:hAnsi="Times New Roman;serif"/>
          <w:b w:val="false"/>
          <w:color w:val="000000"/>
          <w:sz w:val="20"/>
        </w:rPr>
        <w:t xml:space="preserve">was 15.3% and 14.3% of gross product revenue, respectively. The reconciliation of gross product sales to net product sales by each significant category of gross-to-net adjustments was as set forth below for the three and six months ended June 30, 2025. </w:t>
      </w:r>
      <w:r>
        <w:rPr>
          <w:rFonts w:ascii="Times New Roman;serif" w:hAnsi="Times New Roman;serif"/>
          <w:b w:val="false"/>
          <w:color w:val="000000"/>
          <w:sz w:val="20"/>
          <w:shd w:fill="FFFFFF" w:val="clear"/>
        </w:rPr>
        <w:t xml:space="preserve">We expect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gross-to-net adjustments to be in the mid- to high-teens percentage of gross product revenue in the remaining quarters of 2025.</w:t>
      </w:r>
    </w:p>
    <w:tbl>
      <w:tblPr>
        <w:tblW w:w="9607" w:type="dxa"/>
        <w:jc w:val="left"/>
        <w:tblInd w:w="0" w:type="dxa"/>
        <w:tblLayout w:type="fixed"/>
        <w:tblCellMar>
          <w:top w:w="28" w:type="dxa"/>
          <w:left w:w="28" w:type="dxa"/>
          <w:bottom w:w="28" w:type="dxa"/>
          <w:right w:w="28" w:type="dxa"/>
        </w:tblCellMar>
      </w:tblPr>
      <w:tblGrid>
        <w:gridCol w:w="1043"/>
        <w:gridCol w:w="916"/>
        <w:gridCol w:w="920"/>
        <w:gridCol w:w="325"/>
        <w:gridCol w:w="1112"/>
        <w:gridCol w:w="168"/>
        <w:gridCol w:w="109"/>
        <w:gridCol w:w="109"/>
        <w:gridCol w:w="109"/>
        <w:gridCol w:w="431"/>
        <w:gridCol w:w="952"/>
        <w:gridCol w:w="222"/>
        <w:gridCol w:w="109"/>
        <w:gridCol w:w="109"/>
        <w:gridCol w:w="109"/>
        <w:gridCol w:w="259"/>
        <w:gridCol w:w="1017"/>
        <w:gridCol w:w="134"/>
        <w:gridCol w:w="369"/>
        <w:gridCol w:w="816"/>
        <w:gridCol w:w="269"/>
      </w:tblGrid>
      <w:tr>
        <w:trPr/>
        <w:tc>
          <w:tcPr>
            <w:tcW w:w="104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(in thousands)</w:t>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2025</w:t>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 2024</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revenue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57,874 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Gross-to-net adjustments:</w:t>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Chargebacks and customer credits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(7,890)</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rebates</w:t>
            </w:r>
          </w:p>
        </w:tc>
        <w:tc>
          <w:tcPr>
            <w:tcW w:w="14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3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2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returns and allowances</w:t>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gross-to-net adjustments</w:t>
            </w:r>
          </w:p>
        </w:tc>
        <w:tc>
          <w:tcPr>
            <w:tcW w:w="14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2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(14,743)</w:t>
            </w:r>
          </w:p>
        </w:tc>
        <w:tc>
          <w:tcPr>
            <w:tcW w:w="13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2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3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49,007 </w:t>
            </w:r>
          </w:p>
        </w:tc>
        <w:tc>
          <w:tcPr>
            <w:tcW w:w="16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88,443 </w:t>
            </w:r>
          </w:p>
        </w:tc>
        <w:tc>
          <w:tcPr>
            <w:tcW w:w="1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26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296"/>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Royalties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divestiture of our human embryonic stem cell assets, including intellectual property and proprietary technology, to Lineage Cell Therapeutics, Inc., or Lineage, (formerly BioTime, Inc., which acquired Asterias Biotherapeutics, Inc.) in 2013, we are entitled to receive royalties on sales from certain research or commercial products utilizing our divested intellectual property.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recognized royalty revenues of $29,000 and $196,000 in the three and six months ended June 30, 2025, respectively, compared to $102,000 and $406,000 for the same periods in 2024. Royalty revenues in the three and six months ended June 30, 2025 and 2024 primarily reflect estimated royalties from sales of cell-based research products from our divested stem cell assets.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Future license fee and royalty revenues are dependent on additional agreements being signed, if any, our current license agreement with Lineage being maintained and the underlying patent rights for the license remaining active. </w:t>
      </w:r>
    </w:p>
    <w:p>
      <w:pPr>
        <w:pStyle w:val="TextBody"/>
        <w:bidi w:val="0"/>
        <w:spacing w:before="0" w:after="240"/>
        <w:ind w:left="0" w:right="0" w:firstLine="1296"/>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68" w:before="0" w:after="0"/>
        <w:ind w:left="0" w:right="0" w:firstLine="1260"/>
        <w:jc w:val="left"/>
        <w:rPr/>
      </w:pPr>
      <w:r>
        <w:rPr>
          <w:rFonts w:ascii="Times New Roman;serif" w:hAnsi="Times New Roman;serif"/>
          <w:b w:val="false"/>
          <w:color w:val="000000"/>
          <w:sz w:val="20"/>
        </w:rPr>
        <w:t xml:space="preserve">In connection with the FDA approval of RYTELO on June 6, 2024, we began capitalizing inventory manufactured or purchased after this date. As a result, we expensed certain manufacturing costs of RYTELO as research and development expense prior to FDA approval and, therefore, these costs are not included in cost of goods sold. We expect our operating expenses to be in the range of approximately </w:t>
      </w:r>
      <w:r>
        <w:rPr>
          <w:rFonts w:ascii="Times New Roman;serif" w:hAnsi="Times New Roman;serif"/>
          <w:b w:val="false"/>
          <w:color w:val="000000"/>
          <w:sz w:val="20"/>
          <w:shd w:fill="FFFFFF" w:val="clear"/>
        </w:rPr>
        <w:t>$270 million to $285 m</w:t>
      </w:r>
      <w:r>
        <w:rPr>
          <w:rFonts w:ascii="Times New Roman;serif" w:hAnsi="Times New Roman;serif"/>
          <w:b w:val="false"/>
          <w:color w:val="000000"/>
          <w:sz w:val="20"/>
        </w:rPr>
        <w:t>illion for 2025, which includes non-cash items such as stock-based compensation expense, amortization of debt discounts and issuance costs, and depreciation and amortization</w:t>
      </w:r>
      <w:r>
        <w:rPr>
          <w:rFonts w:ascii="Times New Roman;serif" w:hAnsi="Times New Roman;serif"/>
          <w:b w:val="false"/>
          <w:color w:val="000000"/>
          <w:sz w:val="20"/>
          <w:shd w:fill="FFFFFF" w:val="clear"/>
        </w:rPr>
        <w:t>. We expect our operating expenses in 2025 to increase compared to 2024, primarily due to continued investment in our RYTELO commercialization strategy, investment in commercial supply redundancy, and post marketing commitments, as well as initial preparations to launch RYTELO in selected EU countries in 2026, including the health technology assessment, or HTA, evaluation process.</w:t>
      </w:r>
    </w:p>
    <w:p>
      <w:pPr>
        <w:pStyle w:val="TextBody"/>
        <w:bidi w:val="0"/>
        <w:spacing w:before="0" w:after="0"/>
        <w:ind w:left="0" w:right="0" w:firstLine="126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expenses, including as a percentage of total expenses, for the three and six months ended June 30 :</w:t>
      </w:r>
    </w:p>
    <w:tbl>
      <w:tblPr>
        <w:tblW w:w="10205" w:type="dxa"/>
        <w:jc w:val="left"/>
        <w:tblInd w:w="0" w:type="dxa"/>
        <w:tblLayout w:type="fixed"/>
        <w:tblCellMar>
          <w:top w:w="28" w:type="dxa"/>
          <w:left w:w="28" w:type="dxa"/>
          <w:bottom w:w="28" w:type="dxa"/>
          <w:right w:w="28" w:type="dxa"/>
        </w:tblCellMar>
      </w:tblPr>
      <w:tblGrid>
        <w:gridCol w:w="806"/>
        <w:gridCol w:w="508"/>
        <w:gridCol w:w="469"/>
        <w:gridCol w:w="109"/>
        <w:gridCol w:w="109"/>
        <w:gridCol w:w="109"/>
        <w:gridCol w:w="211"/>
        <w:gridCol w:w="721"/>
        <w:gridCol w:w="109"/>
        <w:gridCol w:w="109"/>
        <w:gridCol w:w="109"/>
        <w:gridCol w:w="109"/>
        <w:gridCol w:w="211"/>
        <w:gridCol w:w="721"/>
        <w:gridCol w:w="109"/>
        <w:gridCol w:w="109"/>
        <w:gridCol w:w="109"/>
        <w:gridCol w:w="109"/>
        <w:gridCol w:w="207"/>
        <w:gridCol w:w="186"/>
        <w:gridCol w:w="408"/>
        <w:gridCol w:w="109"/>
        <w:gridCol w:w="109"/>
        <w:gridCol w:w="109"/>
        <w:gridCol w:w="211"/>
        <w:gridCol w:w="826"/>
        <w:gridCol w:w="109"/>
        <w:gridCol w:w="109"/>
        <w:gridCol w:w="109"/>
        <w:gridCol w:w="109"/>
        <w:gridCol w:w="303"/>
        <w:gridCol w:w="523"/>
        <w:gridCol w:w="109"/>
        <w:gridCol w:w="109"/>
        <w:gridCol w:w="109"/>
        <w:gridCol w:w="109"/>
        <w:gridCol w:w="200"/>
        <w:gridCol w:w="193"/>
        <w:gridCol w:w="401"/>
        <w:gridCol w:w="109"/>
        <w:gridCol w:w="109"/>
        <w:gridCol w:w="109"/>
        <w:gridCol w:w="109"/>
        <w:gridCol w:w="109"/>
        <w:gridCol w:w="157"/>
      </w:tblGrid>
      <w:tr>
        <w:trPr/>
        <w:tc>
          <w:tcPr>
            <w:tcW w:w="80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rPr/>
        <w:tc>
          <w:tcPr>
            <w:tcW w:w="178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4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4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40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66,484 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40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cost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4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115"/>
        <w:jc w:val="left"/>
        <w:rPr>
          <w:rFonts w:ascii="Times New Roman;serif" w:hAnsi="Times New Roman;serif"/>
          <w:b w:val="false"/>
          <w:color w:val="000000"/>
          <w:sz w:val="20"/>
        </w:rPr>
      </w:pPr>
      <w:r>
        <w:rPr>
          <w:rFonts w:ascii="Times New Roman;serif" w:hAnsi="Times New Roman;serif"/>
          <w:b w:val="false"/>
          <w:color w:val="000000"/>
          <w:sz w:val="20"/>
        </w:rPr>
        <w:t>*Percentage not meaningful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cost of goods sold consist of raw materials, third-party manufacturing costs to manufacture the raw materials into finished product, freight, and indirect overhead costs associated with the sale of RYTELO in the U.S. Cost of goods sold was approximately $1.2 million and $2.4 million for the three and six months ended June 30, 2025, respectively, which consisted of costs to manufacture and distribute our market product, RYTELO. We began capitalizing inventory upon FDA approval of RYTELO. All product costs incurred prior to FDA approval of RYTELO in June 2024 were expensed as research and development expenses. We did not generate any costs from product sales prior to the three months ended June 30, 2024.</w:t>
      </w:r>
    </w:p>
    <w:p>
      <w:pPr>
        <w:pStyle w:val="TextBody"/>
        <w:bidi w:val="0"/>
        <w:spacing w:lineRule="auto" w:line="288" w:before="0" w:after="360"/>
        <w:ind w:left="0" w:right="0" w:firstLine="1296"/>
        <w:jc w:val="left"/>
        <w:rPr/>
      </w:pPr>
      <w:r>
        <w:rPr>
          <w:rFonts w:ascii="Times New Roman;serif" w:hAnsi="Times New Roman;serif"/>
          <w:b w:val="false"/>
          <w:color w:val="000000"/>
          <w:sz w:val="20"/>
        </w:rPr>
        <w:t xml:space="preserve">Prior to receiving FDA approval for RYTELO in June 2024, we manufactured inventory to be sold upon commercialization and recorded the costs as research and development expense. As a result, a significant portion of the manufacturing costs related to the inventory manufactured prior to receiving FDA approval were expensed in a prior period and are therefore excluded from the cost of goods sold for the three and six months ended June 30, 2025. </w:t>
      </w:r>
      <w:r>
        <w:rPr>
          <w:rFonts w:ascii="Times New Roman;serif" w:hAnsi="Times New Roman;serif"/>
          <w:b w:val="false"/>
          <w:color w:val="000000"/>
          <w:sz w:val="20"/>
          <w:shd w:fill="FFFFFF" w:val="clear"/>
        </w:rPr>
        <w:t>We estimate our cost of sales related to product revenue as a percentage of net product revenue will continue to be positively impacted for the next 12 to 15 months as we sell through certain inventory that was previously expensed prior to FDA approval.</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2025 and 2024, our RYTELO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and six months ended June 30, 2025 and 2024, research and development expenses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supply, manufacturing costs for research and clinical trial materials, sponsored research at other labs, consulting expenses, costs to maintain technology licenses and research-related overhead. We expect our research and development expenses to increase over the remainder of the year, primarily due to our Phase 3 IMpactMF clinical trial and post-marketing commitments.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the three and six months ended June 30, 2025 and 2024 were as follows: </w:t>
      </w:r>
    </w:p>
    <w:tbl>
      <w:tblPr>
        <w:tblW w:w="10205" w:type="dxa"/>
        <w:jc w:val="center"/>
        <w:tblInd w:w="0" w:type="dxa"/>
        <w:tblLayout w:type="fixed"/>
        <w:tblCellMar>
          <w:top w:w="28" w:type="dxa"/>
          <w:left w:w="28" w:type="dxa"/>
          <w:bottom w:w="28" w:type="dxa"/>
          <w:right w:w="28" w:type="dxa"/>
        </w:tblCellMar>
      </w:tblPr>
      <w:tblGrid>
        <w:gridCol w:w="1539"/>
        <w:gridCol w:w="1348"/>
        <w:gridCol w:w="136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6"/>
      </w:tblGrid>
      <w:tr>
        <w:trPr/>
        <w:tc>
          <w:tcPr>
            <w:tcW w:w="153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external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program: Imetelstat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ind w:left="0" w:right="0" w:firstLine="1296"/>
        <w:jc w:val="left"/>
        <w:rPr/>
      </w:pPr>
      <w:r>
        <w:rPr>
          <w:rFonts w:ascii="Times New Roman;serif" w:hAnsi="Times New Roman;serif"/>
          <w:b w:val="false"/>
          <w:color w:val="000000"/>
          <w:sz w:val="20"/>
          <w:shd w:fill="FFFFFF" w:val="clear"/>
        </w:rPr>
        <w:t xml:space="preserve">The decrease in research and development expenses for the three and six months ended June 30, 2025, compared to the same periods in 2024, was primarily due to decreased clinical trial costs associated with a decrease of activity in our Phase 3 IMerge MDS study after FDA approval of RYTELO in 2024, as well as manufacturing and quality costs that were capitalized in the current period now that RYTELO is approved, versus being expensed in the prior period. A </w:t>
      </w:r>
      <w:r>
        <w:rPr>
          <w:rFonts w:ascii="Times New Roman;serif" w:hAnsi="Times New Roman;serif"/>
          <w:b w:val="false"/>
          <w:color w:val="000000"/>
          <w:sz w:val="20"/>
        </w:rPr>
        <w:t>discussion of the risks and uncertainties associated with the development of imetelstat can be found in the sub</w:t>
        <w:noBreakHyphen/>
        <w:t>sections titled “</w:t>
      </w:r>
      <w:r>
        <w:rPr>
          <w:rFonts w:ascii="Times New Roman;serif" w:hAnsi="Times New Roman;serif"/>
          <w:b w:val="false"/>
          <w:i/>
          <w:color w:val="000000"/>
          <w:sz w:val="20"/>
        </w:rPr>
        <w:t>Risks Related to the Further Development of Imetelstat</w:t>
      </w:r>
      <w:r>
        <w:rPr>
          <w:color w:val="000000"/>
        </w:rPr>
        <w:t>”</w:t>
      </w:r>
      <w:r>
        <w:rPr>
          <w:rFonts w:ascii="Times New Roman;serif" w:hAnsi="Times New Roman;serif"/>
          <w:b w:val="false"/>
          <w:color w:val="000000"/>
          <w:sz w:val="20"/>
        </w:rPr>
        <w:t>, “</w:t>
      </w:r>
      <w:r>
        <w:rPr>
          <w:rFonts w:ascii="Times New Roman;serif" w:hAnsi="Times New Roman;serif"/>
          <w:b w:val="false"/>
          <w:i/>
          <w:color w:val="000000"/>
          <w:sz w:val="20"/>
        </w:rPr>
        <w:t>Risks Related to the Commercialization of RYTELO</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(Imetelstat)”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Risks Related to Regulatory Approval of RYTELO</w:t>
      </w:r>
      <w:r>
        <w:rPr>
          <w:color w:val="000000"/>
        </w:rPr>
        <w:t xml:space="preserve">” </w:t>
      </w:r>
      <w:r>
        <w:rPr>
          <w:rFonts w:ascii="Times New Roman;serif" w:hAnsi="Times New Roman;serif"/>
          <w:b w:val="false"/>
          <w:color w:val="000000"/>
          <w:sz w:val="20"/>
        </w:rPr>
        <w:t>in Part II, Item 1A titled “Risk Factors” and elsewhere in this Report. As a result of these risks and uncertainties, we are unable to determine with any degree of certainty the duration and completion costs of ongoing and potential future imetelstat research and development projects, anticipated completion dates, or when and to what extent we will receive cash inflows from the commercialization and sale of RYTELO in any other jurisdictions or indications we are pursuing or may in the future pursue,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lineRule="auto" w:line="288" w:before="0" w:after="360"/>
        <w:ind w:left="0" w:right="0" w:firstLine="1296"/>
        <w:jc w:val="left"/>
        <w:rPr/>
      </w:pPr>
      <w:r>
        <w:rPr>
          <w:rFonts w:ascii="Times New Roman;serif" w:hAnsi="Times New Roman;serif"/>
          <w:b w:val="false"/>
          <w:color w:val="000000"/>
          <w:sz w:val="20"/>
        </w:rPr>
        <w:t xml:space="preserve">Selling, general and administrative expenses were $38.6 million and $78.6 million for the three and six months ended June 30, 2025, respectively, compared to $39.4 million and $66.5 million for the same periods in 2024. </w:t>
      </w:r>
      <w:r>
        <w:rPr>
          <w:rFonts w:ascii="Times New Roman;serif" w:hAnsi="Times New Roman;serif"/>
          <w:b w:val="false"/>
          <w:color w:val="000000"/>
          <w:sz w:val="20"/>
          <w:shd w:fill="FFFFFF" w:val="clear"/>
        </w:rPr>
        <w:t>The decrease in selling, general and administrative expenses for the three months ended June 30, 2025, compared to the same period in 2024, is attributed to initial RYTELO launch costs in 2024. The increase in the six months ended June 30,2025 is primarily due to higher personnel-related expenses from increased headcount to support the commercialization of RYTELO. We expect our selling, general and administrative expenses to increase over the remainder of the year in support of our commercialization efforts.</w:t>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lineRule="auto" w:line="288" w:before="0" w:after="360"/>
        <w:ind w:left="0" w:right="0" w:firstLine="1296"/>
        <w:jc w:val="left"/>
        <w:rPr/>
      </w:pPr>
      <w:r>
        <w:rPr>
          <w:rFonts w:ascii="Times New Roman;serif" w:hAnsi="Times New Roman;serif"/>
          <w:b w:val="false"/>
          <w:color w:val="000000"/>
          <w:sz w:val="20"/>
        </w:rPr>
        <w:t>Interest income was $4.7 million and $9.8 million for the three and six months ended June 30, 2025, respectively, compared to $5.3 million and $9.6 million for the same periods in 2024.</w:t>
      </w:r>
      <w:r>
        <w:rPr>
          <w:color w:val="000000"/>
          <w:shd w:fill="FFFFFF" w:val="clear"/>
        </w:rPr>
        <w:t xml:space="preserve"> </w:t>
      </w:r>
      <w:r>
        <w:rPr>
          <w:rFonts w:ascii="Times New Roman;serif" w:hAnsi="Times New Roman;serif"/>
          <w:b w:val="false"/>
          <w:color w:val="000000"/>
          <w:sz w:val="20"/>
          <w:shd w:fill="FFFFFF" w:val="clear"/>
        </w:rPr>
        <w:t xml:space="preserve">The decrease in interest income for the three months ended June 30, 2025, compared to the same period in 2024, primarily reflects a smaller marketable securities portfolio with the receipt of net cash proceeds from the underwritten public offering completed in March 2024. The increase in interest income for the six months ended June 30, 2025, compared to the same period in 2024, was partially offset by an increase in interest rates. Interest earned in future periods will depend on the size of our marketable securities portfolio and prevailing interest rates.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Interest expense was $8.5 million and $16.7 million for the three and six months ended June 30, 2025, respectively, compared to $3.3 million and $6.8 million for the same periods in 2024. </w:t>
      </w:r>
      <w:r>
        <w:rPr>
          <w:rFonts w:ascii="Times New Roman;serif" w:hAnsi="Times New Roman;serif"/>
          <w:b w:val="false"/>
          <w:color w:val="000000"/>
          <w:sz w:val="20"/>
          <w:shd w:fill="FFFFFF" w:val="clear"/>
        </w:rPr>
        <w:t xml:space="preserve">The increase in interest expense for the three and six months ended June 30, 2025, compared to the same periods in 2024, primarily reflects interest expense related to the Royalty Pharma Agreement and the Pharmakon Loan Agreement which were entered into in November 2024.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accounted for the Royalty Pharma Agreement as a liability financing, primarily because it has significant continuing involvement in generating the future revenue on which the Royalty Payments are based. The liability related to Revenue Participation Right and the related non-cash interest expense are measured based on our current estimate of the timing and amount of expected future Royalty Payments expected to be paid over the estimated term of the Royalty Pharma Agreement using a discounted cash flow model. The liability is amortized using the effective interest rate method, resulting in recognition of non-cash interest expense over the estimated term of the agreement. Each reporting period, we assess the estimated timing and amount of future expected Royalty Payments over the estimated term. If there are changes to the estimate, we recognize the impact to the liability’s amortization schedule and the related non-cash interest expense prospectively. Additionally, the transaction costs associated with the liability will be amortized to non-cash interest expense over the estimated term of the Royalty Pharma Agreement. See </w:t>
      </w:r>
      <w:hyperlink w:anchor="id7efb3ede15a4d12a6ecfcbc465dd776_52">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on Debt in Notes to Condensed Consolidated Financial Statements of this Report for additional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Income and (Expense), Net</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Other income and expense, net was an expense of $61,000 and $144,000 for the three and six months ended June 30, 2025, respectively, compared to an expense of $63,000 and $125,000 for the three and six months ended June 30, 2024. Other income and (expense), net, primarily reflects bank charges related to our cash operating accounts and marketable securities portfolio and foreign currency transaction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1296"/>
        <w:jc w:val="left"/>
        <w:rPr/>
      </w:pPr>
      <w:r>
        <w:rPr>
          <w:rFonts w:ascii="Times New Roman;serif" w:hAnsi="Times New Roman;serif"/>
          <w:b w:val="false"/>
          <w:color w:val="000000"/>
          <w:sz w:val="20"/>
        </w:rPr>
        <w:t>As of June 30, 2025, we had cash, restricted cash, cash equivalents, and marketable securities of $432.6 million, compared to $502.9 million at December 31, 2024. The decrease in cash, restricted cash, cash equivalents and marketable securities during the six months ended June 30, 2025</w:t>
      </w:r>
      <w:r>
        <w:rPr>
          <w:color w:val="000000"/>
          <w:shd w:fill="FFFFFF" w:val="clear"/>
        </w:rPr>
        <w:t xml:space="preserve"> </w:t>
      </w:r>
      <w:r>
        <w:rPr>
          <w:rFonts w:ascii="Times New Roman;serif" w:hAnsi="Times New Roman;serif"/>
          <w:b w:val="false"/>
          <w:color w:val="000000"/>
          <w:sz w:val="20"/>
          <w:shd w:fill="FFFFFF" w:val="clear"/>
        </w:rPr>
        <w:t>was primarily the net result of cash used in operations partially offset by the receipt of net cash proceeds of $0.7 million from accounts receivable.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On March 21, 2024, we completed an underwritten public offering consisting of 41,999,998 shares of our common stock and a pre-funded warrant, or 2024 pre-funded warrant, to purchase 8,002,668 shares of our common stock. All of the securities were issued separately. The offering price of the common stock was $3.00 per share. The offering price of the 2024 pre-funded warrant was $2.99 per share. The 2024 pre-funded warrant has an exercise price of $0.001 per share and may be exercised at any time until it is exercised in full. The net cash proceeds from this offering were approximately $141.0 million, after deducting the underwriting discount and other offering expenses paid by us, and excluding any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 xml:space="preserve">proceeds from the exercise of the pre-funded warrant. As of June 30, 2025, 5,380,000 pre-funded warrants issued in connection with our 2024 underwritten public offering have been net exercised, which resulted in the issuance of 5,378,199 shares of our common stock. See </w:t>
      </w:r>
      <w:hyperlink w:anchor="id7efb3ede15a4d12a6ecfcbc465dd776_61">
        <w:r>
          <w:rPr>
            <w:rStyle w:val="InternetLink"/>
            <w:rFonts w:ascii="Times New Roman;serif" w:hAnsi="Times New Roman;serif"/>
            <w:b w:val="false"/>
            <w:color w:val="0000FF"/>
            <w:sz w:val="20"/>
            <w:u w:val="single"/>
          </w:rPr>
          <w:t xml:space="preserve">Note 8 </w:t>
        </w:r>
      </w:hyperlink>
      <w:r>
        <w:rPr>
          <w:rFonts w:ascii="Times New Roman;serif" w:hAnsi="Times New Roman;serif"/>
          <w:b w:val="false"/>
          <w:color w:val="000000"/>
          <w:sz w:val="20"/>
        </w:rPr>
        <w:t>on Stockholders’ Equity in Notes to Condensed Consolidated Financial Statements of this Report for additional information about the underwritten offering completed in March 2024.</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From January 1, 2025 through June 30, 2025, there were no exercises of purchase warrants that we issued in connection with an underwritten public offering of our securities in 2020. As of June 30, 2025, we had purchase warrants with an exercise price of $1.30 per share exercisable for 1,402,520 shares of our common stock remaining, which if exercised in full for cash, would provide $1.8 million in cash proceeds.</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November 1, 2024, we entered into the Pharmakon Loan Agreement. We drew the Tranche A Loan of $125.0 million on November 1, 2024, a portion of which was utilized to repay all outstanding indebtedness associated with the Hercules Loan Agreement. The Pharmakon Loan Agreement provides two additional committed term loan tranches, the Tranche B Loan and the Tranche C Loan, in principal amounts of $75.0 million and $50.0 million, respectively, subject to customary conditions to fund and, in the case of the Tranche C Loan, achieving certain minimum net sales milestone. The Tranche B Loan and the Tranche C Loan may be requested on or prior to December 31, 2025. The Term Loans mature on November 1, 2029. The Term Loans bear interest at a variable rate per annum equal to 5.75% plus three-month SOFR with a SOFR floor of 3.00%. See </w:t>
      </w:r>
      <w:hyperlink w:anchor="id7efb3ede15a4d12a6ecfcbc465dd776_52">
        <w:r>
          <w:rPr>
            <w:rStyle w:val="InternetLink"/>
            <w:rFonts w:ascii="Times New Roman;serif" w:hAnsi="Times New Roman;serif"/>
            <w:b w:val="false"/>
            <w:strike w:val="false"/>
            <w:dstrike w:val="false"/>
            <w:color w:val="000000"/>
            <w:sz w:val="20"/>
            <w:u w:val="none"/>
            <w:effect w:val="none"/>
          </w:rPr>
          <w:t>Note 6</w:t>
        </w:r>
      </w:hyperlink>
      <w:r>
        <w:rPr>
          <w:rFonts w:ascii="Times New Roman;serif" w:hAnsi="Times New Roman;serif"/>
          <w:b w:val="false"/>
          <w:color w:val="000000"/>
          <w:sz w:val="20"/>
        </w:rPr>
        <w:t xml:space="preserve"> 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November 1, 2024, we entered into the Royalty Pharma Agreement with Royalty Pharma. Pursuant to the Royalty Pharma Agreement, we received $125.0 million, or the Purchase Price, in exchange for which Royalty Pharma obtained the right to receive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There are no other royalties payable on RYTELO, which was developed internally and is exclusively owned by Geron. See </w:t>
      </w:r>
      <w:hyperlink w:anchor="id7efb3ede15a4d12a6ecfcbc465dd776_52">
        <w:r>
          <w:rPr>
            <w:rStyle w:val="InternetLink"/>
            <w:rFonts w:ascii="Times New Roman;serif" w:hAnsi="Times New Roman;serif"/>
            <w:b w:val="false"/>
            <w:color w:val="0000FF"/>
            <w:sz w:val="20"/>
            <w:u w:val="single"/>
          </w:rPr>
          <w:t xml:space="preserve">Note 6 </w:t>
        </w:r>
      </w:hyperlink>
      <w:r>
        <w:rPr>
          <w:rFonts w:ascii="Times New Roman;serif" w:hAnsi="Times New Roman;serif"/>
          <w:b w:val="false"/>
          <w:color w:val="000000"/>
          <w:sz w:val="20"/>
        </w:rPr>
        <w:t>on Debt in Notes to Condensed Consolidated Financial Statements of this Report for additional information on the Royalty Pharma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2023, we entered into an At Market Issuance Sales Agreement, or the 2023 Sales Agreement, with B. Riley Securities, pursuant to which we may elect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To date, no sales of common stock have occurred under the 2023 Sales Agreement.</w:t>
      </w:r>
    </w:p>
    <w:p>
      <w:pPr>
        <w:pStyle w:val="TextBody"/>
        <w:bidi w:val="0"/>
        <w:spacing w:lineRule="auto" w:line="276"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Financing Strategy </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Future Funding Requirements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Successful drug development and commercialization requires significant amounts of capital. As of June 30, 2025, we had approximately $432.6 million in cash, cash equivalents, restricted cash and marketable securities.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our current operating plans and assumptions, we believe that our existing cash, cash equivalents, and marketable securities, together with anticipated net revenues from U.S. sales of RYTELO, will be sufficient to fund our projected operating requirements for the foreseeable future. However,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Despite receiving FDA approval of RYTEL</w:t>
      </w:r>
      <w:r>
        <w:rPr>
          <w:rFonts w:ascii="Times New Roman;serif" w:hAnsi="Times New Roman;serif"/>
          <w:b w:val="false"/>
          <w:color w:val="000000"/>
          <w:sz w:val="20"/>
          <w:shd w:fill="FFFFFF" w:val="clear"/>
        </w:rPr>
        <w:t>O in the U.S. in June 2024 and marketing authorization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in the U.S. or in the EU for lower-risk MDS or other potential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pandemics or other health crises and supply chain and resource issues. Further, our future capital requirements ar</w:t>
      </w:r>
      <w:r>
        <w:rPr>
          <w:rFonts w:ascii="Times New Roman;serif" w:hAnsi="Times New Roman;serif"/>
          <w:b w:val="false"/>
          <w:color w:val="000000"/>
          <w:sz w:val="20"/>
        </w:rPr>
        <w:t>e difficult to forecast and will depend on many factors, including:</w:t>
      </w:r>
    </w:p>
    <w:p>
      <w:pPr>
        <w:pStyle w:val="TextBody"/>
        <w:bidi w:val="0"/>
        <w:spacing w:lineRule="auto" w:line="288" w:before="0" w:after="120"/>
        <w:ind w:left="0" w:right="0" w:hanging="1224"/>
        <w:jc w:val="left"/>
        <w:rPr/>
      </w:pPr>
      <w:r>
        <w:rPr>
          <w:color w:val="000000"/>
        </w:rPr>
        <w:t>•</w:t>
      </w:r>
      <w:r>
        <w:rPr>
          <w:rFonts w:ascii="Times New Roman;serif" w:hAnsi="Times New Roman;serif"/>
          <w:b w:val="false"/>
          <w:color w:val="000000"/>
          <w:sz w:val="20"/>
        </w:rPr>
        <w:t>the accuracy of the assumptions underlying our estimates for our capital needs;</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overall level of sales and market acceptance of RYTELO;</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scope, progress, timing, magnitude and costs of non-clinical and clinical development, manufacturing and commercialization of RYTELO, including commercialization in the EU for lower-risk MDS, or in any other jurisdictions or other indication we may pursue, subject to clearances and approvals by the FDA and similar international regulatory authorities;</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delays or disruptions in opening sites, screening and enrolling patients or treating and following patients, in our current or any potential future clinical trials of RYTELO;</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costs, timing and outcomes of regulatory reviews or other regulatory actions related to RYTELO,</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costs of preparing, filing and prosecuting patent applications and maintaining, enforcing and defending intellectual property-related claims;</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 xml:space="preserve">the costs of manufacturing, developing, commercializing and marketing RYTELO, including with respect to third-party vendors and service providers and our ability to achieve any meaningful reduction in manufacturing costs; </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sales price for RYTELO;</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availability of coverage and adequate third-party reimbursement for RYTELO;</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extent to which we are able</w:t>
      </w:r>
      <w:r>
        <w:rPr>
          <w:color w:val="000000"/>
          <w:shd w:fill="FFFFFF" w:val="clear"/>
        </w:rPr>
        <w:t xml:space="preserve"> </w:t>
      </w:r>
      <w:r>
        <w:rPr>
          <w:rFonts w:ascii="Times New Roman;serif" w:hAnsi="Times New Roman;serif"/>
          <w:b w:val="false"/>
          <w:color w:val="000000"/>
          <w:sz w:val="20"/>
          <w:shd w:fill="FFFFFF" w:val="clear"/>
        </w:rPr>
        <w:t xml:space="preserve">to enter into and conduct successful arrangements with third parties, including for the commercialization and marketing of RYTELO in the EU or in any other regions outside of the U.S., if approved for commercialization in such other regions; </w:t>
      </w:r>
    </w:p>
    <w:p>
      <w:pPr>
        <w:pStyle w:val="TextBody"/>
        <w:bidi w:val="0"/>
        <w:spacing w:lineRule="auto" w:line="288" w:before="0" w:after="240"/>
        <w:ind w:left="0" w:right="0" w:hanging="1224"/>
        <w:jc w:val="left"/>
        <w:rPr/>
      </w:pPr>
      <w:r>
        <w:rPr>
          <w:color w:val="000000"/>
          <w:shd w:fill="FFFFFF" w:val="clear"/>
        </w:rPr>
        <w:t>•</w:t>
      </w:r>
      <w:r>
        <w:rPr>
          <w:rFonts w:ascii="Times New Roman;serif" w:hAnsi="Times New Roman;serif"/>
          <w:b w:val="false"/>
          <w:color w:val="000000"/>
          <w:sz w:val="20"/>
          <w:shd w:fill="FFFFFF" w:val="clear"/>
        </w:rPr>
        <w:t>expenses associated with the pending putative securities class action and shareholder derivative lawsuits and potential additional related lawsuits, as well as any other litigation;</w:t>
      </w:r>
    </w:p>
    <w:p>
      <w:pPr>
        <w:pStyle w:val="TextBody"/>
        <w:bidi w:val="0"/>
        <w:spacing w:lineRule="auto" w:line="288" w:before="0" w:after="240"/>
        <w:ind w:left="0" w:right="0" w:hanging="1224"/>
        <w:jc w:val="left"/>
        <w:rPr/>
      </w:pPr>
      <w:r>
        <w:rPr>
          <w:color w:val="000000"/>
          <w:shd w:fill="FFFFFF" w:val="clear"/>
        </w:rPr>
        <w:t>•</w:t>
      </w:r>
      <w:r>
        <w:rPr>
          <w:rFonts w:ascii="Times New Roman;serif" w:hAnsi="Times New Roman;serif"/>
          <w:b w:val="false"/>
          <w:color w:val="000000"/>
          <w:sz w:val="20"/>
          <w:shd w:fill="FFFFFF" w:val="clear"/>
        </w:rPr>
        <w:t xml:space="preserve">the extent and scope of our selling, general and administrative expenses, including expenses associated with pending and potential future litigation; </w:t>
      </w:r>
    </w:p>
    <w:p>
      <w:pPr>
        <w:pStyle w:val="TextBody"/>
        <w:bidi w:val="0"/>
        <w:spacing w:lineRule="auto" w:line="288" w:before="0" w:after="240"/>
        <w:ind w:left="0" w:right="0" w:hanging="1224"/>
        <w:jc w:val="left"/>
        <w:rPr/>
      </w:pPr>
      <w:r>
        <w:rPr>
          <w:color w:val="000000"/>
          <w:shd w:fill="FFFFFF" w:val="clear"/>
        </w:rPr>
        <w:t>•</w:t>
      </w:r>
      <w:r>
        <w:rPr>
          <w:rFonts w:ascii="Times New Roman;serif" w:hAnsi="Times New Roman;serif"/>
          <w:b w:val="false"/>
          <w:color w:val="000000"/>
          <w:sz w:val="20"/>
          <w:shd w:fill="FFFFFF" w:val="clear"/>
        </w:rPr>
        <w:t xml:space="preserve">our level of indebtedness and associated debt </w:t>
      </w:r>
      <w:r>
        <w:rPr>
          <w:rFonts w:ascii="Times New Roman;serif" w:hAnsi="Times New Roman;serif"/>
          <w:b w:val="false"/>
          <w:color w:val="000000"/>
          <w:sz w:val="20"/>
        </w:rPr>
        <w:t>service obligations;</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 xml:space="preserve">the costs of maintaining and operating facilities in California and New Jersey, as well as higher expenses for travel; </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macroeconomic or other global conditions that may reduce our ability to access equity or debt capital or other financing on preferable terms, which may adversely affect future capital requirements and forecasts; and</w:t>
      </w:r>
    </w:p>
    <w:p>
      <w:pPr>
        <w:pStyle w:val="TextBody"/>
        <w:bidi w:val="0"/>
        <w:spacing w:lineRule="auto" w:line="288" w:before="0" w:after="240"/>
        <w:ind w:left="0" w:right="0" w:hanging="1224"/>
        <w:jc w:val="left"/>
        <w:rPr/>
      </w:pPr>
      <w:r>
        <w:rPr>
          <w:color w:val="000000"/>
        </w:rPr>
        <w:t>•</w:t>
      </w:r>
      <w:r>
        <w:rPr>
          <w:rFonts w:ascii="Times New Roman;serif" w:hAnsi="Times New Roman;serif"/>
          <w:b w:val="false"/>
          <w:color w:val="000000"/>
          <w:sz w:val="20"/>
        </w:rPr>
        <w:t>the costs of enabling our personnel to work remotely, including providing supplies, equipment and technology necessary for them to perform their responsibilities.</w:t>
      </w:r>
    </w:p>
    <w:p>
      <w:pPr>
        <w:pStyle w:val="TextBody"/>
        <w:bidi w:val="0"/>
        <w:spacing w:before="0" w:after="0"/>
        <w:jc w:val="left"/>
        <w:rPr/>
      </w:pPr>
      <w:r>
        <w:rPr/>
      </w:r>
    </w:p>
    <w:p>
      <w:pPr>
        <w:pStyle w:val="TextBody"/>
        <w:bidi w:val="0"/>
        <w:spacing w:lineRule="auto" w:line="288" w:before="0" w:after="240"/>
        <w:ind w:left="0" w:right="0" w:firstLine="1296"/>
        <w:jc w:val="left"/>
        <w:rPr/>
      </w:pPr>
      <w:r>
        <w:rPr>
          <w:rFonts w:ascii="Times New Roman;serif" w:hAnsi="Times New Roman;serif"/>
          <w:b w:val="false"/>
          <w:color w:val="000000"/>
          <w:sz w:val="20"/>
        </w:rPr>
        <w:t>In the event we need to raise additional capital to fund our business, including pursuant to the 2023 Sales Agreement with B. Riley Securities, Inc.,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w:t>
      </w:r>
      <w:r>
        <w:rPr>
          <w:color w:val="000000"/>
          <w:shd w:fill="FFFFFF" w:val="clear"/>
        </w:rPr>
        <w:t xml:space="preserve"> </w:t>
      </w:r>
      <w:r>
        <w:rPr>
          <w:rFonts w:ascii="Times New Roman;serif" w:hAnsi="Times New Roman;serif"/>
          <w:b w:val="false"/>
          <w:color w:val="000000"/>
          <w:sz w:val="20"/>
          <w:shd w:fill="FFFFFF" w:val="clear"/>
        </w:rPr>
        <w:t>in the general economic, market and political climate due to the effects of macroeconomic or other global conditions, such as further changes in tariffs and other trade restrictions and uncertainty around further escalation of trade tensions and renegotiation of existing international trade agreements, inflation, fluctuations in interest rates, prospects of a recession, government shutdowns,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w:t>
      </w:r>
      <w:r>
        <w:rPr>
          <w:rFonts w:ascii="Times New Roman;serif" w:hAnsi="Times New Roman;serif"/>
          <w:b w:val="false"/>
          <w:color w:val="000000"/>
          <w:sz w:val="20"/>
        </w:rPr>
        <w:t xml:space="preserve">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inflation, changes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Flows from Operating Activities</w:t>
      </w:r>
    </w:p>
    <w:p>
      <w:pPr>
        <w:pStyle w:val="TextBody"/>
        <w:bidi w:val="0"/>
        <w:spacing w:lineRule="auto" w:line="288" w:before="0" w:after="360"/>
        <w:ind w:left="0" w:right="0" w:firstLine="1296"/>
        <w:jc w:val="left"/>
        <w:rPr/>
      </w:pPr>
      <w:r>
        <w:rPr>
          <w:rFonts w:ascii="Times New Roman;serif" w:hAnsi="Times New Roman;serif"/>
          <w:b w:val="false"/>
          <w:color w:val="000000"/>
          <w:sz w:val="20"/>
        </w:rPr>
        <w:t>Net cash used in operations for the six months ended June 30, 2025 and 2024 was $75.4 million and $115.7 million, respectively. The decrease in net cash used in operations for the six months ended June 30, 2025, compared to the same period in 2024</w:t>
      </w:r>
      <w:r>
        <w:rPr>
          <w:rFonts w:ascii="Times New Roman;serif" w:hAnsi="Times New Roman;serif"/>
          <w:b w:val="false"/>
          <w:color w:val="000000"/>
          <w:sz w:val="20"/>
          <w:shd w:fill="FFFFFF" w:val="clear"/>
        </w:rPr>
        <w:t>, primarily reflects a decrease in net loss of $36.2 million, adjusted for non-cash items including stock-based compensation expense for employees and directors.</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 from Investing Activities</w:t>
      </w:r>
    </w:p>
    <w:p>
      <w:pPr>
        <w:pStyle w:val="TextBody"/>
        <w:bidi w:val="0"/>
        <w:spacing w:lineRule="auto" w:line="288" w:before="0" w:after="360"/>
        <w:ind w:left="0" w:right="0" w:firstLine="1296"/>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investing activities was $72.8 million for the six months ended June 30, 2025 and net cash used by investing activities was $1.9 million for the six months ended June 30, 2024. The increase in net cash provided by investing activities for the six months ended June 30, 2025, compared to the same period in 2024, primarily reflects decreased purchases of marketable securities.</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 from Financing Activities</w:t>
      </w:r>
    </w:p>
    <w:p>
      <w:pPr>
        <w:pStyle w:val="TextBody"/>
        <w:bidi w:val="0"/>
        <w:spacing w:lineRule="auto" w:line="288" w:before="0" w:after="360"/>
        <w:ind w:left="0" w:right="0" w:firstLine="1296"/>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Net cash provided by financing activities for the six months ended June 30, 2025 and 2024 was $1.3 million and $164.6 million, respectively. Financing activities in 2024 primarily reflect an underwriting offering of 41,999,998 shares of common stock and a pre-funded warrant to purchase 8,002,668 shares of common stock, resulting in net cash proceeds of $141.0 million completed in March 2024.</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Material Cash Requirements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material cash requirements in the short- and long-term consist of the following operational and manufacturing expenditures, a portion of which contain contractual or other obligations. We currently plan to fund our material cash requirements with our current financial resources together with net revenues from sales of RYTELO; however, if we do not generate sufficient funds from commercial sales of RYTELO, if we experience unforeseen events or choose to make other investments in our business, or our assumptions regarding our projected operating expenses are otherwise incorrect, we may require additional funding to fund our material cash requirements, which could include a combination of additional equity and debt financings, new collaborative arrangements, strategic alliances, or from other sources.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expenditures primarily consist of our obligations under commercial purchase commitments related to our manufacturing and supply agreements for RYTELO and operating leases.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RYTELO requires long lead times to manufacture. Therefore, we make substantial and often long-term investments in our supply chain in order to ensure we have enough drug product to meet potential future commercialization requirements, as well as clinical trial needs.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We have engaged third</w:t>
        <w:noBreakHyphen/>
        <w:t>party contract manufacturers and have re-established our own manufacturing supply chain to manufacture and supply quantities of RYTELO that meet applicable regulatory standards for current and potential future clinical trials and commercial uses. Related to those contract manufacturing agreements, we have commercial purchase commitments f</w:t>
      </w:r>
      <w:r>
        <w:rPr>
          <w:rFonts w:ascii="Times New Roman;serif" w:hAnsi="Times New Roman;serif"/>
          <w:b w:val="false"/>
          <w:color w:val="000000"/>
          <w:sz w:val="20"/>
          <w:shd w:fill="FFFFFF" w:val="clear"/>
        </w:rPr>
        <w:t>or approximatel</w:t>
      </w:r>
      <w:r>
        <w:rPr>
          <w:rFonts w:ascii="Times New Roman;serif" w:hAnsi="Times New Roman;serif"/>
          <w:b w:val="false"/>
          <w:color w:val="000000"/>
          <w:sz w:val="20"/>
        </w:rPr>
        <w:t>y $124.7 million</w:t>
      </w:r>
      <w:r>
        <w:rPr>
          <w:color w:val="000000"/>
          <w:shd w:fill="FFFFFF" w:val="clear"/>
        </w:rPr>
        <w:t xml:space="preserve"> </w:t>
      </w:r>
      <w:r>
        <w:rPr>
          <w:rFonts w:ascii="Times New Roman;serif" w:hAnsi="Times New Roman;serif"/>
          <w:b w:val="false"/>
          <w:color w:val="000000"/>
          <w:sz w:val="20"/>
          <w:shd w:fill="FFFFFF" w:val="clear"/>
        </w:rPr>
        <w:t xml:space="preserve">in the aggregate as of June 30, 2025. These purchase commitments can vary based on the commercial demand of RYTELO and are binding based on future </w:t>
      </w:r>
      <w:r>
        <w:rPr>
          <w:rFonts w:ascii="Times New Roman;serif" w:hAnsi="Times New Roman;serif"/>
          <w:b w:val="false"/>
          <w:color w:val="000000"/>
          <w:sz w:val="20"/>
        </w:rPr>
        <w:t xml:space="preserve">manufacturing needs.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of June 30, 2025, we had a long-term principal debt balance of $119.0 million, consisting of $125.0 million aggregate principal amount of the Tranche A Loan under the Pharmakon Loan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1, 2024, we entered into the Pharmakon Loan Agreement, and in connection with this transaction, all obligations outstanding under the Hercules Loan Agreement were repaid in full on November 1, 2024,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which the Hercules Loan Agreement was terminated. We expect our interest expense to increase in future periods due to the draw down of the Tranche A Loan and potential future draw downs of the other Term Loans under the Pharmakon Loan Agreement. See</w:t>
      </w:r>
      <w:hyperlink w:anchor="id7efb3ede15a4d12a6ecfcbc465dd776_52">
        <w:r>
          <w:rPr>
            <w:rStyle w:val="InternetLink"/>
            <w:color w:val="0000FF"/>
            <w:u w:val="single"/>
          </w:rPr>
          <w:t xml:space="preserve"> </w:t>
        </w:r>
      </w:hyperlink>
      <w:hyperlink w:anchor="id7efb3ede15a4d12a6ecfcbc465dd776_52">
        <w:r>
          <w:rPr>
            <w:rStyle w:val="InternetLink"/>
            <w:rFonts w:ascii="Times New Roman;serif" w:hAnsi="Times New Roman;serif"/>
            <w:b w:val="false"/>
            <w:color w:val="0000FF"/>
            <w:sz w:val="20"/>
            <w:u w:val="single"/>
          </w:rPr>
          <w:t>Note 6</w:t>
        </w:r>
      </w:hyperlink>
      <w:r>
        <w:rPr>
          <w:color w:val="000000"/>
        </w:rPr>
        <w:t xml:space="preserve"> </w:t>
      </w:r>
      <w:r>
        <w:rPr>
          <w:rFonts w:ascii="Times New Roman;serif" w:hAnsi="Times New Roman;serif"/>
          <w:b w:val="false"/>
          <w:color w:val="000000"/>
          <w:sz w:val="20"/>
        </w:rPr>
        <w:t>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November 1, 2024, we entered into the Royalty Pharma Agreement, pursuant to which we received an upfront payment of $125.0 million and Royalty Pharma obtained the right to receive Royalty Payments on future U.S. net sales of RYTELO for each calendar quarter during the term of the agreement. We are obligated to make Royalty Payments each quarter based on U.S. net sales of RYTELO at the royalty rates set forth in the agreement, which Royalty Payments are not determinable at this time, until the date when the aggregate Royalty Payments equal or exceed 1.65 times the Purchase Price, if this occurs by June 30, 2031, or the date when the aggregate Royalty Payments equal or exceed 2.0 times the Purchase Price. See </w:t>
      </w:r>
      <w:hyperlink w:anchor="id7efb3ede15a4d12a6ecfcbc465dd776_52">
        <w:r>
          <w:rPr>
            <w:rStyle w:val="InternetLink"/>
          </w:rPr>
          <w:t>Note 6</w:t>
        </w:r>
      </w:hyperlink>
      <w:hyperlink w:anchor="id7efb3ede15a4d12a6ecfcbc465dd776_52">
        <w:r>
          <w:rPr>
            <w:rStyle w:val="InternetLink"/>
          </w:rPr>
          <w:t xml:space="preserve"> </w:t>
        </w:r>
      </w:hyperlink>
      <w:r>
        <w:rPr>
          <w:rFonts w:ascii="Times New Roman;serif" w:hAnsi="Times New Roman;serif"/>
          <w:b w:val="false"/>
          <w:color w:val="000000"/>
          <w:sz w:val="20"/>
        </w:rPr>
        <w:t>on Debt in Notes to Condensed Consolidated Financial Statements of this Report for additional information on the Royalty Pharma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agreements with CROs for clinical trials and with other vendors for preclinical research studies, investigator-led trials and other services and products for operating purposes. We have not considered these commitments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there were no material changes to our quantitative and qualitative disclosures about market risk as set forth in Part II, Item 7A "Quantitative and Qualitative Disclosures About Market Risk" of our 2024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Interim Chief Executive Officer and our Chief Financial Officer, evaluated our disclosure controls and procedures as defined in Rules 13a-15(e) and 15d-15(e) under the Exchange Act, prior to the filing of this Report. Based on that evaluation, our Interim Chief Executive Officer and our Chief Financial Officer have concluded that, as of the end of the period covered by this Report, our disclosure controls and procedures were effective at the reasonable assurance level.</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to which this report relates that have materially affected, or are reasonably likely to materially affect, our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disclosure controls and procedures, our management recognizes that any system of controls, however well designed and operated, can provide only reasonable assurance, and not absolute 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Interim Chief Executive Officer and our Chief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360"/>
        <w:ind w:left="0" w:right="0" w:firstLine="1296"/>
        <w:jc w:val="left"/>
        <w:rPr/>
      </w:pPr>
      <w:r>
        <w:rPr>
          <w:rFonts w:ascii="Times New Roman;serif" w:hAnsi="Times New Roman;serif"/>
          <w:b w:val="false"/>
          <w:color w:val="000000"/>
          <w:sz w:val="20"/>
        </w:rPr>
        <w:t xml:space="preserve">See </w:t>
      </w:r>
      <w:hyperlink w:anchor="id7efb3ede15a4d12a6ecfcbc465dd776_55">
        <w:r>
          <w:rPr>
            <w:rStyle w:val="InternetLink"/>
            <w:rFonts w:ascii="Times New Roman;serif" w:hAnsi="Times New Roman;serif"/>
            <w:b w:val="false"/>
            <w:color w:val="0000FF"/>
            <w:sz w:val="20"/>
            <w:u w:val="single"/>
          </w:rPr>
          <w:t>Note 7</w:t>
        </w:r>
      </w:hyperlink>
      <w:r>
        <w:rPr>
          <w:color w:val="000000"/>
        </w:rPr>
        <w:t xml:space="preserve"> </w:t>
      </w:r>
      <w:r>
        <w:rPr>
          <w:rFonts w:ascii="Times New Roman;serif" w:hAnsi="Times New Roman;serif"/>
          <w:b w:val="false"/>
          <w:color w:val="000000"/>
          <w:sz w:val="20"/>
        </w:rPr>
        <w:t>on Contingencies and Uncertainties in Notes to Condensed Consolidated Financial Statements of this Report for information on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are described under the heading “Risk Factors” below, and this summary is qualified in its entirety by that more complete discussion of such risks and uncertainties.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the heading “Risk Factors” below as part of your evaluation of an investment in our common stock.</w:t>
      </w:r>
    </w:p>
    <w:p>
      <w:pPr>
        <w:pStyle w:val="TextBody"/>
        <w:bidi w:val="0"/>
        <w:spacing w:lineRule="auto" w:line="288" w:before="0" w:after="120"/>
        <w:jc w:val="left"/>
        <w:rPr/>
      </w:pPr>
      <w:r>
        <w:rPr>
          <w:rFonts w:ascii="Times New Roman;serif" w:hAnsi="Times New Roman;serif"/>
          <w:b/>
          <w:i/>
          <w:color w:val="000000"/>
          <w:sz w:val="20"/>
        </w:rPr>
        <w:t>Risks Related to the Commercialization of RYTELO</w:t>
      </w:r>
      <w:r>
        <w:rPr>
          <w:rFonts w:ascii="Times New Roman;serif" w:hAnsi="Times New Roman;serif"/>
          <w:b/>
          <w:i/>
          <w:color w:val="000000"/>
          <w:sz w:val="13"/>
        </w:rPr>
        <w:t xml:space="preserve">® </w:t>
      </w:r>
      <w:r>
        <w:rPr>
          <w:rFonts w:ascii="Times New Roman;serif" w:hAnsi="Times New Roman;serif"/>
          <w:b/>
          <w:i/>
          <w:color w:val="000000"/>
          <w:sz w:val="20"/>
        </w:rPr>
        <w:t>(Imetelstat)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have limited experience as a commercial company and our sales, marketing, and distribution of RYTELO may be unsuccessful or less successful than anticipated.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are unable to continue to execute on our sales, marketing and distribution plans to commercialize RYTELO, we may be unable to generate meaningful product revenue.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do not maintain acceptable prices or adequate reimbursement for RYTELO, the use of RYTELO could be severely limited.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To be commercially successful, RYTELO must be accepted by the healthcare community, which can be slow to adopt or unreceptive to new technologies and products.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the market opportunities for RYTELO are smaller than we believe, our revenue may be adversely affected, and our business may suffer.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competitors develop products, product candidates or technologies that are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rely on a select network of third party distributors, specialty pharmacies and other vendors to distribute RYTELO in the U.S., and any failure by such distributors, specialty pharmacies and vendors could adversely affect our revenues, financial condition, or results of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will be subject to pricing, drug marketing, post-market and reimbursement regulations in the European Union, or EU, which may materially affect our ability to commercialize and receive reimbursement coverage for RYTELO in the EU.</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Risks Related to Regulatory Approval of RYTELO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may be unable to maintain regulatory approvals for RYTELO in the U.S. and the EU for lower-risk MDS, which would severely and adversely affect our business and business prospects, and might cause us to cease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Risks Related to Compliance with Healthcare Laws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FDA, the Department of Justice, or DOJ, and other regulatory authorities actively enforce regulations related to the promotion and advertisement of pharmaceutical products, and if we were found to have violated the Food, Drug and Cosmetic Act, we could be subject to significant civil, criminal and administrative penalties.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Risks Related to the Further Development of Imetelstat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Risks Related to Manufacturing RYTELO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pStyle w:val="TextBody"/>
        <w:bidi w:val="0"/>
        <w:spacing w:lineRule="auto" w:line="288" w:before="0" w:after="120"/>
        <w:jc w:val="left"/>
        <w:rPr/>
      </w:pPr>
      <w:r>
        <w:rPr>
          <w:rFonts w:ascii="Times New Roman;serif" w:hAnsi="Times New Roman;serif"/>
          <w:b/>
          <w:i/>
          <w:color w:val="000000"/>
          <w:sz w:val="20"/>
        </w:rPr>
        <w:t>Ris</w:t>
      </w:r>
      <w:r>
        <w:rPr>
          <w:rFonts w:ascii="Times New Roman;serif" w:hAnsi="Times New Roman;serif"/>
          <w:b/>
          <w:i/>
          <w:color w:val="000000"/>
          <w:sz w:val="20"/>
          <w:shd w:fill="FFFFFF" w:val="clear"/>
        </w:rPr>
        <w:t>ks Related to Our Operating Results, Financial Position and Need for Additional Capital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shd w:fill="FFFFFF" w:val="clear"/>
        </w:rPr>
        <w:t>We have a history of net losses and may not achieve consistent future profitability for some time, if ever.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shd w:fill="FFFFFF" w:val="clear"/>
        </w:rPr>
        <w:t>Our operating results are unpredictable and may fluctuate. If our operating results are below the expect</w:t>
      </w:r>
      <w:r>
        <w:rPr>
          <w:rFonts w:ascii="Times New Roman;serif" w:hAnsi="Times New Roman;serif"/>
          <w:b w:val="false"/>
          <w:color w:val="000000"/>
          <w:sz w:val="20"/>
        </w:rPr>
        <w:t xml:space="preserve">ations of securities analysts or investors, the trading price of our common stock could decline.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Risks Related to Protecting Our Intellectual Property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Risks Related to Managing Our Growth and Other Business Operations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before="0" w:after="0"/>
        <w:jc w:val="center"/>
        <w:rPr/>
      </w:pPr>
      <w:r>
        <w:rPr/>
      </w:r>
    </w:p>
    <w:p>
      <w:pPr>
        <w:pStyle w:val="TextBody"/>
        <w:bidi w:val="0"/>
        <w:spacing w:lineRule="auto" w:line="288" w:before="0" w:after="360"/>
        <w:ind w:left="0" w:right="0" w:firstLine="490"/>
        <w:jc w:val="left"/>
        <w:rPr>
          <w:rFonts w:ascii="Times New Roman;serif" w:hAnsi="Times New Roman;serif"/>
          <w:b w:val="false"/>
          <w:i/>
          <w:color w:val="000000"/>
          <w:sz w:val="20"/>
        </w:rPr>
      </w:pPr>
      <w:r>
        <w:rPr>
          <w:rFonts w:ascii="Times New Roman;serif" w:hAnsi="Times New Roman;serif"/>
          <w:b w:val="false"/>
          <w:i/>
          <w:color w:val="000000"/>
          <w:sz w:val="20"/>
        </w:rPr>
        <w:t>We operate in a dynamic and rapidly changing environment involving numerous risks and uncertainties that may have a material adverse effect on our business, financial condition or results of operations. You should carefully consider the risks and uncertainties described below, together with all of the other information included in this Report. Our business faces significant risks and uncertainties, and those described below may not be the only risks and uncertainties we face. Additional risks and uncertainties not presently known to us or that we currently believe are immaterial may also 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THE COMMERCIALIZATION OF RYTELO ® (IMETELSTAT)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received FDA approval to commercialize RYTELO in the U.S. for certain patients with lower-risk MDS, and we initiated a commercial launch of RYTELO in the U.S. in that indication. RYTELO is our only product approved for marketing by the FDA, and our ability to generate meaningful revenue from product sales and achieve profitability is wholly dependent on our ability to successfully commercialize RYTELO in the U.S. for lower-risk MDS or to expand its indications of use. We may not be able to successfully commercialize RYTELO for a number of reasons, including: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not be able to establish or demonstrate in the medical community the safety and efficacy of RYTELO and its potential advantages over, and side effects compared to, existing treatments;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physicians may be reluctant to prescribe RYTELO until longer-term efficacy and safety data exists;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our limited historical experience in marketing, selling and distributing RYTELO;</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reimbursement and coverage policies of government and private payors such as Medicare, Medicaid, insurance companies, health maintenance organizations and other plan administrators;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relative price of RYTELO as compared to alternative treatment options;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relatively low incidence and prevalence of patients in RYTELO’s approved indication, including the reliability of our market and sales estimates;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market penetration rate of RYTELO across the breadth of eligible patient segments in its approved indication may continue to be lower than our expectations;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future competitive or other market factors may adversely affect the commercial potential of RYTELO;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not be able to obtain and maintain regulatory approvals for RYTELO in any other jurisdictions for lower-risk MDS or for any other indications, including relapsed/refractory MF;</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changed or increased regulatory restrictions;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changes to the label for RYTELO that further restrict how we market and sell RYTELO, including adverse events observed in ongoing and future studies of imetelstat such as our </w:t>
      </w:r>
      <w:r>
        <w:rPr>
          <w:rFonts w:ascii="Times New Roman;serif" w:hAnsi="Times New Roman;serif"/>
          <w:b w:val="false"/>
          <w:color w:val="000000"/>
          <w:sz w:val="20"/>
          <w:shd w:fill="FFFFFF" w:val="clear"/>
        </w:rPr>
        <w:t>Phase 3 IMpactMF clinical trial</w:t>
      </w:r>
      <w:r>
        <w:rPr>
          <w:rFonts w:ascii="Times New Roman;serif" w:hAnsi="Times New Roman;serif"/>
          <w:b w:val="false"/>
          <w:color w:val="000000"/>
          <w:sz w:val="20"/>
        </w:rPr>
        <w:t>;</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capabilities of third party manufacturers may adversely affect the success of our commercialization of RYTELO;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need additional financial or other resources to successfully commercialize RYTELO;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we may not be able to maintain adequate commercial supplies of RYTELO to meet demand or at an acceptable cost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Moreover, successful commercialization of RYTELO may not generate sufficient revenue from product sales, and we may not become profitable in the near term, or at all. In any event, if we are unable to successfully commercialize RYTELO in the U.S. for lower-risk MDS, or to expand its indications of use, our ability to generate meaningful revenue from product sales and achieve profitability will be materially and adversely affected, which in turn would severely and adversely affect our financial results, business and business prospects, and might cause us to cease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We have limited experience as a commercial company and our sales, marketing, and distribution of RYTELO may be unsuccessful or less successful than anticipated.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limited prior experience in selling and marketing or commercializing an approved drug product in the U.S., and we have no experience selling, marketing or commercializing an approved drug outside of the U.S. The success of our commercialization efforts is subject to, among other things, managing our internal sales, marketing, and distribution capabilities and our ability to navigate the significant expenses and risks involved with the management of such capabilities. For example, RYTELO sales trends have been and may continue to be variable. Net product revenue was approximately $49.0 million in the second quarter of 2025, $39.4 million in the first quarter of 2025, and $47.5 million in the fourth quarter of 2024. Our priority is to drive new patient starts across the breadth of the eligible patient population in RYTELO’s approved indication in the U.S. Our strategy to drive sales growth in the U.S. is currently focused on three key areas: investing additional resources to increase brand awareness, including increasing the size of our commercial and medical field forces; refining our marketing and medical efforts to enhance prescribing clarity and confidence with the approved use of RYTELO; and implementing programs to expand key opinion leader support and advocacy. However, this strategy and our ongoing commercialization efforts may not achieve meaningful sales growth, which may require us to, among other things, further adjust or amend our commercialization strategy and plans and incur significant expenses, and there can be no assurance that we will be able to grow RYTELO net product revenues in future periods. In particular, our strategy may not drive new patient starts across the breadth of the eligible patient population in RYTELO's approved indication in a timely manner or at all, or the duration of therapy could be shorter than we expect, each of which would limit RYTELO's growth potential and could preclude or delay our ability to generate meaningful revenue from product sales and to achieve profitability. Further, given our limited historical experience commercializing drug products, we do not have a track record of successfully executing a commercial launch. If we are unsuccessful in accomplishing our objectives from our commercialization efforts and strategy, or they are not executed as planned, we may not be able to generate meaningful revenues from the commercialization of RYTELO in lower-risk MDS, we may require significant additional capital and financial resources, we may not become profitable, and we may not be able to compete against more established companies in our industry. Any of these outcomes would severely and adversely affect our financial results, business and business prospects, and might cause us to cease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continue to execute on our sales, marketing and distribution plans to commercialize RYTELO, we may be unable to generate meaningful product revenue.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To successfully commercialize RYTELO in the U.S., we need to continue to execute on our sales, marketing and distribution plans, including on our efforts to drive new patient starts in RYTELO's approved indication. The ongoing execution of our sales, marketing and distribution plans requires investment of capital and time, and we cannot be certain that we will be able to execute on our plans successfully in a timely manner or at all. In addition, we compete with many companies that currently have extensive, experienced and well-funded sales, distribution and marketing operations to recruit, hire, train and retain marketing and sales personnel. If we are unable to recruit as needed, and to retain and effectively train marketing, sales and medical personnel and equip them with compliant and effective materials, our efforts to successfully commercialize RYTELO could be adversely affected.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Although we received marketing authorization for RYTELO in the EU for the treatment of certain adult patients with TD anemia due to lower-risk MDS in March 2025, we currently have no marketing or sales organization outside of the U.S., and as a company, we have no experience selling and marketing approved drugs outside of the U.S. To successfully commercialize RYTELO in the EU or in any other regions outside the U.S. where we might seek marketing authorization in the future, we will need to develop these capabilities, which we plan to do by working with experienced third-party contractors or commercialization partners. Doing so will require additional investment of capital and time. Particularly in light of our current priority to drive new patient starts across the breadth of the eligible patient population in RYTELO’s approved indication in the U.S., </w:t>
      </w:r>
      <w:r>
        <w:rPr>
          <w:rFonts w:ascii="Times New Roman;serif" w:hAnsi="Times New Roman;serif"/>
          <w:b w:val="false"/>
          <w:color w:val="000000"/>
          <w:sz w:val="20"/>
          <w:shd w:fill="FFFFFF" w:val="clear"/>
        </w:rPr>
        <w:t>we currently intend to seek contractual arrangements, strategic partnerships, collaborations, alliances or licensing arrangements with third parties to assist us in the commercialization of RYTELO in the EU and in any other regions outside of the U.S. where RYTELO may be approved for marketing in the future.</w:t>
      </w:r>
      <w:r>
        <w:rPr>
          <w:color w:val="000000"/>
        </w:rPr>
        <w:t xml:space="preserve"> </w:t>
      </w:r>
      <w:r>
        <w:rPr>
          <w:rFonts w:ascii="Times New Roman;serif" w:hAnsi="Times New Roman;serif"/>
          <w:b w:val="false"/>
          <w:color w:val="000000"/>
          <w:sz w:val="20"/>
        </w:rPr>
        <w:t xml:space="preserve">However, we may be unable to enter into and conduct successful contractual arrangements, strategic partnerships, collaborations, alliances or licensing arrangements with third parties to commercialize RYTELO in the EU or in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regions where RYTELO may be approved for marketing in the future. Any failure or delay in entering into and conducting such contractual arrangements, strategic partnerships, collaborations, alliances or licensing arrangements with third parties would adversely impact the commercialization of RYTELO in the EU or in any other regions outside the U.S. where RYTELO may be approved for marketing in the future.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given our limited experience in marketing and selling RYTELO, we continue to evaluate and adapt our strategy in response to experience in the marketplace and have determined to expand our field sales force and medical support liaisons to support our U.S. commercialization efforts. However, we may determine that we need further changes in the future that require additional hiring to further expand our field sales force and medical support liaisons to adequately support the commercialization of RYTELO in the U.S., which could further increase our costs. With respect to the EU or any other regions outside the U.S. where we might seek marketing authorization in the future for RYTELO, we plan to enter into arrangements with other third parties to utilize their local marketing and distribution capabilities, but we may be unable to enter into such arrangements on favorable terms, if at all. If potential future partners do not commit sufficient resources to commercialize RYTELO, we may be unable to generate sufficient product revenue to sustain our business. In any event, if we are unable to establish and maintain adequate sales and marketing capabilities for RYTELO, whether on our own or through contractual arrangements, collaborations or other arrangements, our results of operations may be negatively impacted. Any of the foregoing would negatively impact our business and business prospects, severely and adversely affect our financial results, and might cause us to cease operations.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we do not maintain acceptable prices or adequate reimbursement for RYTELO, the use of RYTELO could be severely limited.</w:t>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RYTELO will depend significantly on maintaining acceptable prices and the availability of coverage and adequate reimbursement to patients from third-party payors. Government payors, such as the Medicare and Medicaid programs, and other third-party payors, such as private health insurers and health maintenance organizations, determine which medications they will cover and the reimbursement levels. The resulting reimbursement payment rates may not be adequate or may require significant restrictions on use or increased co-payments from commercially insured patients that patients may find unacceptably high. Patients are unlikely to use RYTELO unless coverage is provided, and reimbursement is adequate to cover all or a significant portion of its cost. Therefore, coverage and adequate reimbursement are critical to market acceptance of RYTELO.</w:t>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government authorities and other third-party payors in the U.S. and other jurisdictions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The Inflation Reduction Act of 2022 includes several provisions to lower prescription drug costs for people with Medicare and reduce drug spending by the federal government, which may ultimately have a negative effect on the pricing for RYTELO. However, the Medicare Drug Pricing Negotiation Program provisions of the law are currently subject to legal challenges. Further, no uniform policy requirement for coverage and reimbursement for drug products exists among third-party payors in the U.S. As a result, the coverage determination process is often a time-consuming and costly process that will require us to provide scientific and clinical support for the use of RYTELO to each payor separately, with no assurance that coverage and adequate reimbursement will be applied consistently or obtained in the first instance. </w:t>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received a permanent and product-specific J-Code (J0870) for RYTELO which became effective on January 1, 2025, there may also be significant delays in obtaining coverage and reimbursement for newly approved drugs, and coverage may be more limited than the purposes for which the drug is approved by the FDA or similar international regulatory authorities. Coverage and reimbursement may impact the demand for, or the price of RYTELO, and reimbursement policies in the U.S., the EU, and other jurisdictions may evolve which may adversely impact our ability to successfully commercialize RYTELO. Even if favorable coverage and reimbursement status is attained for one or more products for which we receive regulatory approval, less favorable coverage policies and reimbursement rates may be implemented in the future. If coverage and reimbursement are not available or reimbursement is available only to limited levels, we may not be able to successfully commercialize RYTELO, which would negatively impact our business and business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To be commercially successful, RYTELO must be accepted by the healthcare community, which can be slow to adopt or unreceptive to new technologies and products.</w:t>
      </w:r>
    </w:p>
    <w:p>
      <w:pPr>
        <w:pStyle w:val="TextBody"/>
        <w:bidi w:val="0"/>
        <w:spacing w:lineRule="auto" w:line="288" w:before="0" w:after="200"/>
        <w:ind w:left="0" w:right="0" w:firstLine="1296"/>
        <w:jc w:val="left"/>
        <w:rPr/>
      </w:pPr>
      <w:r>
        <w:rPr>
          <w:rFonts w:ascii="Times New Roman;serif" w:hAnsi="Times New Roman;serif"/>
          <w:b w:val="false"/>
          <w:color w:val="000000"/>
          <w:sz w:val="20"/>
        </w:rPr>
        <w:t xml:space="preserve">RYTELO may not achieve market acceptance for lower-risk MDS or any other indication that might be approved in the future, or achieve the potential U.S. or international revenue we believe may be possible for lower-risk MDS, since hospitals, physicians, patients or the medical community in general may decide not to accept and utilize RYTELO at the rate we expect </w:t>
      </w:r>
      <w:r>
        <w:rPr>
          <w:rFonts w:ascii="Times New Roman;serif" w:hAnsi="Times New Roman;serif"/>
          <w:b w:val="false"/>
          <w:color w:val="000000"/>
          <w:sz w:val="20"/>
          <w:shd w:fill="FFFFFF" w:val="clear"/>
        </w:rPr>
        <w:t>or may not use RYTELO across the breadth of eligible patient segments</w:t>
      </w:r>
      <w:r>
        <w:rPr>
          <w:rFonts w:ascii="Times New Roman;serif" w:hAnsi="Times New Roman;serif"/>
          <w:b w:val="false"/>
          <w:color w:val="000000"/>
          <w:sz w:val="20"/>
        </w:rPr>
        <w:t>. For example, new patient starts in the U.S. through the end of the first quarter of 2025 have been primarily in the third-line setting. While our current priority is to drive new patient starts across the breadth of eligible patient segments in RYTELO's approved indication, we may be unable to do so in a timely manner or at all, which would limit RYTELO's growth potential and which could delay or preclude our ability to generate meaningful revenue from product sales and to achieve profitability. Furthermore, RYTELO competes with a number of conventional and widely accepted drugs and therapies manufactured and marketed by major pharmaceutical companies. The degree of market acceptance of RYTELO depends on a number of factors, including:</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clinical indications for which RYTELO is or may in the future be approved;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establishment and demonstration to the medical community of the clinical efficacy and safety of RYTELO;</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ability to demonstrate that RYTELO is superior to alternatives on the market at the time, including with respect to efficacy, safety, cost or route of administration;</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 xml:space="preserve">the willingness of medical professionals to prescribe, and patients to use, RYTELO, or to continue to use RYTELO; </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publication of unfavorable safety or efficacy data concerning RYTELO by third parties or us;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restrictions on use of RYTELO alone or in combination with other products;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label and promotional claims allowed by the FDA for RYTELO, as well as any such claims allowed by similar international regulatory authorities for RYTELO, including usage for only certain indications and any limitations or warnings about the prevalence or severity of any side effects;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timing of market introduction of RYTELO as well as competitive products, including sequencing of available products;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effectiveness of sales, marketing and distribution support for RYTELO;</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ability of the third party distributors and specialty pharmacies we contract with to process prescriptions and dispense RYTELO and the processes required to place orders with such distributors and specialty pharmacies;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extent to which RYTELO is approved for inclusion on formularies in hospitals and managed care organizations;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pricing of RYTELO, both in absolute terms and relative to alternative treatments;</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availability of coverage and adequate reimbursement by government and third-party payors;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0"/>
        </w:rPr>
        <w:t>the willingness of patients to pay out-of-pocket in the absence of coverage by third-party payors, including governmental authorities.</w:t>
      </w:r>
    </w:p>
    <w:p>
      <w:pPr>
        <w:pStyle w:val="TextBody"/>
        <w:bidi w:val="0"/>
        <w:spacing w:lineRule="auto" w:line="288" w:before="0" w:after="20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to demonstrate any therapeutic or economic advantage for RYTELO compared to established or standard-of-care therapies, or newly developed therapies, for myeloid hematologic malignancies. National health insurance and/or third-party payors may decide that any potential benefit that RYTELO may provide to clinical outcomes in myeloid hematologic malignancies is not adequate to justify the potential adverse effects or the costs of treatment with RYTELO. If the healthcare community does not accept RYTELO for any of the foregoing reasons, or for any other reasons, our ability to commercialize RYTELO in the U.S. or the EU for lower-risk MDS or for any other indications for which RYTELO may be approved, may be negatively impacted or precluded altogether, which would seriously and adversely affect our business and business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If the market opportunities for RYTELO are smaller than we believe, our revenue may be adversely affected, and our business may suffer.</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are commercializing RYTELO in lower-risk MDS, and the addressable patient population in lower-risk MDS is based on our estimates. These estimates, which have been derived from a variety of sources, including scientific literature, surveys of clinics, patient foundations and market research, may prove to be </w:t>
      </w:r>
      <w:r>
        <w:rPr>
          <w:rFonts w:ascii="Times New Roman;serif" w:hAnsi="Times New Roman;serif"/>
          <w:b w:val="false"/>
          <w:color w:val="000000"/>
          <w:sz w:val="20"/>
          <w:shd w:fill="FFFFFF" w:val="clear"/>
        </w:rPr>
        <w:t>incorrect. Further, new information from us or others may change the estimated incidence or prevalence of patients with lower-risk MDS in the U.S. or the EU. Additionally, the potentially addressable patient population for RYTELO may not ultimately be amenable to treatment with RYTELO, we may be unable to successfully identify patients and achieve a significant market share in all eligible patient segments in RYTELO’s approved indication, or the duration of therapy for patients receiving RYTELO could be shorter than we expect, each of which would have a negative impac</w:t>
      </w:r>
      <w:r>
        <w:rPr>
          <w:rFonts w:ascii="Times New Roman;serif" w:hAnsi="Times New Roman;serif"/>
          <w:b w:val="false"/>
          <w:color w:val="000000"/>
          <w:sz w:val="20"/>
        </w:rPr>
        <w:t xml:space="preserve">t on sales of RYTELO in the future and may limit its growth potential. Our commercialization of RYTELO in the U.S. and our planned commercialization in the EU is limited to certain patients with lower-risk MDS, and any future potential commercialization will be limited to the therapeutic indications examined in our clinical trials and as determined by the FDA and similar international regulatory authorities, which would not permit us to market RYTELO for any other indications not expressly approved by those regulatory authorities. Future regulatory approvals for RYTELO, if any, could be conditioned upon label restrictions that materially limit the addressable patient population.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market opportunity may also be limited by the pricing, reimbursement and access we are able to achieve for RYTELO, the quality and expiration of our intellectual property rights and regulatory exclusivity, duration of RYTELO treatment in lower-risk MDS and future competitor treatments that enter the market. If any of our estimates prove to be inaccurate, the market opportunities for RYTELO that we or any potential future collaborative partners develop could be significantly diminished, which would have a material adverse impact on our business and business prospects, and would adversely affect our ability to achieve profitability.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competitors develop products, product candidates or technologies that are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RYTELO, telomeres and telomerase; clinical data to date indicating potential disease-modifying activity with RYTELO treatment; and knowledge and expertise around the development of potential treatments for myeloid hematologic malignancies provide us with competitive advantages, we face competition from many different sources, including major pharmaceutical, specialty pharmaceutical and biotechnology companies, academic institutions, governmental agencies, and public and private research institutions. RYTELO competes with other products and therapies that currently exist, are being developed or will in the future be developed, some of which we may not currently be aware of. A discussion of current and potential future competitors of RYTELO can be found in the sub</w:t>
        <w:noBreakHyphen/>
        <w:t xml:space="preserve">section titled “Competition” in Part I, Item 1, titled “Business” included in our Annual Report on Form 10-K for the year ended December 31, 2024.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Many of our competitors, either alone or with their strategic partners, could have substantially greater financial, technical and human resources than we do and significantly greater experience in obtaining FDA and other regulatory approvals of treatments and commercializing those treatments. We believe that the commercial success of RYTELO is subject to a number of factors, including: product efficacy and safety; method of product administration; cost of manufacturing; the timing and scope of regulatory consents; status of coverage and reimbursement; price; the level of generic competition; and our patent and regulatory exclusivity position.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RYTELO. Academic institutions, government agencies and other public and private research organizations may also conduct research, seek patent protection and establish collaborative arrangements for research, clinical development and marketing of products similar to RYTELO. These companies and institutions compete with us in recruiting and retaining qualified development and management personnel as well as in acquiring technologies complementary to the RYTELO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a result of the foregoing, competitors may develop more commercially desirable or affordable products than RYTELO or achieve patent protection or product commercialization earlier than we may be able to achieve with RYTELO. Competitors have developed, or are in the process of developing, technologies that are, or in the future may be, competitive to RYTELO. Some of these products may have an entirely different approach or means of accomplishing therapeutic effects similar, or superior, to those that may be demonstrated by RYTELO. Competitors may develop products that are safer, more effective, or less costly than RYTELO, or more convenient to administer to patients and, therefore, present a serious competitive threat to RYTELO. In addition, competitors may price their products below what we may determine to be an acceptable price for RYTELO, may receive better third-party payor coverage and/or reimbursement, or may be more cost effective than RYTELO. Such competitive products or activities by competitors may render RYTELO obsolete, which may cause us to cease any further development or future commercialization of RYTELO, which would severely and adversely affect our financial results, business and business prospects, and the future of RYTELO, and might cause us to cease operations.</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rely on a select network of third party distributors, specialty pharmacies and other vendors to distribute RYTELO in the U.S., and any failure by such distributors, specialty pharmacies and vendors could adversely affect our revenues, financial condition, or results of operations.</w:t>
      </w:r>
    </w:p>
    <w:p>
      <w:pPr>
        <w:pStyle w:val="TextBody"/>
        <w:bidi w:val="0"/>
        <w:spacing w:before="0" w:after="0"/>
        <w:ind w:left="0" w:right="0" w:firstLine="1296"/>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rely on a select network of third party distributors, specialty pharmacies and other vendors to distribute RYTELO in the U.S., and the financial failure of any of these parties could adversely affect our revenues, financial condition or results of operations. We rely on such distributors and specialty pharmacies to effectively distribute RYTELO in a timely manner, provide certain patient support services, manage prescription intake, collect accurate patient and inventory data and collect payments from payors. While we have entered into agreements with each of these parties, they may not perform as agreed, our strategic priorities may change or they may terminate their agreements with us. Further, an inability by our distributors or specialty pharmacies to meet our patients’ needs may lead to reputational harm or patient loss. In the event that such network fails to properly meet our or our patients’ needs, we may need to partner with other distributors, specialty pharmacies or vendors to replace or supplement our current network and there is no guarantee that we will be able to do so on commercially reasonable terms or at all.</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will be subject to pricing, drug marketing, post-market and reimbursement regulations in the EU, which may materially affect our ability to commercialize and receive reimbursement coverage for RYTELO in the EU.</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2025, we received marketing authorization for RYTELO in the EU for the treatment of adult patients with TD anemia due to lower-risk MDS without an isolated deletion 5q cytogenic abnormality and who had an unsatisfactory response to or are ineligible for erythropoietin-based therapy. In connection with such approval, we are subject to post-marketing requirements to submit final results from certain ongoing non-clinical and clinical studies and the completion of certain quality-related activities and study. We are also subject to rules and regulations in the EU applicable to the manufacturing, marketing, promotion and sale of medicinal products. If we, or a regulatory authority, discover previously unknown problems with RYTELO, such as adverse events of unanticipated severity or frequency, or problems with a facility where RYTELO is manufactured, a regulatory authority may impose restrictions relative to RYTELO or the manufacturing facility, including requiring recall or withdrawal of RYTELO from the market or suspension of manufacturing. Moreover, product labeling, advertising and promotion for RYTELO will be subject to regulatory requirements and continuing regulatory review.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may result in administrative, civil or criminal penalties. These penalties could include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the pricing of RYTELO will be subject to governmental control and other market regulations which could put pressure on the pricing and usage of RYTELO. In the EU, pricing negotiations with governmental authorities can take considerable time after obtaining marketing approval of a product candidate and market acceptance and sales of RYTELO will depend significantly on the availability of adequate coverage and reimbursement from third-party payors for RYTELO and may be affected by existing and future healthcare reform measures.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requirements governing drug pricing and reimbursement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in the EU, we may be required to conduct a clinical study or other studies that compare the cost-effectiveness of RYTELO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RYTELO. Historically, products launched in the EU do not follow price structures of the U.S.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RYTELO is unavailable or limited in scope or amount, our revenues from sales and the potential profitability of RYTELO in those countries would be negatively affected.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Much like the federal Anti-Kickback Statute prohibition in the U.S., the provision of benefits or advantages to physicians and other healthcare professionals to induce or encourage the prescription, recommendation, endorsement, purchase, supply, order or use of medicinal products is also prohibited in the EU. Interactions between pharmaceutical companies and health care professionals are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Infringement of related laws could result in substantial fines and imprisonment.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Payments made to physicians and other healthcare professionals in certain EU Member States must be publicly disclosed. Moreover, agreements with physicians may require prior notification or approval by the physician’s or healthcare professional’s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before="0" w:after="0"/>
        <w:jc w:val="left"/>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REGULATORY APPROVAL OF RYTELO</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unable to maintain regulatory approvals for RYTELO in the U.S. and the EU for lower-risk MDS, which would severely and adversely affect our business and business prospects, and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June 2024, we received regulatory approval from the FDA to commercialize RYTELO in the U.S. in certain patients with lower-risk MDS and in March 2025, we received marketing authorization from the EC to commercialize RYTELO in the EU for certain adult patients with TD anemia due to lower-risk MDS. Federal, state and local governments in the U.S., and regulatory authorities in the EU, have significant regulations in place that may limit or prevent us from successfully commercializing RYTELO for lower-risk MDS. We do not currently have regulatory approval for RYTELO in any other jurisdictions or for any other indication, and governments in other jurisdictions have significant regulations that may limit or prevent us from successfully commercializing RYTELO in other jurisdictions. Failure to maintain regulatory approval for RYTELO from the FDA in the U.S. and from the EC in the EU for lower-risk MDS, or delays in obtaining, failure to obtain, or limitations in the scope of such approvals in any other jurisdictions or for any other indications, could: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result in a withdrawal of RYTELO from the market or could otherwise delay, limit or preclude any revenue we may receive from the commercialization of RYTELO for lower-risk MDS;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significantly harm the commercial potential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impede, halt or increase the costs of our activities and plans for clinical development;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diminish any competitive advantages that may have been available to us; 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 or preclude any revenue we may receive from the future commercialization of RYTELO in any other jurisdictions or for any other indications, if any.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approved products and their manufacturers, together with other vendors involved in the commercialization process, are subject to continual review, and discovery of previously unknown problems with a product or its manufacturer may result in restrictions on the product or manufacturer, including import restrictions, seizure and withdrawal of the product from the market.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Commercialization and sales of RYTELO are subject to government regulations related to numerous matters, including the processes of:</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manufacturing;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advertising and promotion;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selling and marketing;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medical information;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labeling;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distribution.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If, and to the extent that, we are unable to comply with these regulations, our ability to earn revenue from the commercialization of RYTELO will be materially and adversely impacted.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 if RYTELO causes serious or unexpected side effects, or if other safety risks are observed as a result of our commercialization efforts for RYTELO in the U.S. or the EU in lower-risk MDS or in current or potential future clinical trials, a number of potential significant negative consequences could result,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regulatory authorities may withdraw approval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be required to recall RYTELO, seek to change the way it is administered, conduct additional clinical trials or change the labeling of the product;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regulatory authorities may require revisions to the labeling of RYTELO, including limitations on approved uses or the addition of further warnings, contraindications or other safety information, or may impose restrictions on distribution in the form of additional requirements in a risk evaluation and management plan or risk management plan;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experience manufacturing delays and supply disruptions if regulatory inspectors identify regulatory noncompliance by third-party manufacturers requiring remediation;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RYTELO may be rendered less competitive and sales, if any, may decrease;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reputation may suffer generally both among clinicians and patients;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be exposed to potential lawsuits and associated legal expenses, including costs of resolving claims;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regulatory authorities may refuse to approve supplements to approved applications filed by us, or may suspend or revoke license approvals;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be required to change or stop ongoing clinical trials of RYTELO (imetelstat), which would negatively impact the development of RYTELO (imetelstat) for other potential indications.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events could prevent us from achieving or maintaining market acceptance for RYTELO, could substantially increase the costs and expenses of commercializing RYTELO, or could limit its commercial potential, which in turn could delay or prevent us from generating any meaningful revenues from the sale of the RYTELO.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RYTELO is approved outside the U.S. and EU, we will be subject to similar requirements, considerations and risks in other regions.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regulatory approval for RYTELO in lower-risk MDS in the U.S. is subject to non-clinical, clinical and manufacturing post-marketing requirements and commitments, including the requirement of continuing to assess long-term safety of RYTELO (imetelstat) in the IMerge trial and a clinical trial to evaluate alternative dosing regimens in lower-risk MDS, with timelines for completion and reporting established by the FDA. In the EU, our regulatory approval for RYTELO in certain patients with TD anemia due to lower-risk MDS is subject to our commitment to submit the results from certain ongoing non-clinical and clinical studies required by the FDA, including the assessment of the long-term safety of RYTELO in the IMerge trial, as well as results from an ongoing substudy within the IMerge trial and the completion of certain quality-related activities and study. In addition, RYTELO and the manufacturing processes and facilities, post-approval clinical data, labeling, advertising and promotional activities related to RYTELO will be subject to continual requirements of, and review by, the FDA and comparable regulatory authorities. These requirements include submissions of safety and other post-marketing information and reports, compliance with good pharmacovigilance practices, registration requirements, current Good Manufacturing Practice, or cGMP, requirements relating to quality control, quality assurance and corresponding maintenance of records and documents, and requirements regarding promotional interactions with healthcare professionals.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Failure to comply with these post-marketing requirements and commitments or any other regulatory requirements, or later discovery of previously unknown problems with RYTELO, or our manufacturers, or manufacturing processes for RYTELO, may result in actions such as: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restrictions on RYTELO manufacturing, distribution or use;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restrictions on labeling or marketing;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additional post-marketing requirements or commitments;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warning letters or the withdrawal of RYTELO from the market;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product recalls;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suspension or termination of ongoing clinical trials of imetelstat in other indications;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significant civil, criminal and administrative penalties, including fines, restitutions or disgorgement of profits or revenues;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refusal to permit the import or export of RYTELO;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product seizure or detentions;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injunctions or the imposition of civil or criminal penalties;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adverse publicity.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expend significant time and resources in response and could generate negative publicity. In addition, the regulations, policies or guidance of the FDA, EC or any other regulatory authority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we are unable to fulfill the post-marketing requirements and commitments established by the FDA or the EC for RYTELO in lower-risk MDS, or that may be applied to the approval and commercialization of RYTELO by any regulatory authority, or are unable to adapt to changes in existing regulatory requirements or adoption of new regulatory requirements or policies, there may be a negative impact to our business and continued regulatory approval of RYTELO. Under such circumstances, we or our respective service providers may be subject to the actions listed above, including losing marketing approval for RYTELO, which would severely and adversely affect our business and business prospects, and might cause us to cease operations. If RYTELO is approved outside the U.S. and the EU, we will be subject to similar requirements, considerations and risks in other regions.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may never receive regulatory approval for RYTELO in any other jurisdictions or for any new indications. It can take many years to obtain approval, if approval is obtained at all. Of the large number of drugs in development, only a small percentage complete the development and regulatory approval process and are successfully commercialized. In addition, the lengthy review process and the unpredictability of future or ongoing clinical trials may result in a delay in obtaining, or our failure to obtain, regulatory approval for RYTELO in lower-risk MDS in any jurisdictions other than the U.S. and the EU, or our inability to obtain regulatory approval for RYTELO for relapsed/refractory MF or for any other indications, which could significantly harm our business and business prospects, and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Securing marketing approval requires the submission of extensive non-clinical and clinical data and supporting information to regulatory authorities for each therapeutic indication to establish the product candidate’s safety and efficacy to the satisfaction of such regulatory authorities, as well as information about the product manufacturing process and any inspections of manufacturing facilities conducted by regulatory authorities through the filing of a New Drug Application, or NDA, in the U.S. and a Marketing Authorization Application, or MAA, in the EU. Although RYTELO is approved in the U.S. and the EU in lower-risk MDS, there can be no assurance that we will receive regulatory approval for the commercialization of RYTELO for lower-risk MDS in any other jurisdiction or for any new indications.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marketing approval that we may receive for RYTELO in any other jurisdiction or for any other indication may also be limited or subject to restrictions or post-approval commitments that increase our costs or render RYTELO not commercially viable, which would harm our business and business prospects.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Regulatory authorities may also not approve the labeling claims that are necessary or desirable for the successful commercialization of a drug, such as RYTELO. For example, although we received regulatory approval from the FDA in June 2024, and from the EC in March 2025, to commercialize RYTELO in lower-risk MDS, any future regulatory clearances that we might obtain for RYTELO may be limited to fewer or narrower indications than we might request, or may be granted subject to the performance of post-marketing studies, which may impose further requirements or restrictions on the distribution or use of RYTELO,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RYTELO and affect reimbursement by third-party payors. Future regulatory clearances, if any, may be limited to a smaller patient population, or may require a different drug formulation or a different manufacturing process, than we might in the future decide to seek.</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Any delay in obtaining or failure to obtain required approvals of RYTELO in any other jurisdictions or for any other indications, or limitations on any regulatory approval that we might receive in the future, if any, could reduce the potential commercial use of RYTELO, and potential market demand for RYTELO and therefore result in decreased revenue for us from any commercialization of RYTELO in any other jurisdictions or for any other indications, any of which could severely and adversely affect our financial results and ability to raise additional capital, if needed, the price of our common stock, our business and business prospects, and might cause us to cease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i/>
          <w:color w:val="000000"/>
          <w:sz w:val="20"/>
        </w:rPr>
        <w:t xml:space="preserve">The commercialization efforts we plan to undertake for RYTELO in the EU for lower-risk MDS may cause us to </w:t>
      </w:r>
      <w:r>
        <w:rPr>
          <w:rFonts w:ascii="Times New Roman;serif" w:hAnsi="Times New Roman;serif"/>
          <w:b/>
          <w:i/>
          <w:color w:val="000000"/>
          <w:sz w:val="20"/>
          <w:shd w:fill="FFFFFF" w:val="clear"/>
        </w:rPr>
        <w:t>experience additional risks related to operating outside of the U.S. that could materially adversely affect our business.</w:t>
      </w:r>
    </w:p>
    <w:p>
      <w:pPr>
        <w:pStyle w:val="TextBody"/>
        <w:bidi w:val="0"/>
        <w:spacing w:lineRule="auto" w:line="276" w:before="0" w:after="0"/>
        <w:ind w:left="0" w:right="0" w:firstLine="1296"/>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employees located outside of the U.S., conduct clinical trials outside of the U.S., and are preparing to commercialize RYTELO in select EU markets beginning in 2026, which may subject us to additional risks, including risks related to operating outside of the U.S., such as: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may experience unexpected changes in tariffs, trade barriers, price and exchange controls and other regulatory requirements;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risks of potential noncompliance by us or by any third parties we engage with legal requirements applicable to privacy, data protection, information security and other matters;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risks of potential noncompliance with tax, employment, immigration and labor laws for employees living or traveling abroad;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increased taxes outside of the U.S., including withholding and payroll taxes;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significant foreign currency fluctuations, which could result in increased operating expenses and reduced revenue, and other obligations incident to doing business in another country;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difficulties staffing and managing operations outside of the U.S.;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complexities associated with managing multiple payor reimbursement regimes and government payors in foreign countries;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potential liability under the Foreign Corrupt Practices Act of 1977 or comparable regulations outside of the U.S.;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w:t>
      </w:r>
    </w:p>
    <w:p>
      <w:pPr>
        <w:pStyle w:val="TextBody"/>
        <w:bidi w:val="0"/>
        <w:spacing w:lineRule="auto" w:line="288" w:before="0" w:after="240"/>
        <w:ind w:left="0" w:right="0" w:firstLine="1296"/>
        <w:jc w:val="left"/>
        <w:rPr/>
      </w:pPr>
      <w:r>
        <w:rPr>
          <w:rFonts w:ascii="Times New Roman;serif" w:hAnsi="Times New Roman;serif"/>
          <w:b w:val="false"/>
          <w:color w:val="000000"/>
          <w:sz w:val="20"/>
        </w:rPr>
        <w:t>For example, the current administration in the U.S. has called for substantial changes to foreign trade policy and has recently proposed and imposed significant increases in tariffs on international trade and the renegotiation of international trade agreements. We cannot predict what effects these and potential additional tariffs or renegotiation of existing international trade agreements will have on our business, including in the context of escalating global trade and political tensions. However, such tariffs and other trade restrictions could increase our cost of doing business, reduce our gross margins or otherwise negatively impact our financial results. See the risk factor titled, “</w:t>
      </w:r>
      <w:r>
        <w:rPr>
          <w:rFonts w:ascii="Times New Roman;serif" w:hAnsi="Times New Roman;serif"/>
          <w:b w:val="false"/>
          <w:i/>
          <w:color w:val="000000"/>
          <w:sz w:val="20"/>
        </w:rPr>
        <w:t>Global trade issues and changes in and uncertainties with respect to trade policies and export regulations, including import and export license requirements, trade sanctions, tariffs and international trade disputes, could increase our costs and negatively impact net revenues from sales of RYTELO</w:t>
      </w:r>
      <w:r>
        <w:rPr>
          <w:rFonts w:ascii="Times New Roman;serif" w:hAnsi="Times New Roman;serif"/>
          <w:b w:val="false"/>
          <w:color w:val="000000"/>
          <w:sz w:val="20"/>
        </w:rPr>
        <w:t xml:space="preserv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risks associated with international operations may materially adversely affect our ability to attain or maintain profitable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foreign jurisdictions and increase our costs. We cannot predict the impact of such changes and future regulation on our business or the results of our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Global trade issues and changes in and uncertainties with respect to trade policies and export regulations, including import and export license requirements, trade sanctions, tariffs and international trade disputes, could increase our costs and negatively impact net revenues from sales of RYTELO.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There is inherent risk, based on the complex relationships among the U.S. and the countries in which we now conduct or may in the future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products may create delays in the introduction of RYTELO in international markets, including in the EU, or, in some cases, prevent the export of RYTELO to some countries altogether. Furthermore, U.S. export control laws and economic sanctions prohibit the provision of certain products and services to countries, governments and persons targeted by U.S. sanctions. The U.S. and other countries have imposed and may continue to impose new trade restrictions and export regulations, have levied tariffs and taxes on certain goods, and could continue to significantly increase tariffs on a broad array of goods, including pharmaceutical and biological products.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In April 2025, the U.S. government imposed a 10% baseline global tariff, while suspending the imposition of higher “reciprocal” tariffs on numerous other territories until August 2025. The U.S. government has also specifically stated that the pharmaceutical industry will be subject to industry-specific tariffs and has initiated a related investigation into the national security effects of imported pharmaceuticals and their ingredients. As such, we currently expect that the current pharmaceutical exemption will be short-lived and that such industry-specific pharmaceutical tariffs will ultimately be imposed by the U.S. government</w:t>
      </w:r>
      <w:r>
        <w:rPr>
          <w:rFonts w:ascii="Times New Roman;serif" w:hAnsi="Times New Roman;serif"/>
          <w:b w:val="false"/>
          <w:color w:val="000000"/>
          <w:sz w:val="20"/>
          <w:shd w:fill="FFFFFF" w:val="clear"/>
        </w:rPr>
        <w:t>. Although a significant portion of our supply chain for imetelstat is currently based in the U.S., the active pharmaceutical ingredient, or API, for imetelstat is manufactured in South Korea and our 47mg vial of RYTELO drug product is currently manufactured in Italy. In addition, in the future we may choose to utilize other contract manufacturers for different presentations of imetelstat and source materials for our supply chain from other international jurisdictions. Accordingly, such global or industry-specific tariffs, or the renegotiation of current international trade agreements, or other trade restrictions could result in additional costs on our business, including generally increasing our manufacturing costs, and may decrease our gross margins and increase our supply chain complexity. Moreover, other governments have imposed and may continue to impose retaliatory tariffs, trade restrictions or trade barriers impacting RYTELO, which could impose additional costs and complexity on our business, including with respect to our planned commercialization of RYTELO in select EU markets in 2026 or</w:t>
      </w:r>
      <w:r>
        <w:rPr>
          <w:color w:val="000000"/>
        </w:rPr>
        <w:t xml:space="preserve"> </w:t>
      </w:r>
      <w:r>
        <w:rPr>
          <w:rFonts w:ascii="Times New Roman;serif" w:hAnsi="Times New Roman;serif"/>
          <w:b w:val="false"/>
          <w:color w:val="000000"/>
          <w:sz w:val="20"/>
        </w:rPr>
        <w:t>restrict our ability to sell RYTELO in the EU or in other international markets where we may obtain approval of RYTELO</w:t>
      </w:r>
      <w:r>
        <w:rPr>
          <w:rFonts w:ascii="Times New Roman;serif" w:hAnsi="Times New Roman;serif"/>
          <w:b w:val="false"/>
          <w:color w:val="000000"/>
          <w:sz w:val="20"/>
          <w:shd w:fill="FFFFFF" w:val="clear"/>
        </w:rPr>
        <w:t xml:space="preserv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continued threats of new or increased tariffs, sanctions, trade restrictions and trade barriers as well as ongoing changes in U.S. and foreign government trade policies, including potential modifications to existing international trade agreements, have had and may continue to have a generally disruptive impact on the global economy and, therefore, could negatively impact revenues from sales of RYTELO. Given the volatility and uncertainty regarding the scope and duration of such tariffs and other aspects of U.S. and foreign government trade policies, the ultimate impact on our operations and financial results is uncertain and could be significant in the future.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Although orphan drug designation has been granted to RYTELO for the treatment of MDS and MF in the U.S. and in the EU, these designations may not be maintained, which would eliminate the benefits associated with orphan drug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designation, including market exclusivity, which could limit the period of exclusivity we are able to maintain for the commercialization of RYTELO, and would likely harm our business and business prospects.</w:t>
      </w:r>
    </w:p>
    <w:p>
      <w:pPr>
        <w:pStyle w:val="TextBody"/>
        <w:bidi w:val="0"/>
        <w:spacing w:lineRule="auto" w:line="288" w:before="0" w:after="240"/>
        <w:ind w:left="0" w:right="0" w:firstLine="1296"/>
        <w:jc w:val="left"/>
        <w:rPr/>
      </w:pPr>
      <w:r>
        <w:rPr>
          <w:rFonts w:ascii="Times New Roman;serif" w:hAnsi="Times New Roman;serif"/>
          <w:b w:val="false"/>
          <w:color w:val="000000"/>
          <w:sz w:val="20"/>
        </w:rPr>
        <w:t>The FDA granted orphan drug designation to RYTELO in June 2015 for the treatment of MF and for the treatment of MDS in December 2015, and the EC granted orphan drug designation in December 2015 to RYTELO for the treatment of MF and in July 2020 for the treatment of MDS. Orphan drug exclusivity confers seven and ten years of exclusivity in the U.S. and EU, respectively, following approval, subject to satisfying regulatory requirements. The FD</w:t>
      </w:r>
      <w:r>
        <w:rPr>
          <w:rFonts w:ascii="Times New Roman;serif" w:hAnsi="Times New Roman;serif"/>
          <w:b w:val="false"/>
          <w:color w:val="000000"/>
          <w:sz w:val="20"/>
          <w:shd w:fill="FFFFFF" w:val="clear"/>
        </w:rPr>
        <w:t>A has confirmed seven years of orphan drug exclusivity for RYTELO following its approval on June 6, 2024 for its approved indication in lower-risk MDS.</w:t>
      </w:r>
      <w:r>
        <w:rPr>
          <w:color w:val="000000"/>
        </w:rPr>
        <w:t xml:space="preserve"> </w:t>
      </w:r>
      <w:r>
        <w:rPr>
          <w:rFonts w:ascii="Times New Roman;serif" w:hAnsi="Times New Roman;serif"/>
          <w:b w:val="false"/>
          <w:color w:val="000000"/>
          <w:sz w:val="20"/>
        </w:rPr>
        <w:t xml:space="preserve">In connection with the EC's approval of RYTELO in the EU, the EMA's Committee of Orphan Medicinal Products reviewed and issued a positive opinion to maintain RYTELO's orphan drug designation in the EU </w:t>
      </w:r>
      <w:r>
        <w:rPr>
          <w:rFonts w:ascii="Times New Roman;serif" w:hAnsi="Times New Roman;serif"/>
          <w:b w:val="false"/>
          <w:color w:val="000000"/>
          <w:sz w:val="20"/>
          <w:shd w:fill="FFFFFF" w:val="clear"/>
        </w:rPr>
        <w:t>for the treatment of certain patients with MDS. Designation as an orphan drug does n</w:t>
      </w:r>
      <w:r>
        <w:rPr>
          <w:rFonts w:ascii="Times New Roman;serif" w:hAnsi="Times New Roman;serif"/>
          <w:b w:val="false"/>
          <w:color w:val="000000"/>
          <w:sz w:val="20"/>
        </w:rPr>
        <w:t xml:space="preserve">ot guarantee that any regulatory authority will accelerate regulatory review of, or ultimately approve, RYTELO for any indication, or at all, in the U.S., EU or any other country, nor does it limit the ability of any regulatory authority to grant orphan drug designation to product candidates of other companies that treat the same indications as RYTELO prior to RYTELO receiving any exclusive marketing approval.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lose orphan drug exclusivity for certain reasons, including if the FDA or the European Medicines Agency, or EMA, determines that the request for orphan drug designation was materially defective or if we cannot ensure sufficient quantities of RYTELO to meet the needs of patients with lower-risk MDS or MF. Failure to maintain orphan designation status, or failure to agree to and complete any agreed upon pediatric plan, would lead to the inability to obtain or the loss of such regulatory exclusivity.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maintain orphan drug exclusivity for RYTELO, the exclusivity may not effectively protect RYTELO from all competition because different drugs with different active moieties can be approved for the same condition. Even after an orphan drug product is approved, such as the approval of RYTELO in the U.S. in June 2024 and by the EC in March 2025 for certain patients with lower-risk MDS, the FDA or the EC can subsequently approve a different drug with the same active moiety for the same condition, if the FDA or the EC concludes that the later drug is safer, more effective, or makes a major contribution to patient care. The occurrence of any of these events could limit the period of exclusivity we are able to maintain for RYTELO, and may harm our business and business prospects. In addition, for any other indication that we are currently or may in the future seek to develop or obtain regulatory approval for RYTELO, orphan drug designation will neither shorten the development time nor regulatory review time for RYTELO, and it does not give RYTELO any advantage in the regulatory review or approval process.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Even though we reported positive top-line results from IMerge Phase 3 in January 2023 and received regulatory approval from the FDA in June 2024 to commercialize RYTELO in the U.S. for lower-risk MDS, the top-line results from IMerge Phase 3 are not necessarily predictive of RYTELO’s activity in other indications, such as from IMpactMF.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Even though we reported positive top-line results from IMerge Phase 3 in January 2023 and received regulatory approval from the FDA in June 2024 and the EC in March 2025 to commercialize RYTELO in lower-risk MDS, the top-line results from IMerge Phase 3 are not necessarily predictive of RYTELO’s activity in other indications and for other pivotal trials that may be needed to support any application to the FDA or similar international regulatory authorities for such other indications, such as from IMpactMF.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with respect to the trial design for IMpactMF,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our Phase 2 clinical trial that evaluated two doses of imetelstat in relapsed/refractory MF and the results of which our IMpactMF trial is based on,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sodium dose and schedule of 9.4 mg/kg every three weeks. Our belief may ultimately be incorrect. Therefore, our failure to add a third dosing arm could result in a failure to maintain regulatory clearance from the FDA and similar international regulatory authorities for relapsed/refractory MF, could result in the trial’s failure, or could otherwise delay, limit or prevent marketing approval of imetelstat for relapsed/refractory MF by the FDA or similar international regulatory authorities.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Regulatory authorities have substantial discretion in the approval process and can delay, limit or deny approval of RYTELO in other jurisdictions or indications, or require us to conduct additional non-clinical or clinical testing or abandon a program for many reasons,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disagreement with the design or implementation of our clinical trials, including our statistical analysis of trial results;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failure to demonstrate that RYTELO’s efficacy results provide sufficient evidence of overall clinical benefit;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unfavorable benefit-to-risk assessment, in the case of marginal efficacy and/or clinically relevant safety concerns, for any proposed indication;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serious and unexpected drug-related side effects experienced by participants in our clinical trials or by individuals using RYTELO or drugs similar to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disagreement with our interpretation of data from non-clinical studies or clinical trials;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rejection by the FDA of foreign data included in any future supplemental NDA, or sNDA, submissions for any future indications and the non-applicability of this data to the U.S. population and U.S. medical practice;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identification of critical issues as a result of a pre-approval health authority inspection that could negatively impact the integrity of data in the MAA and any future sNDA and lead to a rejection by the FDA, EMA, or similar international regulatory authorities;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 determination by international regulatory authorities that regulatory approval for RYTELO should be narrowed or made more restrictive than our current approvals in the U.S. and the EU for lower-risk MDS or any future indication for which approval is sought, if any;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disagreement regarding the formulation, labeling and/or the specifications for RYTELO;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failure of the quality or stability of RYTELO to meet acceptable regulatory standards;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EMA or the competent authorities of the individual EU Member States or similar international regulatory authorities may lack resources or be delayed in conducting pre-approval inspections due to lack of resources or other reasons;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or any third-party service providers may be unable to demonstrate compliance with GMP, good clinical practices, or GCP, or other applicable regulatory and other requirements to the satisfaction of the FDA, the EMA, the competent authorities of the individual EU Member States or similar international regulatory authorities;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regulatory policies or approval processes, or potential reduction of unmet medical need with the entry of competitive therapies to the market, could render our clinical efficacy or safety data insufficient for approval.</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events may result in a failure to further develop, obtain regulatory approval for or commercialize RYTELO in any jurisdiction or in any indication other than lower-risk MDS in the U.S. and the EU, which could severely and adversely affect our business and business prospects.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RISKS RELATED TO COMPLIANCE WITH HEALTHCARE LAWS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FDA, DOJ and other regulatory authorities actively enforce regulations related to the promotion and advertisement of pharmaceutical products, and if we were found to have violated the Food, Drug and Cosmetic Act, we could be subject to significant civil, criminal and administrative penalties.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FDA strictly regulates the promotional claims that may be made about drug products. In particular, a product may not be promoted for uses that are not approved by the FDA as reflected in the product’s approved labeling. The FDA, DOJ and other agencies actively enforce regulations related to the promotion and advertisement of pharmaceutical products. If we were found to have violated the Food, Drug, and Cosmetic Act, we could be subject to significant civil, criminal and administrative penalties, which could inhibit our ability to commercialize RYTELO and generate revenue, require us to expend significant time and resources in response, and generate negative publicity. Enforcement actions include, among others: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adverse regulatory inspection findings;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fines, warning letters, or untitled letters;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voluntary or mandatory product recalls or public notification or medical product safety alerts to healthcare professionals;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restrictions on, or prohibitions against, marketing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restrictions on, or prohibitions against, importation or exportation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suspension of review or refusal to approve pending applications or supplements to approved applications;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exclusion from participation in government-funded healthcare programs;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exclusion from eligibility for the award of government contracts for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suspension or withdrawal of regulatory approval for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product seizures;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injunctions;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civil and criminal penalties and fines.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imposition of any of these penalties or other commercial limitations, including equivalent penalties or commercial limitations imposed by foreign regulatory authorities, could severely and adversely affect our financial results, business and business prospects, including the commercialization of RYTELO, and might cause us to cease operations. Similar requirements and related consequences apply outside the U.S.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Enhanced governmental and private scrutiny over, or investigations or litigation involving, pharmaceutical manufacturer donations to patient assistance programs offered by charitable foundations may require us to modify our programs and could negatively impact our business practices, harm our reputation, divert the attention of management and increase our expenses.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To help patients afford our products, we have a patient assistance program and also occasionally make donations to independent charitable foundations that help financially needy patients. These types of programs designed to assist patients in affording pharmaceuticals have become the subject of scrutiny. In recent years, some pharmaceutical manufacturers were named in class action lawsuits challenging the legality of their patient assistance programs and support of independent charitable patient support foundations under a variety of federal and state laws. At least one insurer also has directed its network pharmacies to no longer accept manufacturer co-payment coupons for certain specialty drugs the insurer identified.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patient assistance program and support of independent charitable foundations could become the target of similar litigation. In addition, there has been regulatory review and enhanced government scrutiny of donations by pharmaceutical companies to patient assistance programs operated by charitable foundations. For example, the Office of Inspector General of the U.S. Department of Health &amp; Human Services, or OIG, has established specific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val="false"/>
          <w:color w:val="000000"/>
          <w:sz w:val="20"/>
        </w:rPr>
        <w:t xml:space="preserve">permitting pharmaceutical manufacturers to make donations to charitable organizations who provide co-pay assistance to Medicare patients, provided that such organizations are bona fide charities, are entirely independent of and not controlled by the manufacturer, provide aid to applicants on a first-come basis according to consistent financial criteria, and do not link aid to use of a donor’s product. If we or our vendors or donation recipients are deemed to fail to comply with laws or regulations in the operation of these programs, we could be subject to damages, fines, penalties or other </w:t>
      </w:r>
      <w:r>
        <w:rPr>
          <w:rFonts w:ascii="Times New Roman;serif" w:hAnsi="Times New Roman;serif"/>
          <w:b w:val="false"/>
          <w:color w:val="000000"/>
          <w:sz w:val="20"/>
          <w:shd w:fill="FFFFFF" w:val="clear"/>
        </w:rPr>
        <w:t>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A government investigation could negatively impact our business practices, harm our reputation, divert the attention of management and increase our expenses.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business activities become subject to challenge under supranational, national, federal, state or international healthcare laws, including fraud and abuse, transparency, and health information privacy and security laws, we could face substantial penalties and our business, results of operations, financial condition and prospects could be adversely affected.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business operations and current and future arrangements with investigators, healthcare professionals, consultants, third-party payors and customers, may expose us to broadly applicable fraud and abuse and other healthcare laws and regulations, including federal and state fraud and abuse laws,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These laws may constrain the business or financial arrangements and relationships through which we conduct our operations, including how we market, sell and distribute RYTELO. For details regarding the restrictions under applicable federal and state healthcare laws and regulations that may affect our ability to operate, see Item 1 “Business-Government Regulation- Fraud and Abuse, and Transparency Laws and Regulations” included in our Annual Report on Form 10-K for the year ended December 31, 2024.</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imposition of significant civil, criminal and administrative penalties, damages, monetary fines, disgorgement and imprisonment;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possible exclusion from participation in Medicare, Medicaid and other federal healthcare programs or comparable foreign programs;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reputational harm;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diminished profits and future earnings;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additional reporting requirements and oversight if we become subject to a corporate integrity agreement or similar agreement to resolve allegations of non-compliance with these laws;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curtailment of our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Defending against any such actions can be costly, time-consuming and may require significant financial and personnel resources. Therefore, even if we are successful in defending against any such actions that may be brought against us, our business may be impaired. </w:t>
      </w:r>
    </w:p>
    <w:p>
      <w:pPr>
        <w:pStyle w:val="TextBody"/>
        <w:bidi w:val="0"/>
        <w:spacing w:lineRule="auto" w:line="288" w:before="0" w:after="24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adoption of health policy changes and healthcare reform both in the U.S. and outside the U.S. may adversely affect our business and financial results.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U.S. and some jurisdictions outside the U.S., there have been a number of legislative and regulatory changes and proposed changes regarding the healthcare system that could impact our business. Generally, there has been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Healthcare Reform” included in our Annual Report on Form 10-K for the year ended December 31, 2024.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future legislation were to impose direct governmental price controls and access restrictions, it could have a significant adverse impact on our business and financial results. Managed care organizations, as well as Medicaid and other government authorities,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sales of RYTELO in the U.S. the EU, and in any other jurisdictions where we may seek approval in the future.</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THE FURTHER DEVELOPMENT OF IMETELSTAT</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We are wholly dependent on the success of RYTELO (imetelstat), which is our only approved product, and our ability to generate revenue from product sales and achieve profitability is wholly dependent on our ability to successfully commercialize RYTELO for lower-risk MDS or to expand its indications of use. In this regard, in addition to lower-risk MDS, which is the only indication for which RYTELO has received marketing approval in the U.S. and the EU, we are developing imetelstat for the treatment of several myeloid hematologic malignancies. Our ability to further develop imetelstat and to expand its indications of use to other myeloid hematologic malignancies is subject </w:t>
      </w:r>
      <w:r>
        <w:rPr>
          <w:rFonts w:ascii="Times New Roman;serif" w:hAnsi="Times New Roman;serif"/>
          <w:b w:val="false"/>
          <w:color w:val="000000"/>
          <w:sz w:val="20"/>
          <w:shd w:fill="FFFFFF" w:val="clear"/>
        </w:rPr>
        <w:t xml:space="preserve">to significant risks and uncertainties, including, among other things, our ability to: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shd w:fill="FFFFFF" w:val="clear"/>
        </w:rPr>
        <w:t>generate sufficient safety and efficacy data from the IMpactMF clinical trial</w:t>
      </w:r>
      <w:r>
        <w:rPr>
          <w:color w:val="000000"/>
        </w:rPr>
        <w:t xml:space="preserve"> </w:t>
      </w:r>
      <w:r>
        <w:rPr>
          <w:rFonts w:ascii="Times New Roman;serif" w:hAnsi="Times New Roman;serif"/>
          <w:b w:val="false"/>
          <w:color w:val="000000"/>
          <w:sz w:val="20"/>
        </w:rPr>
        <w:t>to support any application for regulatory approval in relapsed/refractory MF, without clinically meaningful safety issues, side effects or dose-limiting toxicities related to imetelstat that may negatively impact its benefit-risk profile;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ascertain that the use of imetelstat does not result in significant systemic or organ toxicities, including hepatotoxicity, or other safety issues resulting in an unacceptable benefit-risk profile;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obtain additional capital, if and when needed, in order to enable us to further advance imetelstat clinical trials in other myeloid hematologic malignancies;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obtain and maintain required regulatory clearances and approvals to enable continued clinical development of imetelstat;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enter into and maintain commercially reasonable arrangements with third parties to provide services needed to further research, develop and commercialize RYTELO, including maintaining the agreements with our contract research organizations, or CROs, and third-party manufacturers;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recruit and retain sufficient qualified and experienced personnel to support the development and commercialization of RYTELO in potential other approved indications and other jurisdictions outside of the U.S. and the EU;</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enter into and maintain arrangements with third parties to provide services needed to support the commercialization of RYTELO for territories outside of the U.S. in compliance with applicable laws;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achieve acceptance of RYTELO treatment by patients and the relevant medical communities;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compete effectively with other approved treatments in lower-risk MDS, and relapsed/refractory MF, if imetelstat is approved in relapsed/refractory MF, and potentially other myeloid hematologic malignancies;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obtain appropriate coverage and reimbursement levels for the cost of RYTELO from governmental authorities, private health insurers and other third-party payors;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obtain, maintain and enforce adequate intellectual property and regulatory exclusivity for RYTELO in the U.S., EU and globally.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we are not able to successfully achieve these goals and overcome other challenges that we may encounter in the research, development, manufacturing and commercialization of RYTELO in indications other than lower-risk MDS, we may be forced to abandon our development and/or commercialization of RYTELO in indications other than lower-risk MDS, which could severely harm our business and business prospects.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clinical trials of imetelstat could be interrupted, delayed, terminated or abandoned for a variety of reasons which could severely and adversely affect our financial results, business and business prospects.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conduct and completion of our clinical trials could be interrupted, delayed or abandoned for a variety of reasons, including as a result of clinical trial failures, suspensions, terminations or delays related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patient recruitment, enrollment and retention challenges and operational delays, including in connection with opening new clinical trial sites, while also competing with clinical trials for other investigational drugs in the same patient population;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use of trial endpoints such as OS, that inherently require prolonged periods of clinical observation or analysis of the resulting data to determine trial outcomes, including the need for a certain number of events, or deaths, to occur in IMpactMF prior to the interim or final analysis in that trial of OS;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obtaining and/or maintaining regulatory clearances in the U.S. or other jurisdictions to commence, conduct or modify current or potential future clinical trials of imetelstat, in a timely manner, or at all;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obtaining or accessing necessary clinical data in accordance with appropriate clinical or quality practices and regulatory requirements, in a timely and accurate manner to ensure complete data sets;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manufacturing sufficient quantities that meet our specifications, cost and quality requirements, and timelines for imetelstat, or for other clinical trial materials, in a manner that meets the quality standards of the FDA and other similar international regulatory authorities, and responding to any disruptions to drug supply, clinical trial materials or quality issues that may arise;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effects of macroeconomic or other global conditions, such as inflation, fluctuations in interest rates, prospects of a recession, government shutdowns, changes in tariffs or other trade restrictions, bank failures and other disruptions to financial systems, civil or political unrest, military conflicts, pandemics or other health crises and supply chain and resource issues;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complying with current and future regulatory requirements, policies or guidelines, including domestic and international laws and regulations pertaining to fraud and abuse, transparency, and the privacy and security of health information;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third-party clinical contractors, including investigators or our CROs not performing our clinical trials according to our anticipated schedule or consistent with the clinical trial protocol, GCP, or other regulatory requirements, or not performing data collection or analyses in a timely or accurate manner.</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recent actions by the current administration in the U.S. to limit federal agency budgets and personnel have resulted in reductions in the FDA's budget and employees, which may lead to slower response times, longer review periods, delayed inspections or other disruptions that we cannot currently predict. Failures or delays with respect to any of the foregoing events and such disruptions in the timely review and processing of our regulatory submissions and inspections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of imetelstat, any of which could severely and adversely affect our financial results, business and business prospects.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pStyle w:val="TextBody"/>
        <w:bidi w:val="0"/>
        <w:spacing w:lineRule="auto" w:line="276"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RYTELO (imetelstat) has been administered only to a limited number of patients in clinical trials. While the FDA and the EC granted approval of RYTELO based on the data included in our NDA and MAA, respectively, including data from the Phase 3 IMerge trial, we do not know whether the results when a larger number of patients receive RYTELO from commercial use, including results related to safety, will be consistent with the results from earlier clinical trials that served as the basis for its approval.</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because remaining patients in ongoing clinical trials continue to receive imetelstat,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 New data relating to imetelstat, including from adverse event reports and our post-marketing requirements in the United States, and from ongoing clinical trials of imetelstat, may result in changes to the product label and may adversely affect sales, or result in withdrawal of imetelstat from the market. The FDA and regulatory authorities in other jurisdictions may also consider the new data in reviewing our marketing applications for additional indications and/or in other jurisdictions, or impose post-approval requirements. If any of these actions were to occur, it could result in significant expense and delay or limit our ability to generate sales revenues.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 as a result of commercialization of RYTELO, or in current or potential future clinical trials, RYTELO may cause, or have attributed to it, undesirable or unintended side effects or other adverse events affecting its safety or efficacy that could interrupt, further delay or halt its commercialization or current or potential future clinical trials. In this regard, adverse events and dose-limiting toxicities observed in previous and ongoing clinical trials include: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hematologic toxicities, such as profound and/or prolonged thrombocytopenia or neutropenia;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bleeding events, with or without thrombocytopenia, including Grade 3/4 bleeding events;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febrile neutropenia;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hepatotoxicity and liver function test abnormalities, as well as hepatic failure;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gastrointestinal events;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infection events, with or without neutropenia, including Grade 3/4 infection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muscular and joint pain;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fatigue;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headache;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infusion-related reactions.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patients who receive RYTELO as a result of commercialization or in any clinical trials experience similar or more severe adverse events, or new or unusual adverse events, or if the FDA or other similar international regulatory authorities determine that efficacy and safety data from our commercialization efforts or in clinical trials do not support an adequate benefit-risk profile to justify continued treatment of patients, then the FDA or other similar international regulatory authorities may halt or restrict the commercialization of RYTELO or place one or more of our INDs on clinical hold, as occurred in March 2014. If this were to occur, there could be a significant delay in, or possible termination of, one or more of our clinical trials, and our commercialization efforts could be halted, which might cause us to cease operations. If such toxicities or other safety issues identified as a result of our commercialization of RYTELO or in any clinical trial are determined by us, the FDA or similar international regulatory authorities to result in an unacceptable benefit-risk profile, then: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FDA and EC could withdraw or restrict regulatory approval for RYTELO in the U.S. and EU, respectively, for lower-risk MDS;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additional information supporting the benefit-risk profile of RYTELO may be requested by the FDA or similar international regulatory authorities and if any such information is not available or, if available, not deemed acceptable, regulatory approval could be withdrawn by the FDA in the U.S. and the EC in the EU, and/or current clinical trials could be suspended, terminated, or placed on clinical hold by the FDA or similar international regulatory authorities;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ability to retain enrolled patients in our current clinical trials may be negatively affected, resulting in incomplete data sets and the inability to adequately assess the benefit-risk profile of RYTELO in a specific patient population;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additional, unexpected clinical trials or non-clinical studies may be required to be conducted;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RYTELO may not receive or maintain regulatory clearances and approvals required to enable its continued development.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occurrence of any of these events could interrupt, further delay, or halt our commercialization of RYTELO or its further development, and as a result, could preclude the commercialization of RYTELO in any additional indications, as well as increase costs for continued development in additional indications, which would have a severe adverse effect on our results of operations, financial condition and ability to raise additional capital, business and business prospects, any of which might cause us to cease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Results and data we disclosed from prior non-clinical studies and clinical trials may not predict success in later clinical trials, and we cannot assure you that any ongoing or future clinical trials of imetelstat, including IMpactMF, will lead to similar results and data that could potentially enable us to obtain any further regulatory approvals.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 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general, Phase 3 clinical trials with larger numbers of patients or longer durations of therapy may fail to replicate efficacy and safety results observed in earlier clinical trials, such as the results observed in IMbark, and if this were to occur with IMpactMF, this would adversely affect future development prospects of imetelstat, and as a result, impact the potential commercialization of imetelstat in relapsed/refractory MF, which would have a severe adverse effect on our results of operations, financial condition and ability to raise additional capital, if needed, business and business prospects, any of which might cause us to cease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 closely matched real world data, or RWD, published in the September 2021 issue of the Annals of Hematology, suggest potentially favorable overall survival in relapsed/refractory MF patients treated with imetelstat, compared to BAT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 potential future imetelstat clinical trials would interrupt, further delay, or halt, any development of imetelstat, which would have a severe adverse effect on our results of operations, financial condition and ability to raise additional capital, if needed, business and business prospects.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halt the commercialization of RYTELO, hinder the potential success of IMpactMF, IMproveMF or IMpress, or cause us to abandon further development of imetelstat entirely.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Top-line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overall survival. Material adverse differences in future results, compared to preliminary, interim or top-line data, could severely and adversely affect our financial results, business and business prospects, including the commercialization of RYTELO, and might cause us to cease operations.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the ability to independently conduct clinical trials. Therefore, we rely on medical institutions, clinical investigators, contract laboratories and other third parties, such as CROs, service providers, vendors,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clinical development activities, and any failure by our CROs to perform their contractual obligations, or disputes with our CROs about the quality of their performance or other matters, could further delay or halt our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rely on third parties to conduct our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We cannot assure you that upon inspection by a given regulatory authority, such regulatory authority will determine that any of our clinical trials comply with GCP or other applicable regulations. In addition, our clinical trials must be conducted with imetelstat produced under applicable GMP regulations. Our failure to comply with these regulations may require us to repeat clinical trials.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if needed, business and business prospects, including the commercialization of RYTELO, any of which might cause us to cease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Switching or adding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these third parties may nonetheless encounter challenges or delays in the future, which could have a material and adverse impact on our business and business prospects.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conduct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any future applications for regulatory approval of imetelstat, including in any additional indications by the FDA.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do not control the conduct of current or any potential future investigator-led clinical trials, and data from such trials could show marginal efficacy and/or clinically relevant safety concerns related to imetelstat resulting in 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unfavorable benefit-risk assessment that could materially and adversely impact our ongoing clinical trials, or our development program as a whole.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do not control the design or administration of investigator-led clinical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current or potential future investigator-led clinical trial could have a material adverse effect on our ability to maintain regulatory approval for RYTELO in lower-risk MDS, or to further develop or advance it in clinical trials.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limit or preclude the further clinical development or marketing approval of RYTELO in any indication. To the extent that the results of any investigator-led clinical trials raise safety or other concerns, regulatory authorities may withdraw or restrict approval for RYTELO, question the results of such investigator-led clinical trials, or question the results of any of our clinical trials. Safety concerns arising from future investigator-led clinical trials could result in withdrawal of approval of RYTELO, partial or full clinical holds being placed on our INDs by the FDA or other similar international regulatory authorities, as occurred in March 2014, which would further delay or prevent us from commercializing RYTELO or advancing it into further clinical development. Any of the foregoing would delay or preclude any future marketing approvals for RYTELO and could cause us to discontinue our development of it, which would severely harm our business and prospects and could potentially cause us to cease operations. </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MANUFACTURING RYTELO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manufacture of RYTELO (imetelstat) must comply with applicable regulatory standards for commercial uses and current and potential future clinical trials. The process of manufacturing RYTELO is complex and subject to several risks,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ability to consistently manufacture and attain sufficient production yields with acceptable quality control and quality assurance to meet market demand for our commercialization of RYTELO, as well as the needs for continuing clinical trials;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maintain existing commercial supply agreements and to establish additional or alternative supply agreements if necessary, including our ability to successfully transfer manufacturing technology and attain regulatory approval at any such additional or alternative suppliers;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reliance on third-party manufacturers and suppliers, whose efforts we do not control;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supply chain issues, including the timely availability of product and management of shelf-life, including raw materials, active pharmaceutical ingredient, or API, and drug product and other supplies, and the cost of procuring the foregoing, any of which may be impacted by a number of factors, including the effects of macroeconomic or other global conditions, such as increased tariffs, renegotiation of existing international trade agreements, escalating trade tensions and other trade restrictions;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shortage of qualified personnel at any of our third party suppliers;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regulatory acceptance and compliance with regulatory requirements, which are less well-defined for oligonucleotide products than for small molecule drugs and vary in each country.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and other risks, we may be unable to maintain a manufacturing infrastructure and supply chain capable of providing RYTELO for clinical and commercial use, which would delay or adversely affect our RYTELO commercialization efforts; result in lost sales; delay or result in a cessation of our current or potential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clinical trials; delay or preclude potential future regulatory approvals of RYTELO in other jurisdictions or indications; and could cause financial and reputational harm.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Our RYTELO manufacturing supply chain relies, and will continue to rely, solely upon third-party manufacturers to perform certain manufacturing, quality control, and other technical and scientific work with respect to RYTELO, as well as to supply starting materials and manufacture the API and drug product for our commercialization of RYTELO, as well as current and potential future clinical trials. While we have established arrangements with third parties for the manufacture of RYTELO, our manufacturing supply chain is highly specialized, and as such we are reliant upon a small group of third-party manufacturers to supply starting materials and drug product, and we rely on a single source to supply the API for RYTELO. Failure by such third-party manufacturers to perform in a timely manner and in compliance with all regulatory requirements, or at all, or the termination of one of our supply agreements before we have retained and established an acceptable alternative supplier, could lead to delays or shortages in drug supply, perhaps substantially, that are necessary for our clinical activities and commercialization of RYTELO. In this regard, a recent FDA inspection of one of our third-party manufacturers identified certain deficiencies in the manufacturer’s processes and facilities which, while not related to the production of RYTELO, could impact the manufacturer’s ability to produce and deliver products, including RYTELO, if not remediated by the manufacturer, and could lead to delays or shortages in drug supply, or the inability to manufacture or ship drug supply necessary for non-clinical and clinical activities, and commercialization.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we plan to retain additional third-party manufacturers to provide redundancy in our supply chain; however, we may be unable to do so on a timely basis on terms that are acceptable to us, or at all. Any of the foregoing could increase our costs, result in lost sales and delays in our clinical trials, and otherwise have a material adverse effect on our financial results, business and business prospects. We expect to rely on third-party manufacturers to produce and deliver sufficient quantities of RYTELO and other materials to support our commercialization of RYTELO and clinical trials on a timely basis and to comply with applicable regulatory requirements. We do not have direct control over these third-party personnel or operations. Reliance on these third-party manufacturers is subject to numerous risks,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inability to execute timely contracts or production orders with any additional third-party manufacturers and suppliers that we may identify on acceptable terms, or at all;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delays and disruptions experienced by third-party manufacturers that adversely impact the ability of such parties to fulfill their contractual obligations to us, including providing the quantities of RYTELO required to meet commercial and clinical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capacity limitations and scheduling constraints experienced by third-party manufacturers due to scheduling, maintenance and other commitments, and queued manufacturing activities in contracted facilities;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requirements by regulatory authorities to validate and qualify significant activities for any current or additional manufacturer, which could involve technology transfer, new testing, compliance inspections, and would likely require FDA or comparable foreign regulatory authority approval;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inability of third-party manufacturers to timely formulate and manufacture RYTELO or to produce or ship RYTELO in the quantities or of the quality required to meet commercial and clinical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possible mislabeling by third-party manufacturers of finished drug product for both commercial and clinical use, potentially resulting in product recall and harm to our business;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decisions by third-party manufacturers to exit the contract manufacturing business during the time required to supply clinical trials or to successfully produce, store and distribute RYTELO to meet our commercial needs or before we have established an acceptable alternative supplier;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a recent FDA inspection of one of our third-party manufacturers;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breach or termination of manufacturing or supply contracts;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inadequate storage or maintenance at contracted facilities resulting in theft or spoilage;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natural disasters that affect contracted facilities, including manufacturing, warehousing, and distribution facilities.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Each of these risks could lead to delays or shortages in drug supply, or the inability to manufacture or ship drug supply necessary for commercialization, and non-clinical and clinical activities, which could severely and adversely affect our financial results, business and business prospects.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third-party manufacturers and/or any other manufacturers may need to make substantial investments to enable sufficient capacity increases and cost reductions, and to implement those regulatory and compliance standards necessary for successful commercialization of RYTELO. These third-party manufacturers may not be willing or able to achieve such capacity increases, cost reductions, or regulatory and compliance standards, and even if they do, such achievements may not be at commercially reasonable costs. Changing or adding alternative manufacturers may be prolonged, difficult and expensive, due to inherent technical complexities, regulatory risks, and because the number of potential manufacturers for oligonucleotide products is limited. It may be difficult or impossible for us to find a replacement or alternative manufacturer on acceptable terms, or at all.</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OUR OPERATING RESULTS AND FINANCIAL POSITION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a history of net losses and may not achieve consistent future profitability for some time, if ever.</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are incurring and have incurred net losses every year since our operations began in 1990, except for one. As of June 30, 2025, our accumulated deficit was approximately $1.8 billion. Losses have resulted principally from costs incurred in connection with our research and development activities and from general and administrative costs associated with our operations. Although we have recently begun to commercialize RYTELO, our revenue and profit potential is unproven and our limited operating history as a commercial company makes our future operating results difficult to predict. If we do not generate sufficient revenue from commercial sales of RYTELO, or if we experience unforeseen events or choose to make other investments in our business, we may continue to experience negative cash flow as we fund our operations and imetelstat clinical development activities and research programs, and continue with the commercialization of RYTELO, including as a result of our obligation to pay royalty payments under the Royalty Pharma Agreement and service our debt obligations. We will need to generate significant revenues to achieve consistent future profitability, and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pStyle w:val="TextBody"/>
        <w:bidi w:val="0"/>
        <w:spacing w:before="0" w:after="0"/>
        <w:ind w:left="0" w:right="0" w:firstLine="49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Our operating results are unpredictable and may fluctuate. If our operating results are below the expectations of securities analysts or investors, the trading price of our common stock could decline.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operating results are difficult to predict and will likely fluctuate from quarter to quarter and year to year. Due to the limited historical sales data of RYTELO in lower-risk MDS since its approval by the FDA in June 2024, RYTELO sales will be difficult to predict from period to period and as a result, you should not rely on RYTELO sales results in any period as being indicative of future performance. Sales of RYTELO have in the past been below the expectations of securities analysts and investors, and sales of RYTELO have been and may in the future be below prior sequential or prior period sales, our own guidance and/or the expectations of securities analysts and investors. To the extent that we do not meet our guidance, our financial projections or estimates, or the expectations of analysts or investors, our stock price may be adversely impacted, perhaps significantly. For example, following our release of earnings for the quarter and year ended December 31, 2024, our stock price declined significantly. We believe that our quarterly and annual results of operations may be affected by a variety of factors,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overall level of demand for RYTELO in its approved indication, including across the breadth of the eligible patient segments;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extent to which coverage and reimbursement for RYTELO is available from government and health administration authorities, private health insurers, managed care programs and other third-party payors;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the amount of deductions from gross sales, including government-mandated rebates, chargebacks and discounts that can vary because of changes to the government discount percentage, including increases in the government discount percentage resulting from price increases we may take in the future, or due to different levels of utilization by entities entitled to government rebates and discounts and changes in patient demographics;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increases in the scope of eligibility for customers to purchase RYTELO at the discounted government price or to obtain government-mandated rebates on purchases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our cost of sales;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and level of royalty payments under the Royalty Pharma Agreement;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cost and level of investment in our sales and marketing efforts to support RYTELO sales;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timing, cost and level of investment in our research and development activities involving imetelstat and potential future product candidates;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expenditures we may incur to develop and/or commercialize any additional products, product candidates, or technologies that we may develop, in-license, or acquire.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also cause significant fluctuations in our expenses. 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the magnitude of the expense that we must recognize may vary significantly.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For these and other reasons, it is difficult for us to accurately forecast future sales of RYTELO, operating expenses or future profits or losses. As a result, our operating results in future periods could be below our guidance or the expectations of securities analysts or investors, which could cause the trading price of our common stock to decline, perhaps significantly.</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financial projections and estimates are subject to significant risks, assumptions, and uncertainties, and our actual results may differ materially.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financial projections and estimates are subject to significant risks, assumptions, and uncertainties, and our actual results may differ materially. These projections and estimates include estimates of the total addressable market for RYTELO, assumptions regarding patient market share and duration of therapy for patients receiving RYTELO, as well as assumptions regarding our ability to meet demand and assumptions regarding our future costs of goods. These projections and estimates are subject to various factors beyond our control, including, for example, the level of demand for RYTELO, the extent to which coverage and reimbursement for RYTELO is available from government and health administration authorities, private health insurers, managed care programs and other third-party payors, increased costs in the supply chain, including as a result of increased tariffs, renegotiation of existing international trade agreements, escalating trade tensions and other trade restrictions, increased labor costs, changes in the regulatory environment, the impact of global health crises or macroeconomic or other global conditions, and changes in our senior management team. Our financial projections and estimates constitute forward-looking statements, are for illustrative purposes only and should not be relied upon as necessarily being indicative of future results. The assumptions and estimates underlying such financial projections and estimates are inherently uncertain and are subject to a wide variety of significant business, economic, competitive and other risks and uncertainties. Actual results may differ materially from the results contemplated by the financial projections. Our independent auditors have not studied, reviewed, compiled or performed any procedures with respect to the projections, and accordingly, they did not express an opinion or provide any other form of assurance with respect thereto. While all financial projections, estimates and targets are necessarily speculative, we believe that the preparation of financial projections involves increasingly higher levels of uncertainty the further out the projection, estimate or target extends from the date of preparation. Accordingly, there can be no assurance that the prospective results are indicative of our future performance or that actual results will not differ materially from those presented in the financial projections or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pStyle w:val="TextBody"/>
        <w:bidi w:val="0"/>
        <w:spacing w:lineRule="auto" w:line="288" w:before="0" w:after="24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Successful drug development and commercialization requires significant amounts of capital. As of June 30, 2025, we had approximately $432.6 million in cash, cash equivalents, restricted cash and marketable securities. While we believe that, based on our current operating plans and assumptions, our existing cash, cash equivalents, and marketable securities, together with anticipated net revenues from sales of RYTELO, will be sufficient to fund our projected operating requirements for the foreseeable future,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 additional funding, which could include a combination of public or private equity offerings, debt financings (including additional tranches under the Pharmakon Loan Agreement, if available),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Despite approval of RYTELO in the U.S. in June 2024 and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for lower-risk MDS in the U.S., the EU or other potential jurisdictions or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pandemics or other health crises and supply chain and resource issues. Further, our future capital requirements are difficult to forecast and will depend on many factors,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accuracy of the assumptions underlying our estimates for our capital needs;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overall level of sales and market acceptance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scope, progress, timing, magnitude and costs of non-clinical and clinical development, manufacturing and commercialization of RYTELO, including commercialization in the U.S. and any commercialization in the EU for lower-risk MDS, or in any other jurisdictions or other indication we may pursue, subject to clearances and approvals by the FDA and similar international regulatory authorities;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delays or disruptions in opening sites, screening and enrolling patients or treating and following patients, in our current or any potential future clinical trials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costs, timing and outcomes of regulatory reviews or other regulatory actions related to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and maintaining, enforcing and defending intellectual property-related claims;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costs of manufacturing, developing, commercializing and marketing RYTELO, including with respect to third-party vendors and service providers and our ability to achieve any meaningful reduction in manufacturing costs;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sales price for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availability of coverage and adequate third-party reimbursement for RYTELO;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extent to which we are able to enter into and conduct successful commercialization arrangements with third parties, including for the commercialization and marketing of RYTELO in the EU and in any other regions outside of the U.S., if approved for commercialization in such other regions;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expenses associated with the pending putative securities class action and shareholder derivative lawsuits and potential additional related lawsuits, as well as any other litigation;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extent and scope of our selling, general and administrative expenses, including expenses associated with pending and potential future litigation;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level of indebtedness and associated debt service obligations;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costs of maintaining and operating facilities in California and New Jersey, as well as higher expenses for travel;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macroeconomic or other global conditions that may reduce our ability to access equity or debt capital or other financing on preferable terms, which may adversely affect future capital requirements and forecasts;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costs of enabling our personnel to work remotely, including providing supplies, equipment and technology necessary for them to perform their responsibilities.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we need to raise additional capital to fund our business, including pursuant to the 2023 Sales Agreement with B. Riley Securities, Inc., the Tranche B Loan and the Tranche C Loan under the Pharmakon Loan Agreement, which are subject to certain funding conditions;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fluctuations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capital markets and is expected to have further global economic consequences. If the equity and credit markets deteriorate, including as a result of macroeconomic or other global conditions, such as further changes in tariffs and other trade restrictions and uncertainty around further escalation of trade tensions and renegotiation of existing international trade agreements, inflation, fluctuations in interest rates, prospects of a recession, government shutdowns, bank failures and other disruptions to financial systems, civil or political unrest, military conflicts, pandemics or other health crises and supply chain and resource issues,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2023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pStyle w:val="TextBody"/>
        <w:bidi w:val="0"/>
        <w:spacing w:before="0" w:after="0"/>
        <w:jc w:val="center"/>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OUR INDEBTEDNESS AND ROYALTY PAYMENT OBLIGATIONS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Our level of indebtedness and debt service obligations could adversely affect our financial condition and may make it more difficult for us to fund our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the Pharmakon Loan Agreement. We drew the Tranche A Loan of $125.0 million on November 1, 2024 and as of November 1, 2024, the total outstanding principal amount under the Pharmakon Loan Agreement was $125.0 million. The tranches for the remaining $125.0 million available to us under the Pharmakon Loan Agreement are as follows: (a) a Tranche B Loan of $75.0 million, which is available until December 31, 2025 and is available at our option, subject to certain customary and limited conditions; and (b) a Tranche C Loan of $50.0 million, which is available until December 31, 2025, subject to certain conditions including achieving a certain revenue milestone on or prior to November 30, 2025. If we do not achieve such revenue milestone within the required timeline, we will not be eligible to draw down the Tranche C Loan. In addition, before we would consider drawing down any of the remaining tranches under the Pharmakon Loan Agreement, if available, we must first satisfy ourselves that we will have access to future alternate sources of capital, such as from commercial revenues or the equity capital markets or debt capital markets, in order to repay any additional principal borrowed, which we may be unable to do, in which case, our liquidity and ability to fund our operations may be substantially impaired.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Pharmakon Loan Agreement are secured by substantially all of our assets, including our intellectual property. Further, the terms of the Pharmakon Loan Agreement place restrictions on our operating and financial flexibility, and limit or prohibit our ability to dispose of certain assets, change our line of business, and engage in other significant transactions. This indebtedness may create additional financing risk for us, particularly if our business or prevailing financial market conditions are not conducive to paying off or refinancing the outstanding debt obligations at maturity. If we draw down any of the remaining tranches under the Pharmakon Loan Agreement, our indebtedness will increase, which would further increase our risk of being unable to pay off or refinance our outstanding debt obligations at maturity.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indebtedness could also have important negative consequences,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we will need to repay the indebtedness by making payments of interest and principal, which will reduce the amount of cash available to finance our operations, our research and development efforts and other general corporate activities;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failure to comply with the obligations of our affirmative and restrictive covenants in the Pharmakon Loan Agreement could result in an event of default that, if not cured or waived, would permit the Lenders to accelerate our obligation to repay this indebtedness, and the Lenders could seek to enforce their security interest in the assets securing such indebtedness.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borrow additional capital in the future to fund clinical development and our future growth, including pursuant to the Pharmakon Loan Agreement or potentially pursuant to new arrangements with different lenders. To the extent additional debt is added to our current debt levels, the risks described above could increase.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terms of the Pharmakon Loan Agreement place restrictions on our operating and financial flexibility.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Pharmakon Loan Agreement imposes operating and other restrictions on us. Such restrictions will affect, and in many respects limit or prohibit, our ability and the ability of our subsidiaries to, among other things: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dispose of certain assets;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 our line of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engage in mergers, acquisitions or consolidations;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create liens on assets;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pay dividends and make contributions or repurchase our capital stock;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engage in certain transactions with affiliates.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may not have cash available in an amount sufficient to enable us to make interest or principal payments on our indebtedness when due.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make scheduled interest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Failure to satisfy our current and future debt obligations under the Pharmakon Loan Agreement or to comply with certain covenants in the Pharmakon Loan Agreement could result in an event of default, the occurrence and continuance of which provides the lenders with the right to demand immediate repayment of all outstanding obligations under the Pharmakon Loan Agreement (and in the case of certain insolvency, liquidation, bankruptcy or similar events, automatically requires immediate repayment of all outstanding obligations under the Pharmakon Loan Agreement), and to exercise remedies against us and the collateral securing the Pharmakon Loan Agreement. These events of default include, among other things: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insolvency, liquidation, bankruptcy or similar events;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failure to observe covenants under the Pharmakon Loan Agreement and ancillary collateral documents, which failure, in certain limited cases, is not cured within 10 or 20 days;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occurrence of a withdrawal event in respect to RYTELO;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occurrence of a material adverse change;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material misrepresentations;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certain cross-default of third-party indebtedness or certain default or termination events of hedging assessments;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certain money judgments being entered against us which are not timely paid, discharged or stayed;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assets are attached or seized.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default, the lenders could accelerate all of the amounts due under the Pharmakon Loan Agreement. Under such circumstances, we may not have enough available cash or be able to raise additional funds through equity or debt financings to repay such indebtedness at the time of such acceleration. In that case, we may be required to delay, limit, reduce or terminate our RYTELO development or commercialization efforts or grant to others rights to develop and market RYTELO. The lenders could also exercise their rights to take possession and dispose of the collateral securing the Pharmakon Loan Agreement, which collateral includes substantially all of our property including, without limitation, our intellectual property, subject to certain exceptions. Our business, financial condition and results of operations could be materially adversely affected as a result of any of these events.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Royalty Pharma Agreement places certain restrictions on our operational flexibility.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Royalty Pharma Agreement contains covenants that impose on us certain obligations with respect to royalty payments, diligence, reporting, indemnification and includes restrictions on intellectual property transfers and out-licenses, and certain other actions. The Royalty Pharma Agreement also limits our ability to create or incur liens or dispose of certain assets related to imetelstat. We have no rights to repurchase the revenue interests in RYTELO sold to Royalty Pharma (other than in connection with a change of control event), thereby limiting our ability to eliminate future applicability of the covenants contained in the Royalty Pharma Agreement. Compliance with these covenants may limit our flexibility in operating our business and our ability to take actions that might otherwise be advantageous to us and our stockholders.</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PROTECTING OUR INTELLECTUAL PROPERTY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Protection of our proprietary technology is critically important to our business. Our success and the success of our commercialization and planned future development of RYTELO will depend on our ability to protect our technologies and RYTELO through patents, regulatory exclusivity, and other intellectual property rights. Our success will depend in part on our ability to obtain, maintain, enforce, and extend our patents and maintain trade secrets, both in the U.S. and in other countries.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RYTELO or our technology and/or limit the duration of the patent protection for RYTELO and our technology. In the event that we are unsuccessful in obtaining, maintaining, enforcing and extending our patents and other intellectual property rights or having our licensors maintain the intellectual property rights we have licensed, the value of RYTELO and/or our technologies will be adversely affected, and we may not be able to further develop or commercialize RYTELO.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method-of-use patents that protect the use of RYTELO for the treatment of certain diseases, this type of patent does not prevent a generic competitor from making and marketing a product that is identical to RYTELO for an indication that is outside the scope of our approved use after our composition-of-matter patents or their patent term extensions, and any regulatory exclusivities have expired. Moreover, even if competitors do not actively promote their product for our approved indications, physicians may prescribe or use these generic products “off-label,” which would result in decreased sales for us.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In addition to our patents covering RYTELO, we also expect to rely on regulatory exclusivity, including orphan drug exclusivity of up to seven years in the U.S. and ten years in the EU following approval, to protect our rights to commercialize RYTELO for its approved uses, but such regulatory exclusivity may be limited or withdrawn. See “</w:t>
      </w:r>
      <w:r>
        <w:rPr>
          <w:rFonts w:ascii="Times New Roman;serif" w:hAnsi="Times New Roman;serif"/>
          <w:b w:val="false"/>
          <w:i/>
          <w:color w:val="000000"/>
          <w:sz w:val="20"/>
        </w:rPr>
        <w:t>Risks Related to Regulatory Approval of RYTELO -- 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r>
        <w:rPr>
          <w:rFonts w:ascii="Times New Roman;serif" w:hAnsi="Times New Roman;serif"/>
          <w:b w:val="false"/>
          <w:color w:val="000000"/>
          <w:sz w:val="20"/>
        </w:rPr>
        <w:t xml:space="preserv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orphan drug exclusivity, we expect to rely on other forms of regulatory exclusivity to protect our ability to commercialize RYTELO. In the U.S., New Chemical Entity, or NCE, exclusivity would entitle us to four years of data exclusivity and one year of market exclusivity, for a total of five years of NCE exclusivity from the date of approval of the first-approved indication. Our request for NCE exclusivity is still pending with FDA, and might not be awarded or could be awarded and then later withdrawn. In Europe, New Active Substance, or NAS, exclusivity is expected to entitle us to eight years of data exclusivity and two years of market exclusivity, for a total of ten years of NAS exclusivity for the first-approved indication, but as with other forms of regulatory exclusivity, NAS exclusivity could be limited or withdrawn.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Loss or impairment of our intellectual property rights related to RYTELO might further delay or halt ongoing or potential future clinical trials of RYTELO and any applications for regulatory approval, and might further delay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or preclude any future development or commercialization of RYTELO by us. Furthermore, such loss of intellectual property rights could impair our ability to exclude others from commercializing products similar or identical to RYTELO and therefore result in decreased sales for us. Occurrence of any of these events would materially and adversely affect our financial results, business and business prospects, and might cause us to cease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U.S. Patent and Trademark Office, or USPTO, and various governmental patent agencies in other countries require compliance with a number of procedural, documentary, fee payment, periodic maintenance fees, renewal 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the same or similar products to RYTELO, and this circumstance could harm our financial condition, business and business prospects. In addition, if we are responsible for patent prosecution and maintenance of patent rights in-licensed to us or jointly owned with us, any of the foregoing could expose us to liability to the applicable patent owner or patent co-owner.</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RYTELO for an adequate amount of time.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U.S., the natural expiration of a patent is generally 20 years after its first effective nonprovisional filing date. As a result, our intellectual property may not provide us with sufficient patent rights to exclude others from commercializing products similar or identical to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U.S., the Hatch-Waxman Act permits one patent per approved product to receive a patent term extension of up to five years beyond its normal expiration.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Only one U.S. patent may receive patent term extension under the Hatch-Waxman Act. We have applied to the USPTO for patent term extension of some of our patents. Once the USPTO and the FDA determine the extension period for each proposed eligible patent, we will select the one patent to be extended. We expect to apply any patent term extension that is granted in the U.S. to our method of treatment patent for MDS and MF that expires on March 15, 2033. If such patent term extension is granted, we expect the term of the patent to extend through August 2037, although such timing is subject to approval by the USPTO as part of its review of our application for patent term extension and could differ from our calculation. Currently, communication of patent term extension approval and the length of the granted extension period by the USPTO may occur up to several years from filing of an application for patent term extension. Accordingly, we will decide on the specific patent to be extended only after such communication from the USPTO.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Similar extensions are also available in certain countries and territories outside the U.S., such as in Japan, and in Europe as Supplementary Protection Certificates, or SPCs. However, we might not be granted a patent term extension at all because of failure to satisfy any of the numerous applicable requirements. Moreover, the applicable authorities, including the FDA and the USPTO in the U.S., and any equivalent regulatory authorities and patent offices in other countries, may not agree with our assessment of whether such extensions are available, may refuse to grant extensions to our patents, or may grant more limited extensions than we request and could be less than five years. If we select and are granted a patent term extension on a recently filed and issued patent, we may not receive the full benefit of a possible patent term extension, if at all. Moreover, in some countries, the scope of protection for claims under patent term extension, if any, is limited to the product composition as approved and, for a method of treatment patent, to the approved indications. If we do not have sufficient patent life and regulatory exclusivity to protect RYTELO, our financial results, business and business prospects would be materially and adversely affected, which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Europe and other countries, our composition of matter patent coverage expired in September 2024, and our method of treatment patent rights for MDS and MF expire in November 2033. Our method of treatment patents may be eligible for patent term extension of up to five years under an SPC, permitted under European Council (EC) Regulation No. 469/2009, or the European SPC Regulation, upon receipt of marketing authorization, such as, for example, our method of treatment patent for MDS. In Europe, we have separate method of treatment patents covering MDS and MF, and a SPC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may only be applied to one patent. Accordingly, in countries of the European Economic Area, or EEA, we must rely on regulatory exclusivity and our method of treatment patents.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regulatory approval of RYTELO occurs after a patent has expired in a country that does not allow interim patent term extensions, as is the case in many countries and territories including Europe, we will be unable to obtain any patent term extension of that expired patent, and the duration of our patent rights may be limited. Accordingly, in Europe and such other similar countries and territories, we will not be able to seek patent term extension of our composition of matter patent, as it expired in September 2024. If we do not have sufficient patent life and regulatory exclusivity to protect RYTELO, our financial results, business and business prospects would be materially and adversely affected, which might cause us to cease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Also, there are regulations for the listing of patents in the Approved Drug Products with Therapeutic Equivalence Evaluations, or the Orange Book. Some of our patents have been listed in the Orange Book. Manufacturers of generic drugs may challenge the listing.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validity, scope and enforceability of any patents listed in the Orange Book that cover RYTELO or its methods of use can be challenged by third parties and may not protect us from generic or innovator competition.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a third party files an application under Section 505(b)(2) of the Federal Food, Drug and Cosmetic Act or an abbreviated new drug application, or ANDA, under Section 505(j) to obtain permission to sell a generic or follow-on version of RYTELO, and relies in whole or in part on studies conducted by or for us, the third-party will be required to certify to the FDA that either: (1) there is no patent information listed in the Orange Book with respect to our NDA for RYTELO;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that the new product will not infringe the Orange Book-listed patents for RYTELO, or that such patents are invalid, is called a paragraph IV certification. If the third-party submits a paragraph IV certification to the FDA, a notice of the paragraph IV certification must also be sent to us within 20 days after the third-party’s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or the date on which the patent expires, the lawsuit is settled, or the court reaches a decision in the infringement lawsuit in favor of the third-party. If the product has NCE exclusivity and the notice is given and the suit filed in the fifth year of exclusivity, the regulatory stay extends until 7.5 years after approval of the reference product. If we do not file a patent infringement lawsuit within the required 45-day period, the third-party’s ANDA will not be subject to the 30-month stay of FDA approval.</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issued U.S. patents covering RYTELO or its methods of use may not provide adequate protection from competitive products if competitors receive approval of an ANDA application or are able to design around the patents. One or more competitors may circumvent these patents by filing a marketing application with the FDA for a competitive product containing the active moiety in RYTELO and successfully challenging the validity of the patents or successfully designing around the patents. Any successful challenge and/or designing around one or more of the patents could result in a generic version of RYTELO being commercialized before the expiration of the patents.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If the patents covering RYTELO or its methods of use are successfully challenged or designed around, or if we are unsuccessful in enforcing our patents against generics, we could face competition prior to the expiration of these patents, which could have a material adverse effect on our business, financial condition, results of operations and prospects.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may be involved in lawsuits to protect or enforce our patents or other intellectual property rights, which could be expensive, time consuming and unsuccessful, and which could result in the invalidity or unenforceability of our patents covering RYTELO or its methods of use.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misappropriate or otherwise violate our patents or other intellectual property rights. To counter infringement or unauthorized use, we may be required to file and prosecute legal claims against one or more third parties, which can be expensive and time-consuming, even if ultimately successful.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initiation of a claim against a third party by us may also cause the third party to bring counter claims against us, such as claims asserting that our patents are invalid or unenforceable.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IPR, or post-grant review, or oppositions or similar proceedings outside the U.S., in parallel with litigation or even outside the context of litigation.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an infringement proceeding, a court may decide that a patent of ours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lawsuits will ultimately be resolved successfully. Further, even if we prevail, the infringer may file an appeal and the court judgment may be overturned and/or that an adverse decision may be issued by an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Even if we establish infringement, we may not seek, or the court may decide not to grant, an injunction against further infringing activity and instead award only monetary damages, which may or may not be an adequate remedy.</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a defendant were to prevail on a legal assertion of invalidity or unenforceability, we would lose at least part, and perhaps all, of any future patent protection for RYTELO, which could have a material adverse effect on our business, financial condition, results of operations and prospects. Additionally, any adverse outcome could allow third parties to commercialize RYTELO and compete directly with us, without payment to us.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Furthermore, if we are engaged in intellectual property litigation, there would be public announcements of filings, briefings, hearings, motions or other interim proceedings or developments. If securities analysts or investors perceive these events to be negative, it could have an adverse effect on the price of our common stock.</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U.S. or international patent law or interpretations of such patent laws could diminish the value of our patents in general, thereby impairing our ability to protect our technologies and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RYTELO, or enforce or defend issued patents, is uncertain.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U.S. has enacted and implemented wide-ranging patent reform legislation, including the Leahy-Smith America Invents Act, or the AIA, signed into law on September 16, 2011. The U.S. Supreme Court has ruled on several patent cases in recent years, either narrowing the scope of patent protection available in certain circumstances or weakening the rights of patent owners in certain situations. Depending on actions by Congress, the federal courts, and the USPTO, the laws and regulations governing patents could change in unpredictable ways that would weaken our ability to obtain new patents or to enforce our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RYTELO patent rights could severely and adversely affect our financial results, business and business prospects, which might cause us to cease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a result of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RYTELO. As a result, if we are not the first inventor-to-file, we may not be able to obtain patents for discoveries that we otherwise would consider patentable and that we consider to be significant to the future success of RYTELO. Delay in the filing of a patent application for any purpose, including further development or refinement of an invention, may result in the risk of loss of patent rights.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2012, the European Patent Package, or EU Patent Package, was approved and included regulations with the goal of providing for a single pan-European Unitary Patent, and a new European Unified Patent Court, or UPC, for litigation of European patents. The EU Patent Package was ratified in February 2023 and currently covers certain EU states. As of June 1, 2023, all European patents, including those issued prior to ratification, by default automatically fall under the jurisdiction of the UPC and allow for the possibility of obtaining pan-European injunctions and are at risk of central revocation at the UPC in participating UPC states. Under the EU Patent Package, patent holders are permitted to “opt out” of the UPC on a patent-by-patent basis during an initial seven year transitional period after June 1, 2023. Owners of European patent applications who receive notice of grant after the EU Patent Package came into effect could, for the UPC contracting states, either obtain a Unitary Patent or validate the patent nationally and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member states and/or the UPC is not known.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Filing, prosecuting, maintaining, defending and enforcing patents for RYTELO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issue with claims that cover RYTELO and our technologies.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in the U.S or worldwide and challenges to our owned or licensed patent rights would result in costly and time-consuming legal proceedings that could prevent or limit development or commercialization of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patents or those patent rights we have licensed, including patent rights that we may seek with respect to inventions made by past or future collaborators, may be challenged through administrative or judicial proceedings, which could result in the loss of important patent rights. For example, where more than one party seeks U.S. patent protection for the same technology in patent applications that are subject to the law before the implementation of the AIA, the USPTO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IPR, covered business method post-grant reviews and other post-grant reviews. This applies to all our U.S. patents and those we have licensed and may license from others, even those issued before March 16, 2013. A third party could attempt to use the USPTO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challenge the validity of certain patents. Significant impairment of our RYTELO patent rights could severely and adversely affect our financial results, business and business prospects, which might cause us to cease operations.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Certain jurisdictions, such as Europe, China, Japan, New Zealand and Australia, permit third parties to file oppositions or invalidation trials against granted patents or patents proposed to be granted. Because we seek to enable potential global commercialization of RYTELO, securing both proprietary protection and freedom to operate outside of the U.S. is important to our business.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Third party proceedings such as oppositions and invalidation trials require significant time and costs, and if we are unsuccessful or are unable to commit these types of resources to protect our RYTELO patent rights, we could lose our patent rights and we could be prevented or limited in the development and commercialization of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invalidation trials,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RYTELO, or could otherwise have a material adverse effect on our business, and might cause us to cease operations, by: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causing us to lose patent rights in the relevant jurisdiction(s);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subjecting us to litigation, or otherwise preventing us from commercializing RYTELO in the relevant jurisdiction(s);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requiring us to obtain licenses to the disputed patents;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forcing us to cease using the disputed technology;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requiring us to develop or obtain alternative technologies.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subject to infringement claims that are costly to defend, and such claims may limit our ability to use disputed technologies and prevent us from pursuing research, development, manufacturing or commercialization of RYTELO.</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commercial success of RYTELO will depend upon our ability to research, develop, manufacture, market and sell RYTELO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RYTELO and its uses, we do not know with certainty that RYTELO, or the commercialization thereof, does not and will not infringe or otherwise violate any third party’s intellectual property. For example, we are aware that certain third parties have or may be prosecuting patents and patent estates that may relate to RYTELO, and while these patents have expired, or we believe that a reasonable court should find they are invalid and/or would not be infringed by the manufacture, use or sale of RYTELO, it is possible that the owner(s) of these patents will assert claims against us in the future.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event our technologies infringe the rights of others or require the use of discoveries and technologies controlled by third parties, we may be prevented from pursuing research, development, manufacturing or commercialization of RYTELO, or may be required to obtain unblocking licenses from such third parties, develop alternative non-infringing technologies, which we may not be able to do at an acceptable cost or on acceptable terms, or at all, or cease the commercialization and continued development of RYTELO. If we are unable to resolve an infringement claim successfully, we could be subject to an injunction that would prevent us from commercializing RYTELO and could also require us to pay substantial damages.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while our past collaboration agreements have terminated, we are still subject to indemnification obligations to certain collaborators, including with respect to claims of third-party patent infringement. In addition to infringement claims, in the future we may also be subject to other claims relating to intellectual property,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 claims that we have misappropriated the trade secrets of third parties. Our success therefore depends significantly on our ability to operate without infringing patents and the proprietary rights of others.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become aware of discoveries and technologies controlled by third parties that are advantageous or necessary to further develop or manufacture RYTELO. Under such circumstances, we may initiate negotiations for licenses to other technologies as the need or opportunity arises. We may not be able to obtain a license to a technology required to pursue the research, development, manufacturing or commercialization of RYTELO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RYTELO and could increase the development and/or production costs of RYTELO. In cases where we are unable to license necessary technologies, we could be subject to litigation and prevented from pursuing research, development, manufacturing or commercialization of RYTELO, which would materially and adversely impact our business. Failure by us to obtain rights to alternative technologies or a license to any technology that may be required to pursue research, development, manufacturing or commercialization of RYTELO would further delay current and potential future clinical trials of RYTELO and any applications for regulatory approval, impair our ability to sell RYTELO, and therefore result in decreased sales of RYTELO for us. Occurrence of any of these events could materially and adversely affect our business and might cause us to cease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a registered trademark, RYTELO, for our product and failure to maintain such trademark could adversely affect our business.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have a registered trademark, RYTELO, which is the commercial trade name for imetelstat, in a number of countries and regions, including in the U.S. and Europe. Opposition or cancellation proceedings, however, may be filed against our trademarks, and our trademarks may not survive such proceedings. If our U.S. trademark application which forms the basis for our international registration, or IR, for our commercial trade name is withdrawn or abandoned within the first five years of our IR, we will lose our IR registrations which could adversely affect our business. We may be unable to maintain or enforce our current and future trademarks, and if we fail to satisfy the applicable regulatory requirements, we may not have enforceable trademark rights or registrations in such jurisdictions. Our product trademark, RYTELO, is approved by the FDA and the EMA.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research collaborators or others, either with permission or in contravention of the terms of their agreements with us or with our past or future collaborators, may impair our ability to obtain patent protection or protect proprietary information, which could have a material adverse effect on our business and might cause us to cease operations.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Much of the information and know-how that is critical to our business is not patentable, and we may not be able to prevent others from obtaining this information and establishing competitive enterprises.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trade secrets to protect our proprietary technology, especially in circumstances in which we believe patent protection is not appropriate or available. We attempt to protect our proprietary technology in part by confidentiality agreements with our employees, consultants, collaborators and contractors. However, we cannot provide assurance that these agreements will not be breached, that we would have adequate remedies for any breach, or that our trade secrets will not otherwise become known or be independently discovered by competitors, any of which would harm our business significantly.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May 2016, the Defend Trade Secrets Act of 2016, or the DTSA, was enacted, providing a federal cause of action for misappropriation of trade secrets. Under the DTSA, an employer may not collect enhanced damages or attorney fees from an employee or contractor in a trade secret dispute brought under the DTSA, unless certain advanced provisions are observed. We cannot provide assurance that our existing agreements with employees and contractors contain notice provisions that would enable us to seek enhanced damages or attorneys’ fees in the event of any dispute for misappropriation of trade secrets brought under the DTSA.</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MANAGING OUR GROWTH AND OTHER BUSINESS OPERATIONS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unable to successfully retain or recruit key personnel to support the commercialization and further development of RYTELO or to otherwise successfully manage our growth.</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successfully commercialize RYTELO in the U.S. and in the EU for lower-risk MDS, and to continue to develop RYTELO in other myeloid hematologic malignancies depends to a significant extent on the skills, experience and efforts of our executive officers and key members of our staff. In addition, we need to recruit, maintain, motivate and integrate additional personnel with expertise and experience in sales, marketing, market access, commercial operations, pricing, clinical science, biostatistics, clinical operations, pharmacovigilance, quality, manufacturing, regulatory affairs, medical affairs, legal affairs, and compliance to enable us to further commercialize and further develop RYTELO.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face intense competition for qualified individuals from numerous pharmaceutical, biopharmaceutical and biotechnology companies, as well as academic and other research institutions, and competition in our geographic regions is particularly intense. The substantial risks and uncertainties related to our commercialization and further development of RYTELO,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commercialize and further develop RYTELO will be impaired, and our business and the price of our common stock would be adversely impacted.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personnel are currently performing their duties in multiple jurisdictions, and if we are unable or fail to comply with employment, tax, benefits and other laws in such jurisdictions, we may face penalties, fines or litigation.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future financial performance and our ability to develop, manufacture and commercialize RYTELO depends,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Management transition creates uncertainties and could harm our business.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Over the past few years, we have experienced significant changes in executive leadership, and more could occur. For example, on August 6, 2025, we announced the appointment of Harout Semerjian as our President and Chief Executive Officer and a member of our board of directors, effective August 7, 2025. In addition, in November 2024, we appointed a new EVP of Research and Development, and, in September 2024, we appointed a new EVP, Chief Commercial Officer. Changes to company strategy, which can often times occur with the appointment of new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transition inherently causes some loss of institutional knowledge, which can negatively affect strategy and execution. Until we integrate new personnel, and unless they are able to succeed in their positions, we may be unable to successfully manage and grow our business, and our results of operations and financial condition could suffer as a result. In any event, changes in our organization as a result of executive management transition may have a disruptive impact on our ability to implement our strategy and could have a material adverse effect on our financial condition and our business and business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unable to establish potential future collaborative arrangements for RYTELO on acceptable terms, or at all, and as a result, may have to delay, alter or abandon commercialization or further development of RYTELO.</w:t>
      </w:r>
    </w:p>
    <w:p>
      <w:pPr>
        <w:pStyle w:val="TextBody"/>
        <w:bidi w:val="0"/>
        <w:spacing w:lineRule="auto" w:line="288" w:before="0" w:after="240"/>
        <w:ind w:left="0" w:right="0" w:firstLine="1296"/>
        <w:jc w:val="left"/>
        <w:rPr/>
      </w:pPr>
      <w:r>
        <w:rPr>
          <w:rFonts w:ascii="Times New Roman;serif" w:hAnsi="Times New Roman;serif"/>
          <w:b w:val="false"/>
          <w:color w:val="000000"/>
          <w:sz w:val="20"/>
        </w:rPr>
        <w:t>We intend to develop RYTELO broadly for hematologic malignancies, and to commercialize, market and sell RYTELO in the U.S. and in the EU for certain patients with lower-risk MDS. At this time, we do not plan to commercialize R</w:t>
      </w:r>
      <w:r>
        <w:rPr>
          <w:rFonts w:ascii="Times New Roman;serif" w:hAnsi="Times New Roman;serif"/>
          <w:b w:val="false"/>
          <w:color w:val="000000"/>
          <w:sz w:val="20"/>
          <w:shd w:fill="FFFFFF" w:val="clear"/>
        </w:rPr>
        <w:t>YTELO independently</w:t>
      </w:r>
      <w:r>
        <w:rPr>
          <w:color w:val="000000"/>
        </w:rPr>
        <w:t xml:space="preserve"> </w:t>
      </w:r>
      <w:r>
        <w:rPr>
          <w:rFonts w:ascii="Times New Roman;serif" w:hAnsi="Times New Roman;serif"/>
          <w:b w:val="false"/>
          <w:color w:val="000000"/>
          <w:sz w:val="20"/>
        </w:rPr>
        <w:t>in the EU or in any other regions outside the U.S. where RYTELO may be approved for marketing in the future. Accordingly, we currently intend to seek contractual arrangements, strategic partnerships, collaborations, alliances or licensing arrangements with a third-party partner or partners to assist us in the commercialization of RYTELO in the EU and in any other regions outside the U.S. where RYTELO may be approved for marketing in the future. We face significant competition in seeking appropriate collaborative partners, and these potential collaborative arrangements are complex and time consuming to negotiate, document and implement. In addition, the terms of our Pharmakon Loan Agreement may limit our ability to enter into certain collaborative arrangements and any future debt agreements may continue or further limit our ability to enter into such agreements. We may not be able to establish collaborative arrangements on acceptable terms, or at all. In this regard, collaborative arrangements with third parties may require us to relinquish material rights, including revenue from commercialization, or assume material ongoing development obligations that we would have to fund or otherwise support. If we are unable to negotiate collaborative arrangements, we may have to: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 curtail or abandon the additional development of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delay, curtail or abandon the commercialization of RYTELO in jurisdictions where it is approved;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reduce the scope of potential future sales or marketing activities;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 our expenditures and undertake development or commercialization activities at our own expense, which will require additional capital than our current resources.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established subsidiaries in the United Kingdom, or UK, and the Netherlands, which exposes us to additional costs and risks.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wholly-owned subsidiaries we have established in the UK, and the Netherlands subject us to certain additional costs and risks associated with doing business outside the U.S.,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increased complexity and costs inherent in managing international operations in geographically disparate locations;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challenges and costs of complying with diverse regulatory, financial and legal requirements, which are subject to change at any time;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potentially adverse tax consequences, including changes in applicable tax laws and regulations;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potentially costly trade laws, further increases to tariffs, renegotiation of existing international trade agreements, and changes to export quotas, custom duties or other trade restrictions, including as a result of recent changes implemented by the current administration in the U.S.;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challenges inherent in efficiently managing employees in diverse geographies, including the need to adapt systems, policies, benefits and compliance programs to differing labor and other regulations;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natural disasters, political and economic instability, including terrorism and civil and political unrest, outbreak of health epidemics, and the resulting global economic and social impacts;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We may not be able to obtain or maintain sufficient insurance on commercially reasonable terms or with adequate coverage against potential liabilities in order to protect ourselves against claims such as product liability or personal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injury claims arising from our commercialization of RYTELO, claims related to clinical trial conduct, or claims related to data protection.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exposes us to potential product liability and other risks that are inherent in the testing, manufacturing and marketing of human therapeutic products. We may become subject to product liability or personal injury claims related to the commercialization of RYTELO, or claims related to clinical trial conduct, including if the use of RYTELO is alleged to have injured patients, such as injuries alleged to arise from any hepatotoxicity or hemorrhagic event associated with the use of RYTELO. We currently have product liability and clinical trial liability insurance that we believe is adequate, but we may experience losses in excess of our coverage or that are not covered by our insurance, and we may not be able to maintain this type of insurance for the commercialization of RYTELO, or any of our current or potential future clinical trials of RYTELO. In addition, this type of insurance may become too expensive for us to afford because of the highly risky and uncertain nature of commercialization of RYTELO,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limit or cease our commercialization and further development of RYTELO.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pStyle w:val="TextBody"/>
        <w:bidi w:val="0"/>
        <w:spacing w:lineRule="auto" w:line="268" w:before="0" w:after="0"/>
        <w:ind w:left="0" w:right="0" w:firstLine="1260"/>
        <w:jc w:val="left"/>
        <w:rPr/>
      </w:pPr>
      <w:r>
        <w:rPr>
          <w:rFonts w:ascii="Times New Roman;serif" w:hAnsi="Times New Roman;serif"/>
          <w:b w:val="false"/>
          <w:color w:val="000000"/>
          <w:sz w:val="20"/>
        </w:rPr>
        <w:t xml:space="preserve">Securities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On March 13 and March 14, 2025, we and certain of our current and former officers were named as defendants in two putative securities class action lawsuits filed in the United States District Court for the Northern District of California captioned </w:t>
      </w:r>
      <w:r>
        <w:rPr>
          <w:rFonts w:ascii="Times New Roman;serif" w:hAnsi="Times New Roman;serif"/>
          <w:b w:val="false"/>
          <w:i/>
          <w:color w:val="000000"/>
          <w:sz w:val="20"/>
        </w:rPr>
        <w:t>Dabestani v. Geron Corporation, et al.</w:t>
      </w:r>
      <w:r>
        <w:rPr>
          <w:rFonts w:ascii="Times New Roman;serif" w:hAnsi="Times New Roman;serif"/>
          <w:b w:val="false"/>
          <w:color w:val="000000"/>
          <w:sz w:val="20"/>
        </w:rPr>
        <w:t xml:space="preserve">, No. 3:25-cv-02507-CRB and </w:t>
      </w:r>
      <w:r>
        <w:rPr>
          <w:rFonts w:ascii="Times New Roman;serif" w:hAnsi="Times New Roman;serif"/>
          <w:b w:val="false"/>
          <w:i/>
          <w:color w:val="000000"/>
          <w:sz w:val="20"/>
        </w:rPr>
        <w:t>Potvin v. Geron Corporation, et al.</w:t>
      </w:r>
      <w:r>
        <w:rPr>
          <w:rFonts w:ascii="Times New Roman;serif" w:hAnsi="Times New Roman;serif"/>
          <w:b w:val="false"/>
          <w:color w:val="000000"/>
          <w:sz w:val="20"/>
        </w:rPr>
        <w:t xml:space="preserve">, No. 3:25-cv-02563-CRB, respectively. Both lawsuits allege violation of Sections 10(b) and 20(a) of the Securities Exchange Act of 1934, as amended,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On May 29, 2025, the Court consolidated the </w:t>
      </w:r>
      <w:r>
        <w:rPr>
          <w:rFonts w:ascii="Times New Roman;serif" w:hAnsi="Times New Roman;serif"/>
          <w:b w:val="false"/>
          <w:i/>
          <w:color w:val="000000"/>
          <w:sz w:val="20"/>
        </w:rPr>
        <w:t>Dabestani</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Potvin</w:t>
      </w:r>
      <w:r>
        <w:rPr>
          <w:color w:val="000000"/>
        </w:rPr>
        <w:t xml:space="preserve"> </w:t>
      </w:r>
      <w:r>
        <w:rPr>
          <w:rFonts w:ascii="Times New Roman;serif" w:hAnsi="Times New Roman;serif"/>
          <w:b w:val="false"/>
          <w:color w:val="000000"/>
          <w:sz w:val="20"/>
        </w:rPr>
        <w:t>cases into one consolidated action captioned</w:t>
      </w:r>
      <w:r>
        <w:rPr>
          <w:color w:val="000000"/>
        </w:rPr>
        <w:t xml:space="preserve"> </w:t>
      </w:r>
      <w:r>
        <w:rPr>
          <w:rFonts w:ascii="Times New Roman;serif" w:hAnsi="Times New Roman;serif"/>
          <w:b w:val="false"/>
          <w:i/>
          <w:color w:val="000000"/>
          <w:sz w:val="20"/>
        </w:rPr>
        <w:t>In re Geron Corporation Securities Litigation</w:t>
      </w:r>
      <w:r>
        <w:rPr>
          <w:rFonts w:ascii="Times New Roman;serif" w:hAnsi="Times New Roman;serif"/>
          <w:b w:val="false"/>
          <w:color w:val="000000"/>
          <w:sz w:val="20"/>
        </w:rPr>
        <w:t>, or the Securities Class Action, and appointed lead plaintiffs and counsel for lead plaintiffs. On June 10, 2025, the Court ordered plaintiffs to file a consolidated amended complaint by August 8, 2025.</w:t>
      </w:r>
    </w:p>
    <w:p>
      <w:pPr>
        <w:pStyle w:val="TextBody"/>
        <w:bidi w:val="0"/>
        <w:spacing w:lineRule="auto" w:line="268" w:before="0" w:after="0"/>
        <w:ind w:left="0" w:right="0" w:firstLine="1440"/>
        <w:jc w:val="left"/>
        <w:rPr/>
      </w:pPr>
      <w:r>
        <w:rPr>
          <w:rFonts w:ascii="Times New Roman;serif" w:hAnsi="Times New Roman;serif"/>
          <w:b w:val="false"/>
          <w:color w:val="000000"/>
          <w:sz w:val="20"/>
        </w:rPr>
        <w:t xml:space="preserve">In addition, on April 15, 2025 and April 16, 2025, three purported stockholders filed derivative complaints, each filed in the United States District Court for the Northern District of California, captioned </w:t>
      </w:r>
      <w:r>
        <w:rPr>
          <w:rFonts w:ascii="Times New Roman;serif" w:hAnsi="Times New Roman;serif"/>
          <w:b w:val="false"/>
          <w:i/>
          <w:color w:val="000000"/>
          <w:sz w:val="20"/>
        </w:rPr>
        <w:t>Bishop v. Scarlett, et al.,</w:t>
      </w:r>
      <w:r>
        <w:rPr>
          <w:color w:val="000000"/>
        </w:rPr>
        <w:t xml:space="preserve"> </w:t>
      </w:r>
      <w:r>
        <w:rPr>
          <w:rFonts w:ascii="Times New Roman;serif" w:hAnsi="Times New Roman;serif"/>
          <w:b w:val="false"/>
          <w:color w:val="000000"/>
          <w:sz w:val="20"/>
        </w:rPr>
        <w:t xml:space="preserve">No. 3:25-cv-03356, </w:t>
      </w:r>
      <w:r>
        <w:rPr>
          <w:rFonts w:ascii="Times New Roman;serif" w:hAnsi="Times New Roman;serif"/>
          <w:b w:val="false"/>
          <w:i/>
          <w:color w:val="000000"/>
          <w:sz w:val="20"/>
        </w:rPr>
        <w:t>Lerner v. Scarlett, et al.</w:t>
      </w:r>
      <w:r>
        <w:rPr>
          <w:rFonts w:ascii="Times New Roman;serif" w:hAnsi="Times New Roman;serif"/>
          <w:b w:val="false"/>
          <w:color w:val="000000"/>
          <w:sz w:val="20"/>
        </w:rPr>
        <w:t xml:space="preserve">, No. 3:25-cv-03401, and </w:t>
      </w:r>
      <w:r>
        <w:rPr>
          <w:rFonts w:ascii="Times New Roman;serif" w:hAnsi="Times New Roman;serif"/>
          <w:b w:val="false"/>
          <w:i/>
          <w:color w:val="000000"/>
          <w:sz w:val="20"/>
        </w:rPr>
        <w:t>Willis v. Scarlett, et al.,</w:t>
      </w:r>
      <w:r>
        <w:rPr>
          <w:color w:val="000000"/>
        </w:rPr>
        <w:t xml:space="preserve"> </w:t>
      </w:r>
      <w:r>
        <w:rPr>
          <w:rFonts w:ascii="Times New Roman;serif" w:hAnsi="Times New Roman;serif"/>
          <w:b w:val="false"/>
          <w:color w:val="000000"/>
          <w:sz w:val="20"/>
        </w:rPr>
        <w:t xml:space="preserve">No: 3:25-cv-03396, respectively. The three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two aforementioned securities class action lawsuits, which these lawsuits are premised on. The plaintiff seeks damages and interest, and an award of reasonable costs, including attorneys' and experts' fees. The plaintiffs in </w:t>
      </w:r>
      <w:r>
        <w:rPr>
          <w:rFonts w:ascii="Times New Roman;serif" w:hAnsi="Times New Roman;serif"/>
          <w:b w:val="false"/>
          <w:i/>
          <w:color w:val="000000"/>
          <w:sz w:val="20"/>
        </w:rPr>
        <w:t>Bishop v. Scarlett, et al.</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Willis v. Scarlett, et al</w:t>
      </w:r>
      <w:r>
        <w:rPr>
          <w:rFonts w:ascii="Times New Roman;serif" w:hAnsi="Times New Roman;serif"/>
          <w:b w:val="false"/>
          <w:color w:val="000000"/>
          <w:sz w:val="20"/>
        </w:rPr>
        <w:t xml:space="preserve">. also seek punitive damages. On May 16, 2025, the Court consolidated the three derivative complaints into one consolidated action captioned </w:t>
      </w:r>
      <w:r>
        <w:rPr>
          <w:rFonts w:ascii="Times New Roman;serif" w:hAnsi="Times New Roman;serif"/>
          <w:b w:val="false"/>
          <w:i/>
          <w:color w:val="000000"/>
          <w:sz w:val="20"/>
        </w:rPr>
        <w:t>In re Geron Corporation Derivative Litigation</w:t>
      </w:r>
      <w:r>
        <w:rPr>
          <w:rFonts w:ascii="Times New Roman;serif" w:hAnsi="Times New Roman;serif"/>
          <w:b w:val="false"/>
          <w:color w:val="000000"/>
          <w:sz w:val="20"/>
        </w:rPr>
        <w:t>, or the Consolidated Derivative Action. On June 17, 2025, the Court stayed the Consolidated Derivative Action pending a final ruling on the anticipated motion to dismiss in the Securities Class Action.</w:t>
      </w:r>
    </w:p>
    <w:p>
      <w:pPr>
        <w:pStyle w:val="TextBody"/>
        <w:bidi w:val="0"/>
        <w:spacing w:before="0" w:after="240"/>
        <w:ind w:left="0" w:right="0" w:firstLine="129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also been subject to securities class action lawsuits in the past. In 2020, three securities class action lawsuits were filed against us and certain of our officers. One of the lawsuits was voluntarily dismissed, and we settled the other two lawsuits and a final judgment was entered in October 2023. In 2020 and 2021, seven shareholder derivative actions were filed in a number of courts, naming as defendants certain of our then current officers and certain of our then current and former members of our board. All seven of the shareholder derivative actions were dismissed with prejudice.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additional lawsuits might be filed, or allegations might be received from stockholders, with respect to these same matters as alleged in the pending lawsuits or other matters and also naming us and/or our officers and directors as defendants. Such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the defense of the pending lawsuits and any related or additional lawsuits, and we may not prevail. Monitoring, initiating and defending against legal actions is also time-consuming for our management, is likely to be expensive and may detract from our ability to fully focus our internal resources on our business activities. Given the early stage of these lawsuits and the inherent uncertainly of litigation, we cannot predict how long it may take to resolve the pending lawsuits or the amount of costs we may incur, or the potential outcome or the possible amount of any damages we may be required to pay. A decision adverse to our interests in the pending lawsuits or in similar or related litigation, could result in the payment of substantial damages or settlements, or possibly fines, and, although we maintain liability insurance, we may not be successful in having any such lawsuits dismissed or settled within the limits of our insurance coverage. If any judgement or settlement against us and costs or expenses associated with the pending litigation exceed our insurance coverage or insurance coverage is denied, we may be forced to bear some or all of these costs and expenses directly, which could be substantial and could have a material adverse effect on our business, our stock price, cash flow, results of operations and financial condition.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may be subject to third-party litigation, and such litigation would be costly to defend or pursue and uncertain in its outcome.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may bring us into conflict with our licensees, licensors, or others with whom we have contractual or other business relationships, or with our competitors or others whose interests differ from ours. Our commercialization of RYTELO may result in product or personal injury disputes, or other disputes with health care providers, patients or other third parties as a result of our commercialization efforts. We may experience employment-related disputes. We may become involved in performance or other disputes with the CROs we have retained to support our clinical development activities, or with other third parties such as service providers, vendors, manufacturers, suppliers or consultants. If we are unable to resolve those conflicts on terms that are satisfactory to all parties, we may become involved in litigation brought by or against us.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INFORMATION TECHNOLOGY SYSTEMS, DATA SECURITY AND DATA PRIVACY</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If our information technology systems or data, or those of third parties with whom we work,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our business, we (and third parties with whom we work) collect, receive, store, use, transfer, make accessible, protect, secure, dispose of, transmit, disclose, or otherwise process (commonly known as processing)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including disaster recovery and business continuity procedures, over the information technology systems they provide us to operate our critical business systems, including cloud-based infrastructure and systems, employee email, and data storage and management systems. However, except for contractual duties and obligations, we have limited ability to control or monitor third parties’ safeguards and actions related to such matters, and these third parties may not have adequate information security measures in place.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of loss or theft of company devices as well as increased risks to our information technology systems and data, as employees utilize network connections, computers, and devices outside our premises and networks, including working at home and while in transit and in public locations. Additionally, the prevalent use of mobile devices that access our sensitive information increases the risk of security incidents.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technology systems, including in our remote work environment, and those of the third parties with whom we work, have been in the past and may continue to be vulnerable to evolving threats. These threats are prevalent, continue to increase, and come from a variety of sources such as traditional “hackers,” threat actors, “hacktivist,” organized criminal threats actors, or internal bad actors, personnel (such as through theft, error or misuse), sophisticated nation states and nation-state-supported actors. These threats include, but are not limited to, social-engineering attacks, targeted phishing campaigns,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sensitive data and income, reputational harm, and diversion of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pPr>
      <w:r>
        <w:rPr>
          <w:rFonts w:ascii="Times New Roman;serif" w:hAnsi="Times New Roman;serif"/>
          <w:b w:val="false"/>
          <w:color w:val="000000"/>
          <w:sz w:val="20"/>
        </w:rPr>
        <w:t>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or the third-party information technology systems that support us and the services provided to us, or remediate and recover compromised systems in a timely manner. For example, in February 2024, one of our service providers that processes clinical trial data experienced a security incident that resulted in certain of the service provider’s information systems being unavailable for a limited period of t</w:t>
      </w:r>
      <w:r>
        <w:rPr>
          <w:rFonts w:ascii="Times New Roman;serif" w:hAnsi="Times New Roman;serif"/>
          <w:b w:val="false"/>
          <w:color w:val="000000"/>
          <w:sz w:val="20"/>
          <w:shd w:fill="FFFFFF" w:val="clear"/>
        </w:rPr>
        <w:t>ime. Based on the service provider’s forensic investigation findings that were shared with us, we believe that this incident did not have a material impact on us, our clinical trials or clinical trial participants.</w:t>
      </w:r>
      <w:r>
        <w:rPr>
          <w:color w:val="000000"/>
        </w:rPr>
        <w:t xml:space="preserve"> </w:t>
      </w:r>
      <w:r>
        <w:rPr>
          <w:rFonts w:ascii="Times New Roman;serif" w:hAnsi="Times New Roman;serif"/>
          <w:b w:val="false"/>
          <w:color w:val="000000"/>
          <w:sz w:val="20"/>
        </w:rPr>
        <w:t>As another example, in March 2024, we learned about another security incident, involving another service provider, that processes personnel dat</w:t>
      </w:r>
      <w:r>
        <w:rPr>
          <w:rFonts w:ascii="Times New Roman;serif" w:hAnsi="Times New Roman;serif"/>
          <w:b w:val="false"/>
          <w:color w:val="000000"/>
          <w:sz w:val="20"/>
          <w:shd w:fill="FFFFFF" w:val="clear"/>
        </w:rPr>
        <w:t xml:space="preserve">a for our limited number of UK personnel and directors of Geron UK Ltd. Following the service provider’s forensic investigation, the service provider informed us that it did not determine the specific data involved or the incident’s impact. While we believe that this incident did not have a material impact on us, out of an abundance of caution, we submitted a notification to the UK Information Commissioner’s Office and notified potentially affected personnel and directors of the incident.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or similar incidents or threats may result in unauthorized, unlawful or accidental loss, corruption, access, modification, destruction, alteration, acquisition or disclosure of sensitive information, such as clinical trial data or information, intellectual property, proprietary business data and personal data. The costs to us to attempt to protect against such security incidents could be significant, including potentially requiring us to modify our business, and while we have implemented security measures, policies and procedures designed to protect our information technology systems from cybersecurity threats and to identify and remediate vulnerabilities, such measures may not be fully implemented, complied with or successful in protecting our systems and information. We may expend significant resources or modify our business activities (including our clinical trial activities) to try to protect against security incidents. We may be unable in the future to detect cybersecurity threats or vulnerabilities in our information technology systems because such threats and techniques change frequently, are sophisticated in nature, and may not be detected until after a security incident has occurred.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Unremediated high risk or critical vulnerabilities pose material risks to our business, particularly due to the reliance on software vendors to adequately patch and implement fixes to address critical or high-risk vulnerabilities in a timely manner. Further, we may be materially impacted by software updates applied by our software vendors if such updates cause significant downtime to our systems.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If we or third parties with whom we work experience or are perceived to have experienced a breach, we may experience material adverse consequences. These consequences may include: government enforcement actions (for example, investigations, fines, penalties, audits, and inspections), interruptions in our operations, including disruption of our commercialization and development efforts,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 notification of the breach, or we may choose to voluntarily notify relevant stakeholders, or take other actions, such as providing credit monitoring and identity theft protection services, and we have done so in the past. Such disclosures are costly, and the disclosure or the failure to comply with such requirements could lead to adverse consequences.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accounting controls related to data security breaches and cybersecurity in general could impact our ability to produce timely and accurate financial statements and could subject us to regulatory scrutiny.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and third parties with whom we work are subject to stringent and changing U.S. and foreign laws, regulations,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or conflict among jurisdictions.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Outside the U.S., an increasing number of laws, regulations, and industry standards apply to data privacy and security. For example, the European Union’s General Data Protection Regulation, or the EU GDPR, and the United Kingdom’s GDPR, or the UK GDPR (collectively, the “GDPR”), impose strict requirements on the processing of personal data.</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under GDPR, government regulators may impose temporary or definitive bans on data processing,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be unable to transfer personal data from the EEA, the UK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and some EEA regulators have prevented companies from transferring personal data out of the EEA for allegedly violating the EU GDPR’s cross-border data transfer limitations.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Likewise, we expect that there will continue to be new proposed laws, regulations and industry standards relating to data privacy and security in the U.S. For example, HIPAA, as amended by HITECH, imposes specific 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data of business representatives and employees. Other states have also enacted data privacy and security laws. For example, Virginia passed the 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are contractually subject to industry standards adopted by industry groups and we are, and may become in the future, subject to such obligations. We are also bound by other contractual obligations related to data privacy and security, and our efforts to comply with such obligations may not be successful. We may publish privacy policies, marketing materials, white papers, and other statements, such as statements relating to compliance with certain certifications or self-regulatory principles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It is possible that, in the future, we may fail or be perceived to have failed to comply with applicable data privacy and security obligations. Moreover, despite our best compliance efforts, we may not be successful in achieving compliance if our personnel or third parties with whom we work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interruptions or stoppages in our business operations including, as relevant, clinical trials; inability to process personal data or to operate in certain jurisdictions; limited ability to continue to develop or commercialize RYTELO; expenditure of time and resources to defend any claim or inquiry; adverse publicity; or revision or restructuring of our operations. Moreover, clinical trial participants or research subjects about whom we or our vendors obtain information, as well as the providers who share this information with us, may contractually limit our ability to use and disclose the information.</w:t>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OUR COMMON STOCK AND FINANCIAL REPORTING</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Historically, our stock price has been extremely volatile and your investment may suffer a decline in value.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Historically, our stock price has been extremely volatile. Between July 1, 2015 and June 30, 2025, our stock has traded as high as $6.38 per share and as low as $0.89 per share. Between July 1, 2024 and June 30, 2025, the price has ranged between a high of $5.06 per share and a low of $1.17 per share. The significant market price fluctuations of our common stock have been due to and may in the future be influenced by a variety of factors, including: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level of RYTELO sales;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announcements regarding regulatory approval or non-approval of RYTELO in any other jurisdictions or indications, or specific label indications for RYTELO; or restrictions, warnings or limitations in its use;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announcements regarding the further research and development of RYTELO, or adverse efficacy or safety results of, further delays in the commencement, enrollment or conduct of, discontinuation of, or further modifications or refinements to any current or potential future clinical trials, for any reason, or our inability, for any reason, to successfully continue the development of RYTELO;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ability to obtain additional capital, if and when needed, to further advance our development program;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changes in laws or regulations applicable to RYTELO, including laws or regulations concerning the commercialization of RYTELO or clinical trial requirements for approval or other regulatory developments related to RYTELO;</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announcements of technological innovations, new commercial products, or clinical progress or lack thereof by us, potential future collaborative partners or our competitors;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adverse developments concerning our manufacturers, including our inability to obtain adequate product supply for RYTELO or inability to do so at acceptable prices;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size and growth of the market opportunity for RYTELO in its currently approved and any potential future approved indications;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disputes or other developments relating to RYTELO proprietary rights, including patents, litigation matters and our ability to obtain, enforce and defend patent protection and maintain regulatory exclusivity for RYTELO and our technologies;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terms and timing of any future collaboration agreements for the further development and commercialization of RYTELO that we may establish;</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announcements of significant acquisitions, strategic partnerships, collaborations, joint ventures or capital commitments by us or our competitors;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demand in the market for our common stock;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increased or continuing operating losses;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general domestic and international market conditions or market conditions relating to the biopharmaceutical and pharmaceutical industries, especially given the volatility caused by macroeconomic or other global conditions, such as inflation, fluctuations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perceptions of the biotechnology and pharmaceutical industry by the public, legislature, regulators and the investment community;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our failure to meet the estimates and projections of the investment community or that we may otherwise provide to the public;</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publication of commentary, articles or research reports about us or our industry, or positive or negative recommendations or withdrawal of research coverage, by securities analysts, bloggers, news media or other third parties;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large stockholders increasing or exiting their position in our common stock or an increase in the short interest in our common stock;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sales of stock by our officers and directors;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announcements of or developments concerning pending and potential future litigation;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actions instituted by activist shareholders or others;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 xml:space="preserve">the issuance of common stock to partners, vendors or investors to raise additional capital or as a result of option or warrant exercises;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other events or factors that are beyond our control;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occurrence of any other risks and uncertainties discussed under the heading “Risk Factors.”</w:t>
      </w:r>
    </w:p>
    <w:p>
      <w:pPr>
        <w:pStyle w:val="TextBody"/>
        <w:bidi w:val="0"/>
        <w:spacing w:lineRule="auto" w:line="288" w:before="0" w:after="240"/>
        <w:ind w:left="0" w:right="0" w:firstLine="1296"/>
        <w:jc w:val="left"/>
        <w:rPr/>
      </w:pPr>
      <w:r>
        <w:rPr>
          <w:rFonts w:ascii="Times New Roman;serif" w:hAnsi="Times New Roman;serif"/>
          <w:b w:val="false"/>
          <w:color w:val="000000"/>
          <w:sz w:val="20"/>
        </w:rPr>
        <w:t>In addition, as further discussed in the Risk Factor above titled “</w:t>
      </w:r>
      <w:r>
        <w:rPr>
          <w:rFonts w:ascii="Times New Roman;serif" w:hAnsi="Times New Roman;serif"/>
          <w:b w:val="false"/>
          <w:i/>
          <w:color w:val="000000"/>
          <w:sz w:val="20"/>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r>
        <w:rPr>
          <w:rFonts w:ascii="Times New Roman;serif" w:hAnsi="Times New Roman;serif"/>
          <w:b w:val="false"/>
          <w:color w:val="000000"/>
          <w:sz w:val="20"/>
        </w:rPr>
        <w:t>,” we and certain of our current and former officers and directors have been named as defendants in securities class action and derivative lawsuits. Such lawsuits have often been instituted against companies, including us, whose securities have experienced periods of volatility in market price. The pending lawsuits and any lawsuits brought against us in the future could result in substantial costs and divert our management’s attention and resources, which could have a material adverse effect on our financial condition and business operations and lead to increased volatility in our stock price and a decrease in the value of our stockholders’ investment in our securities.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failure to maintain compliance with the continued listing requirements of the Nasdaq Global Select Market may result in our common stock being delisted from the Nasdaq Global Select Market, which could negatively impact the price of our common stock, liquidity, our ability to access the capital markets and our stockholders’ ability to sell their shares.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currently listed on the Nasdaq Global Select Market, or Nasdaq, under the symbol “GERN.” The listing standards of Nasdaq provide that a company, in order to qualify for continued listing, must maintain a minimum stock price of $1.00 and satisfy standards relative to minimum stockholders’ equity, minimum market value of publicly held shares and various additional requirements. Historically, our stock price has been extremely volatile and recently, our stock has traded as low as 1.09 per share through August 1, 2025. While our common stock is currently listed on Nasdaq, we can give no assurance that we will be able to maintain compliance with the continued listing requirements for Nasdaq. If we fail to maintain compliance with any such continued listing requirement, there can also be no assurance that we will be able to regain compliance with any such continued listing requirement in the future or that our common stock will not be delisted in the future. If Nasdaq delists our securities from trading on its exchange for failure to meet the listing standards, we and our stockholders could face significant negative consequences including: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limited availability of market quotations for our securities;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pStyle w:val="TextBody"/>
        <w:bidi w:val="0"/>
        <w:spacing w:lineRule="auto" w:line="288" w:before="0" w:after="240"/>
        <w:ind w:left="0" w:right="0" w:hanging="360"/>
        <w:jc w:val="left"/>
        <w:rPr/>
      </w:pPr>
      <w:r>
        <w:rPr>
          <w:color w:val="000000"/>
        </w:rPr>
        <w:t xml:space="preserve">• </w:t>
      </w:r>
      <w:r>
        <w:rPr>
          <w:rFonts w:ascii="Times New Roman;serif" w:hAnsi="Times New Roman;serif"/>
          <w:b w:val="false"/>
          <w:color w:val="000000"/>
          <w:sz w:val="20"/>
        </w:rPr>
        <w:t>a limited amount of analyst coverage, if any; and</w:t>
      </w:r>
    </w:p>
    <w:p>
      <w:pPr>
        <w:pStyle w:val="TextBody"/>
        <w:bidi w:val="0"/>
        <w:spacing w:lineRule="auto" w:line="288" w:before="0" w:after="240"/>
        <w:ind w:left="0" w:right="0" w:hanging="360"/>
        <w:jc w:val="left"/>
        <w:rPr/>
      </w:pPr>
      <w:r>
        <w:rPr>
          <w:color w:val="000000"/>
        </w:rPr>
        <w:t xml:space="preserve">• </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Delisting from Nasdaq could also result in other negative consequences, including the potential loss of confidence by suppliers, customers and employees, the loss of institutional investor interest and fewer business development opportunities.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Provisions of our charter documents and bylaws may make it substantially more difficult for a third party to acquire control of us and may prevent changes in our management, including provisions that: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prevent stockholders from taking actions by written consent;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divide the board of directors into separate classes with terms of office that are structured to prevent all of the directors from being elected in any one year;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set forth procedures for nominating directors and submitting proposals for consideration at stockholders’ meetings.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derivative claim or cause of action or proceeding brought on our behalf;</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claim or cause of action for breach of a fiduciary duty owed by any of our current or former directors, officers or other employees, or our stockholders, to us or to our stockholders;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claim or cause of action seeking to interpret, apply, enforce or determine the validity of our certificate of incorporation or bylaws;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claim or cause of action as to which the General Corporation Law of the State of Delaware confers jurisdiction on the Court of Chancery of the State of Delaware; or</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any claim or cause of action against us or any of our current or former directors, officers or other employees, or our stockholders, governed by the internal affairs doctrine or otherwise related to our internal affairs.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do not intend to pay cash dividends on our common stock in the foreseeable future.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Pharmakon Loan Agreement restrict our ability to pay dividends and any future debt agreements may continue to or further restrict our ability to pay dividends. As a result, capital appreciation, if any, of our common stock will be the sole source of gain for our stockholders for the foreseeable future.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employees, independent contractors, principal investigators, clinical trial sites, CROs, consultants or vendors may engage in misconduct or other improper activities, including noncompliance with regulatory standards and requirements.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the imposition of civil, criminal and administrative penalties, damages and monetary fines;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possible exclusion from participation in Medicare, Medicaid and other federal healthcare programs;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contractual damages;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reputational harm;</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diminished potential profits and future earnings;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curtailment of our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Our business could be negatively impacted by environmental, social and corporate governance, or ESG, matters or our reporting of such matters.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There is an increasing focus from certain investors, employees, partners, and other stakeholders concerning ESG matters. We may be, or be perceived to be, not acting responsibly in connection with these matters, which could negatively impact us. For example, we currently do not report our environmental emissions and absent a legal requirement to do so we currently do not plan to report our environmental emissions, and lack of reporting could result in certain investors declining to invest in our common stock.</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Furthermore, the criteria by which our ESG practices, including our initiatives and public goals, are assessed may change due to the evolution of the sustainability landscape, which could result in greater expectations of us and may cause us to undertake costly initiatives to satisfy new criteria. If we are unable to respond effectively to these changes to the sustainability landscape, governments, customers, and investors may conclude that our policies and/or actions with respect to ESG matters are inadequate. If we fail or are perceived to have failed to achieve previously announced public goals or to accurately disclose our progress on such goals or initiatives, our reputation, business, financial condition and results of operations could be adversely impacted.</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Failure to maintain effective internal controls in accordance with Section 404 of the Sarbanes-Oxley Act of 2002 could have a material adverse effect on our business and stock price.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requirements of Section 404 are ongoing and also apply to future years. We expect that our internal control over financial reporting will continue to evolve as our business develops, including in connection with our commercialization of RYTELO. Although we are committed to continue to improve our internal control processes and we will continue to diligently and vigorously review our internal control over financial reporting in order to ensure compliance with Section 404 requirements, any control system, regardless of how well designed, operated and evaluated, can provide only reasonable, not absolute, assurance that its objectives will be met. Moreover, in 2024 we implemented a new ERP and other information systems to help us manage our operations and financial reporting. However, any failure of the ERP system that we implemented in 2024 to operate as intended could negatively impact the effectiveness of our internal control over financial reporting. Therefore, we cannot assure you that material weaknesses or significant deficiencies will not exist or otherwise be discovered in the future, particularly in light of our increased reliance on personnel working remotely. If material weaknesses or other significant deficiencies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For example, the Inflation Reduction Act of 2022 included provisions that impacted the U.S. federal income taxation of corporations, including imposing a minimum tax on the book income of certain large corporations and an excise tax on certain corporate stock repurchases that is imposed on the corporation repurchasing such stock. .In addition, the U.S. government recently enacted legislation commonly referred to as the One Big Beautiful Bill Act, that (along with other recent U.S. federal tax reform) has resulted in significant changes to the taxation of business entities including,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24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corporate tax rates, the realization of net deferred tax assets relating to our U.S. operations, the taxation of earnings from other countries, and the deductibility of expenses or future tax reform legislation could have a material impact on the value of our deferred tax assets, could result in significant one-time charges in the current or future taxable years, and could increase our future U.S. tax expense. </w:t>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before="0" w:after="0"/>
        <w:ind w:left="0" w:right="0" w:firstLine="1296"/>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net operating loss carryforwards attributable to tax years beginning before January 1, 2018 could expire unused and be unavailable to offset future income tax liabilities. In addition, federal net operating losses incurred in taxable years beginning after December 31, 2017, can be carried forward indefinitely, but the deductibility of such federal net operating losses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have occurred in the past, and future ownership changes, some of which may be outside our control, could occur in the future, as a result of shifts in our stock ownership.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For example, in June 2024, California enacted legislation that, with certain exceptions, suspends the use of California net operating losses to offset California income and limits the use of California business tax credits to offset California taxes, for taxable years beginning after 2023 and before 2027.</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jc w:val="left"/>
        <w:rPr/>
      </w:pPr>
      <w:r>
        <w:rPr>
          <w:rFonts w:ascii="Times New Roman;serif" w:hAnsi="Times New Roman;serif"/>
          <w:b w:val="false"/>
          <w:i/>
          <w:color w:val="000000"/>
          <w:sz w:val="20"/>
          <w:u w:val="single"/>
        </w:rPr>
        <w:t>Trading Arrangements</w:t>
      </w:r>
      <w:r>
        <w:rPr>
          <w:color w:val="000000"/>
        </w:rPr>
        <w:t xml:space="preserv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During the quarterly period covered by this report, the following directors and officers (as defined in Rule 16a-1(f) under the Exchange Act) adopted or terminated a "Rule 10b5-1 trading arrangement" or a "non-Rule 10b5-1 trading arrangement" (as such terms are defined in Item 408 of Regulation S-K) as set forth in the table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461"/>
        <w:gridCol w:w="293"/>
        <w:gridCol w:w="295"/>
        <w:gridCol w:w="380"/>
        <w:gridCol w:w="264"/>
        <w:gridCol w:w="265"/>
        <w:gridCol w:w="269"/>
        <w:gridCol w:w="269"/>
        <w:gridCol w:w="270"/>
        <w:gridCol w:w="278"/>
        <w:gridCol w:w="278"/>
        <w:gridCol w:w="278"/>
        <w:gridCol w:w="504"/>
        <w:gridCol w:w="291"/>
        <w:gridCol w:w="297"/>
        <w:gridCol w:w="540"/>
        <w:gridCol w:w="540"/>
        <w:gridCol w:w="541"/>
        <w:gridCol w:w="469"/>
        <w:gridCol w:w="469"/>
        <w:gridCol w:w="470"/>
        <w:gridCol w:w="724"/>
        <w:gridCol w:w="724"/>
        <w:gridCol w:w="1036"/>
      </w:tblGrid>
      <w:tr>
        <w:trPr/>
        <w:tc>
          <w:tcPr>
            <w:tcW w:w="46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04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Character of Trading Arrangement</w:t>
            </w:r>
          </w:p>
        </w:tc>
        <w:tc>
          <w:tcPr>
            <w:tcW w:w="16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tcBorders>
              <w:top w:val="single" w:sz="8" w:space="0" w:color="000000"/>
              <w:right w:val="single" w:sz="8"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104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and Title</w:t>
            </w:r>
          </w:p>
        </w:tc>
        <w:tc>
          <w:tcPr>
            <w:tcW w:w="9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Action Taken</w:t>
            </w:r>
          </w:p>
        </w:tc>
        <w:tc>
          <w:tcPr>
            <w:tcW w:w="8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Date of Action</w:t>
            </w:r>
          </w:p>
        </w:tc>
        <w:tc>
          <w:tcPr>
            <w:tcW w:w="8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Rule 10b5-1*</w:t>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Non-Rule 10b5-1**</w:t>
            </w:r>
          </w:p>
        </w:tc>
        <w:tc>
          <w:tcPr>
            <w:tcW w:w="16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Nature of Trading Arrangement </w:t>
            </w:r>
          </w:p>
        </w:tc>
        <w:tc>
          <w:tcPr>
            <w:tcW w:w="14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Aggregate Number of Securities</w:t>
            </w:r>
          </w:p>
        </w:tc>
        <w:tc>
          <w:tcPr>
            <w:tcW w:w="2484"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r>
      <w:tr>
        <w:trPr/>
        <w:tc>
          <w:tcPr>
            <w:tcW w:w="10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 Bryan Lawlis, Ph.D.</w:t>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Adopted</w:t>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May 15, 2025</w:t>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0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Sale</w:t>
            </w:r>
          </w:p>
        </w:tc>
        <w:tc>
          <w:tcPr>
            <w:tcW w:w="14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r>
              <w:rPr>
                <w:rFonts w:ascii="Times New Roman;serif" w:hAnsi="Times New Roman;serif"/>
                <w:b w:val="false"/>
                <w:color w:val="000000"/>
                <w:sz w:val="20"/>
              </w:rPr>
              <w:t>406,000</w:t>
            </w:r>
            <w:r>
              <w:rPr>
                <w:color w:val="000000"/>
              </w:rPr>
              <w:t xml:space="preserve"> </w:t>
            </w:r>
            <w:r>
              <w:rPr>
                <w:rFonts w:ascii="Times New Roman;serif" w:hAnsi="Times New Roman;serif"/>
                <w:b w:val="false"/>
                <w:color w:val="000000"/>
                <w:sz w:val="13"/>
              </w:rPr>
              <w:t>1</w:t>
            </w:r>
          </w:p>
        </w:tc>
        <w:tc>
          <w:tcPr>
            <w:tcW w:w="2484" w:type="dxa"/>
            <w:gridSpan w:val="3"/>
            <w:vMerge w:val="restart"/>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15, 2025−</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May 15, 2026, or such earlier date on which all shares under the plan are sold.</w:t>
            </w:r>
          </w:p>
        </w:tc>
      </w:tr>
      <w:tr>
        <w:trPr/>
        <w:tc>
          <w:tcPr>
            <w:tcW w:w="1049" w:type="dxa"/>
            <w:gridSpan w:val="3"/>
            <w:tcBorders>
              <w:left w:val="single" w:sz="8" w:space="0" w:color="000000"/>
            </w:tcBorders>
            <w:tcMar>
              <w:top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90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3"/>
            <w:vMerge w:val="continue"/>
            <w:tcBorders>
              <w:top w:val="single" w:sz="8" w:space="0" w:color="000000"/>
              <w:bottom w:val="single" w:sz="8" w:space="0" w:color="000000"/>
              <w:right w:val="single" w:sz="8" w:space="0" w:color="000000"/>
            </w:tcBorders>
            <w:tcMar>
              <w:top w:w="30" w:type="dxa"/>
              <w:left w:w="0" w:type="dxa"/>
              <w:bottom w:w="30" w:type="dxa"/>
            </w:tcMar>
            <w:vAlign w:val="center"/>
          </w:tcPr>
          <w:p>
            <w:pPr>
              <w:pStyle w:val="Normal"/>
              <w:bidi w:val="0"/>
              <w:jc w:val="left"/>
              <w:rPr/>
            </w:pPr>
            <w:r>
              <w:rPr/>
            </w:r>
          </w:p>
        </w:tc>
      </w:tr>
      <w:tr>
        <w:trPr/>
        <w:tc>
          <w:tcPr>
            <w:tcW w:w="10205" w:type="dxa"/>
            <w:gridSpan w:val="24"/>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0"/>
              <w:ind w:left="0" w:right="0" w:hanging="144"/>
              <w:jc w:val="left"/>
              <w:rPr>
                <w:rFonts w:ascii="Times New Roman;serif" w:hAnsi="Times New Roman;serif"/>
                <w:b w:val="false"/>
                <w:color w:val="000000"/>
                <w:sz w:val="20"/>
              </w:rPr>
            </w:pPr>
            <w:r>
              <w:rPr>
                <w:rFonts w:ascii="Times New Roman;serif" w:hAnsi="Times New Roman;serif"/>
                <w:b w:val="false"/>
                <w:color w:val="000000"/>
                <w:sz w:val="20"/>
              </w:rPr>
              <w:t>*Contract, instruction or written plan intended to satisfy the affirmative defense conditions of Rule 10b5-1(c) under the Exchange Act.</w:t>
            </w:r>
          </w:p>
        </w:tc>
      </w:tr>
      <w:tr>
        <w:trPr/>
        <w:tc>
          <w:tcPr>
            <w:tcW w:w="10205" w:type="dxa"/>
            <w:gridSpan w:val="24"/>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88" w:before="0" w:after="0"/>
              <w:ind w:left="0" w:right="0" w:hanging="231"/>
              <w:jc w:val="left"/>
              <w:rPr>
                <w:rFonts w:ascii="Times New Roman;serif" w:hAnsi="Times New Roman;serif"/>
                <w:b w:val="false"/>
                <w:color w:val="000000"/>
                <w:sz w:val="20"/>
              </w:rPr>
            </w:pPr>
            <w:r>
              <w:rPr>
                <w:rFonts w:ascii="Times New Roman;serif" w:hAnsi="Times New Roman;serif"/>
                <w:b w:val="false"/>
                <w:color w:val="000000"/>
                <w:sz w:val="20"/>
              </w:rPr>
              <w:t>**"Non-Rule 10b5-1 trading arrangement" as defined in Item 408(c) of Regulation S-K under the Exchange Act.</w:t>
            </w:r>
          </w:p>
        </w:tc>
      </w:tr>
    </w:tbl>
    <w:p>
      <w:pPr>
        <w:pStyle w:val="TextBody"/>
        <w:bidi w:val="0"/>
        <w:spacing w:lineRule="auto" w:line="288" w:before="0" w:after="120"/>
        <w:ind w:left="0" w:right="0" w:hanging="115"/>
        <w:jc w:val="left"/>
        <w:rPr/>
      </w:pPr>
      <w:r>
        <w:rPr>
          <w:rFonts w:ascii="Times New Roman;serif" w:hAnsi="Times New Roman;serif"/>
          <w:b w:val="false"/>
          <w:color w:val="000000"/>
          <w:sz w:val="13"/>
        </w:rPr>
        <w:t>1</w:t>
      </w:r>
      <w:r>
        <w:rPr>
          <w:rFonts w:ascii="Times New Roman;serif" w:hAnsi="Times New Roman;serif"/>
          <w:b w:val="false"/>
          <w:color w:val="000000"/>
          <w:sz w:val="20"/>
        </w:rPr>
        <w:t>Consists of 406,000 shares subject to stock options previously granted by Geron to Dr. Lawlis.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       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55"/>
        <w:gridCol w:w="225"/>
        <w:gridCol w:w="226"/>
        <w:gridCol w:w="2487"/>
        <w:gridCol w:w="2229"/>
        <w:gridCol w:w="2254"/>
        <w:gridCol w:w="230"/>
        <w:gridCol w:w="230"/>
        <w:gridCol w:w="231"/>
        <w:gridCol w:w="175"/>
        <w:gridCol w:w="175"/>
        <w:gridCol w:w="176"/>
        <w:gridCol w:w="197"/>
        <w:gridCol w:w="197"/>
        <w:gridCol w:w="198"/>
        <w:gridCol w:w="221"/>
        <w:gridCol w:w="221"/>
        <w:gridCol w:w="27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6970"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12"/>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6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5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r>
          </w:p>
        </w:tc>
        <w:tc>
          <w:tcPr>
            <w:tcW w:w="59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7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r>
      <w:tr>
        <w:trPr/>
        <w:tc>
          <w:tcPr>
            <w:tcW w:w="70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6970"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FF"/>
                  <w:sz w:val="20"/>
                  <w:u w:val="single"/>
                </w:rPr>
                <w:t>Geron Corporation 2018 Equity Incentive Plan, as amended.</w:t>
              </w:r>
            </w:hyperlink>
          </w:p>
        </w:tc>
        <w:tc>
          <w:tcPr>
            <w:tcW w:w="691"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52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92"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May 27, 2025</w:t>
            </w:r>
          </w:p>
        </w:tc>
        <w:tc>
          <w:tcPr>
            <w:tcW w:w="720" w:type="dxa"/>
            <w:gridSpan w:val="3"/>
            <w:tcBorders>
              <w:top w:val="single" w:sz="8"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000-20859</w:t>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6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Geron Corporation 2014 Employee Stock Purchase Plan, as amended.</w:t>
              </w:r>
            </w:hyperlink>
          </w:p>
        </w:tc>
        <w:tc>
          <w:tcPr>
            <w:tcW w:w="69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526"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592" w:type="dxa"/>
            <w:gridSpan w:val="3"/>
            <w:tcBorders>
              <w:top w:val="single" w:sz="8"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May 27, 2025</w:t>
            </w:r>
          </w:p>
        </w:tc>
        <w:tc>
          <w:tcPr>
            <w:tcW w:w="72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000-20859 </w:t>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31.1+</w:t>
            </w:r>
          </w:p>
        </w:tc>
        <w:tc>
          <w:tcPr>
            <w:tcW w:w="6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630xexx3111.htm">
              <w:r>
                <w:rPr>
                  <w:rStyle w:val="InternetLink"/>
                  <w:rFonts w:ascii="Times New Roman;serif" w:hAnsi="Times New Roman;serif"/>
                  <w:b w:val="false"/>
                  <w:color w:val="0000FF"/>
                  <w:sz w:val="20"/>
                  <w:u w:val="single"/>
                </w:rPr>
                <w:t>Certification of Chief Executive Officer pursuant to Form of Rule 13a</w:t>
                <w:noBreakHyphen/>
                <w:t>14(a), as adopted pursuant to Section 302(a) of the Sarbanes</w:t>
                <w:noBreakHyphen/>
                <w:t>Oxley Act of 2002, dated August 6, 2025.</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31.2+</w:t>
            </w:r>
          </w:p>
        </w:tc>
        <w:tc>
          <w:tcPr>
            <w:tcW w:w="6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630xexx3121.htm">
              <w:r>
                <w:rPr>
                  <w:rStyle w:val="InternetLink"/>
                  <w:rFonts w:ascii="Times New Roman;serif" w:hAnsi="Times New Roman;serif"/>
                  <w:b w:val="false"/>
                  <w:color w:val="0000FF"/>
                  <w:sz w:val="20"/>
                  <w:u w:val="single"/>
                </w:rPr>
                <w:t>Certification of Chief Financial Officer pursuant to Form of Rule 13a</w:t>
                <w:noBreakHyphen/>
                <w:t>14(a), as adopted pursuant to Section 302(a) of the Sarbanes</w:t>
                <w:noBreakHyphen/>
                <w:t>Oxley Act of 2002, dated August 6, 2025.</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32.1+</w:t>
            </w:r>
          </w:p>
        </w:tc>
        <w:tc>
          <w:tcPr>
            <w:tcW w:w="6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630xexx321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w:t>
                <w:noBreakHyphen/>
                <w:t>Oxley Act of 2002, dated August 6, 2025.**</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32.2+</w:t>
            </w:r>
          </w:p>
        </w:tc>
        <w:tc>
          <w:tcPr>
            <w:tcW w:w="6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pPr>
            <w:hyperlink w:anchor="gern-20250630xexx3221.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w:t>
                <w:noBreakHyphen/>
                <w:t>Oxley Act of 2002, dated August 6, 2025.**</w:t>
              </w:r>
            </w:hyperlink>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101</w:t>
            </w:r>
          </w:p>
        </w:tc>
        <w:tc>
          <w:tcPr>
            <w:tcW w:w="69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June 30, 2025 Quarterly Report on Form 10-Q for the quarter ended June 30, 2025 formatted in Inline Extensible Business Reporting Language (iXBRL) include: (i) Condensed Consolidated Balance Sheets as of June 30, 2025 and December 31, 2024, (ii) Condensed Consolidated Statements of Operations and Comprehensive Loss for the three and six months ended June 30, 2025 and 2024, (iii) Condensed Consolidated Statements of Stockholders’ Equity for the three and six months ended June 30, 2025 and 2024, (iv) Condensed Consolidated Statements of Cash Flows for the three and six months ended June 30, 2025 and 2024 and (v) Notes to Condensed Consolidated Financial Statements.</w:t>
            </w:r>
          </w:p>
        </w:tc>
        <w:tc>
          <w:tcPr>
            <w:tcW w:w="6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104</w:t>
            </w:r>
          </w:p>
        </w:tc>
        <w:tc>
          <w:tcPr>
            <w:tcW w:w="69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69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720"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compensation plan or arrangement.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**The certifications attached as Exhibits 32.1 and 32.2 that accompany this Report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10205" w:type="dxa"/>
        <w:jc w:val="left"/>
        <w:tblInd w:w="0" w:type="dxa"/>
        <w:tblLayout w:type="fixed"/>
        <w:tblCellMar>
          <w:top w:w="28" w:type="dxa"/>
          <w:left w:w="28" w:type="dxa"/>
          <w:bottom w:w="28" w:type="dxa"/>
          <w:right w:w="28" w:type="dxa"/>
        </w:tblCellMar>
      </w:tblPr>
      <w:tblGrid>
        <w:gridCol w:w="483"/>
        <w:gridCol w:w="425"/>
        <w:gridCol w:w="428"/>
        <w:gridCol w:w="302"/>
        <w:gridCol w:w="302"/>
        <w:gridCol w:w="302"/>
        <w:gridCol w:w="2321"/>
        <w:gridCol w:w="2321"/>
        <w:gridCol w:w="3321"/>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3321"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GERON CORPORATION</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9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ROBERTSON</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ROBERTSON</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Finance, Chief Financial Officer and Treasurer (Duly Authorized Officer and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302(A)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Dawn C. Bir, certify that: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Geron Corporation;</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211" w:type="dxa"/>
        <w:jc w:val="left"/>
        <w:tblInd w:w="0" w:type="dxa"/>
        <w:tblLayout w:type="fixed"/>
        <w:tblCellMar>
          <w:top w:w="28" w:type="dxa"/>
          <w:left w:w="28" w:type="dxa"/>
          <w:bottom w:w="28" w:type="dxa"/>
          <w:right w:w="28" w:type="dxa"/>
        </w:tblCellMar>
      </w:tblPr>
      <w:tblGrid>
        <w:gridCol w:w="1389"/>
        <w:gridCol w:w="1222"/>
        <w:gridCol w:w="1228"/>
        <w:gridCol w:w="109"/>
        <w:gridCol w:w="109"/>
        <w:gridCol w:w="154"/>
      </w:tblGrid>
      <w:tr>
        <w:trPr/>
        <w:tc>
          <w:tcPr>
            <w:tcW w:w="1389"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DAWN C. BIR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DAWN C. BIR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Interim 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302(A) OF THE SARBANES-OXLEY ACT OF 2002</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 Michelle Robertson, certify that:</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Geron Corporation;</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6492" w:type="dxa"/>
        <w:jc w:val="left"/>
        <w:tblInd w:w="0" w:type="dxa"/>
        <w:tblLayout w:type="fixed"/>
        <w:tblCellMar>
          <w:top w:w="28" w:type="dxa"/>
          <w:left w:w="28" w:type="dxa"/>
          <w:bottom w:w="28" w:type="dxa"/>
          <w:right w:w="28" w:type="dxa"/>
        </w:tblCellMar>
      </w:tblPr>
      <w:tblGrid>
        <w:gridCol w:w="2213"/>
        <w:gridCol w:w="1949"/>
        <w:gridCol w:w="1958"/>
        <w:gridCol w:w="109"/>
        <w:gridCol w:w="109"/>
        <w:gridCol w:w="154"/>
      </w:tblGrid>
      <w:tr>
        <w:trPr/>
        <w:tc>
          <w:tcPr>
            <w:tcW w:w="221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ROBERTSON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ROBERTSON</w:t>
            </w:r>
          </w:p>
        </w:tc>
        <w:tc>
          <w:tcPr>
            <w:tcW w:w="372"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Finance,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created by Section 906 of the Sarbanes-Oxley Act of 2002, the undersigned officer of Geron Corporation (the “Company”) hereby certifies, to such officer’s knowledge, that: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quarter ended June 30, 2025 (the “Report”) fully complies with the requirements of Section 13(a) or Section 15(d), as applicable, of the Securities Exchange Act of 1934, as amended;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Company. </w:t>
      </w:r>
    </w:p>
    <w:tbl>
      <w:tblPr>
        <w:tblW w:w="5819" w:type="dxa"/>
        <w:jc w:val="left"/>
        <w:tblInd w:w="0" w:type="dxa"/>
        <w:tblLayout w:type="fixed"/>
        <w:tblCellMar>
          <w:top w:w="28" w:type="dxa"/>
          <w:left w:w="28" w:type="dxa"/>
          <w:bottom w:w="28" w:type="dxa"/>
          <w:right w:w="28" w:type="dxa"/>
        </w:tblCellMar>
      </w:tblPr>
      <w:tblGrid>
        <w:gridCol w:w="705"/>
        <w:gridCol w:w="619"/>
        <w:gridCol w:w="625"/>
        <w:gridCol w:w="1126"/>
        <w:gridCol w:w="1126"/>
        <w:gridCol w:w="161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2025</w:t>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DAWN C. BIR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DAWN C. BIR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Interim President and Chief Executive Officer</w:t>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created by Section 906 of the Sarbanes-Oxley Act of 2002, the undersigned officer of Geron Corporation (the “Company”) hereby certifies, to such officer’s knowledge, that: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quarter ended June 30, 2025 (the “Report”) fully complies with the requirements of Section 13(a) or Section 15(d), as applicable, of the Securities Exchange Act of 1934, as amended;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Company. </w:t>
      </w:r>
    </w:p>
    <w:tbl>
      <w:tblPr>
        <w:tblW w:w="8099" w:type="dxa"/>
        <w:jc w:val="left"/>
        <w:tblInd w:w="0" w:type="dxa"/>
        <w:tblLayout w:type="fixed"/>
        <w:tblCellMar>
          <w:top w:w="28" w:type="dxa"/>
          <w:left w:w="28" w:type="dxa"/>
          <w:bottom w:w="28" w:type="dxa"/>
          <w:right w:w="28" w:type="dxa"/>
        </w:tblCellMar>
      </w:tblPr>
      <w:tblGrid>
        <w:gridCol w:w="705"/>
        <w:gridCol w:w="619"/>
        <w:gridCol w:w="625"/>
        <w:gridCol w:w="1798"/>
        <w:gridCol w:w="1798"/>
        <w:gridCol w:w="25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6, 2025</w:t>
            </w:r>
          </w:p>
        </w:tc>
        <w:tc>
          <w:tcPr>
            <w:tcW w:w="6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ROBERTSON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ROBERTSON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Finance, Chief Financial Officer and Treasurer</w:t>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6744/000088674425000032/exhibit101_geron2018equity.htm" TargetMode="External"/><Relationship Id="rId3" Type="http://schemas.openxmlformats.org/officeDocument/2006/relationships/hyperlink" Target="https://www.sec.gov/Archives/edgar/data/886744/000088674425000032/exhibit102_geron2014esppas.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58019</Words>
  <Characters>326486</Characters>
  <CharactersWithSpaces>382907</CharactersWithSpaces>
  <Paragraphs>2895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