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Spiegel Robert J.</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GERON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GERN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GERON CORPORATION</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919 EAST HILLSDALE BOULEVARD, SUITE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40" w:type="dxa"/>
            <w:vAlign w:val="bottom"/>
            <w:gridSpan w:val="3"/>
          </w:tcPr>
          <w:p>
            <w:pPr>
              <w:ind w:left="120"/>
              <w:spacing w:after="0" w:line="187" w:lineRule="exact"/>
              <w:rPr>
                <w:sz w:val="20"/>
                <w:szCs w:val="20"/>
                <w:color w:val="auto"/>
              </w:rPr>
            </w:pPr>
            <w:r>
              <w:rPr>
                <w:rFonts w:ascii="Times New Roman" w:cs="Times New Roman" w:eastAsia="Times New Roman" w:hAnsi="Times New Roman"/>
                <w:sz w:val="17"/>
                <w:szCs w:val="17"/>
                <w:color w:val="0000FF"/>
              </w:rPr>
              <w:t>250</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6,103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205,810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in lieu of cash compensation for quarterly board of directors' retainer and committee fees. Number of shares issued based on the closing price of the Issuer's common stock on June 30, 2026 of $1.28 per share.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 J.</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9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2256"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2026-07-01T16:46:50Z</dcterms:created>
  <dcterms:modified xsi:type="dcterms:W3CDTF">2026-07-01T16:46:50Z</dcterms:modified>
</cp:coreProperties>
</file>