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154305</wp:posOffset>
            </wp:positionV>
            <wp:extent cx="5584190" cy="7220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t>Table of Contents</w:t>
      </w: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7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6" w:lineRule="exact"/>
        <w:rPr>
          <w:sz w:val="24"/>
          <w:szCs w:val="24"/>
          <w:color w:val="auto"/>
        </w:rPr>
      </w:pPr>
    </w:p>
    <w:p>
      <w:pPr>
        <w:ind w:left="3380" w:right="2319" w:hanging="2421"/>
        <w:spacing w:after="0" w:line="333" w:lineRule="auto"/>
        <w:rPr>
          <w:sz w:val="20"/>
          <w:szCs w:val="20"/>
          <w:color w:val="auto"/>
        </w:rPr>
      </w:pPr>
      <w:r>
        <w:rPr>
          <w:rFonts w:ascii="Wingdings" w:cs="Wingdings" w:eastAsia="Wingdings" w:hAnsi="Wingdings"/>
          <w:sz w:val="11"/>
          <w:szCs w:val="11"/>
          <w:b w:val="1"/>
          <w:bCs w:val="1"/>
          <w:color w:val="auto"/>
          <w:highlight w:val="black"/>
        </w:rPr>
        <w:t xml:space="preserve">x </w:t>
      </w:r>
      <w:r>
        <w:rPr>
          <w:rFonts w:ascii="Times New Roman" w:cs="Times New Roman" w:eastAsia="Times New Roman" w:hAnsi="Times New Roman"/>
          <w:sz w:val="11"/>
          <w:szCs w:val="11"/>
          <w:b w:val="1"/>
          <w:bCs w:val="1"/>
          <w:color w:val="auto"/>
        </w:rPr>
        <w:t>ANNUAL REPORT PURSUANT TO SECTION 13 OR 15(d) OF THE SECURITIES EXCHANGE ACT OF 1934</w:t>
      </w:r>
      <w:r>
        <w:rPr>
          <w:rFonts w:ascii="Wingdings" w:cs="Wingdings" w:eastAsia="Wingdings" w:hAnsi="Wingdings"/>
          <w:sz w:val="11"/>
          <w:szCs w:val="11"/>
          <w:b w:val="1"/>
          <w:bCs w:val="1"/>
          <w:color w:val="auto"/>
          <w:highlight w:val="black"/>
        </w:rPr>
        <w:t xml:space="preserve"> </w:t>
      </w:r>
      <w:r>
        <w:rPr>
          <w:rFonts w:ascii="Times New Roman" w:cs="Times New Roman" w:eastAsia="Times New Roman" w:hAnsi="Times New Roman"/>
          <w:sz w:val="11"/>
          <w:szCs w:val="11"/>
          <w:b w:val="1"/>
          <w:bCs w:val="1"/>
          <w:color w:val="auto"/>
        </w:rPr>
        <w:t>For the Fiscal Year Ended December 31, 2025</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56" w:lineRule="exact"/>
        <w:rPr>
          <w:sz w:val="24"/>
          <w:szCs w:val="24"/>
          <w:color w:val="auto"/>
        </w:rPr>
      </w:pPr>
    </w:p>
    <w:p>
      <w:pPr>
        <w:jc w:val="center"/>
        <w:ind w:right="1139"/>
        <w:spacing w:after="0"/>
        <w:rPr>
          <w:sz w:val="20"/>
          <w:szCs w:val="20"/>
          <w:color w:val="auto"/>
        </w:rPr>
      </w:pPr>
      <w:r>
        <w:rPr>
          <w:rFonts w:ascii="Wingdings" w:cs="Wingdings" w:eastAsia="Wingdings" w:hAnsi="Wingdings"/>
          <w:sz w:val="11"/>
          <w:szCs w:val="11"/>
          <w:b w:val="1"/>
          <w:bCs w:val="1"/>
          <w:color w:val="auto"/>
          <w:highlight w:val="black"/>
        </w:rPr>
        <w:t xml:space="preserve">o </w:t>
      </w: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 to 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Commission File Number: 000-20859</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GERON CORPORATION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177" w:lineRule="exact"/>
        <w:rPr>
          <w:sz w:val="24"/>
          <w:szCs w:val="24"/>
          <w:color w:val="auto"/>
        </w:rPr>
      </w:pPr>
    </w:p>
    <w:p>
      <w:pPr>
        <w:ind w:left="2520"/>
        <w:spacing w:after="0"/>
        <w:tabs>
          <w:tab w:leader="none" w:pos="6000" w:val="left"/>
        </w:tabs>
        <w:rPr>
          <w:sz w:val="20"/>
          <w:szCs w:val="20"/>
          <w:color w:val="auto"/>
        </w:rPr>
      </w:pPr>
      <w:r>
        <w:rPr>
          <w:rFonts w:ascii="Times New Roman" w:cs="Times New Roman" w:eastAsia="Times New Roman" w:hAnsi="Times New Roman"/>
          <w:sz w:val="11"/>
          <w:szCs w:val="11"/>
          <w:b w:val="1"/>
          <w:bCs w:val="1"/>
          <w:color w:val="auto"/>
        </w:rPr>
        <w:t>Delaware</w:t>
      </w:r>
      <w:r>
        <w:rPr>
          <w:sz w:val="20"/>
          <w:szCs w:val="20"/>
          <w:color w:val="auto"/>
        </w:rPr>
        <w:tab/>
      </w:r>
      <w:r>
        <w:rPr>
          <w:rFonts w:ascii="Times New Roman" w:cs="Times New Roman" w:eastAsia="Times New Roman" w:hAnsi="Times New Roman"/>
          <w:sz w:val="11"/>
          <w:szCs w:val="11"/>
          <w:b w:val="1"/>
          <w:bCs w:val="1"/>
          <w:color w:val="auto"/>
        </w:rPr>
        <w:t>75-2287752</w:t>
      </w:r>
    </w:p>
    <w:p>
      <w:pPr>
        <w:spacing w:after="0" w:line="12" w:lineRule="exact"/>
        <w:rPr>
          <w:sz w:val="24"/>
          <w:szCs w:val="24"/>
          <w:color w:val="auto"/>
        </w:rPr>
      </w:pPr>
    </w:p>
    <w:p>
      <w:pPr>
        <w:ind w:left="1460"/>
        <w:spacing w:after="0"/>
        <w:tabs>
          <w:tab w:leader="none" w:pos="5480" w:val="left"/>
        </w:tabs>
        <w:rPr>
          <w:sz w:val="20"/>
          <w:szCs w:val="20"/>
          <w:color w:val="auto"/>
        </w:rPr>
      </w:pPr>
      <w:r>
        <w:rPr>
          <w:rFonts w:ascii="Times New Roman" w:cs="Times New Roman" w:eastAsia="Times New Roman" w:hAnsi="Times New Roman"/>
          <w:sz w:val="10"/>
          <w:szCs w:val="10"/>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0"/>
          <w:szCs w:val="10"/>
          <w:b w:val="1"/>
          <w:bCs w:val="1"/>
          <w:color w:val="auto"/>
        </w:rPr>
        <w:t>(I.R.S. Employer Identification No.)</w:t>
      </w:r>
    </w:p>
    <w:p>
      <w:pPr>
        <w:spacing w:after="0" w:line="36" w:lineRule="exact"/>
        <w:rPr>
          <w:sz w:val="24"/>
          <w:szCs w:val="24"/>
          <w:color w:val="auto"/>
        </w:rPr>
      </w:pPr>
    </w:p>
    <w:p>
      <w:pPr>
        <w:ind w:left="1580"/>
        <w:spacing w:after="0"/>
        <w:tabs>
          <w:tab w:leader="none" w:pos="6120" w:val="left"/>
        </w:tabs>
        <w:rPr>
          <w:sz w:val="20"/>
          <w:szCs w:val="20"/>
          <w:color w:val="auto"/>
        </w:rPr>
      </w:pPr>
      <w:r>
        <w:rPr>
          <w:rFonts w:ascii="Times New Roman" w:cs="Times New Roman" w:eastAsia="Times New Roman" w:hAnsi="Times New Roman"/>
          <w:sz w:val="11"/>
          <w:szCs w:val="11"/>
          <w:b w:val="1"/>
          <w:bCs w:val="1"/>
          <w:color w:val="auto"/>
        </w:rPr>
        <w:t>919 East Hillsdale Blvd., Suite 250, Foster City, CA</w:t>
      </w:r>
      <w:r>
        <w:rPr>
          <w:sz w:val="20"/>
          <w:szCs w:val="20"/>
          <w:color w:val="auto"/>
        </w:rPr>
        <w:tab/>
      </w:r>
      <w:r>
        <w:rPr>
          <w:rFonts w:ascii="Times New Roman" w:cs="Times New Roman" w:eastAsia="Times New Roman" w:hAnsi="Times New Roman"/>
          <w:sz w:val="11"/>
          <w:szCs w:val="11"/>
          <w:b w:val="1"/>
          <w:bCs w:val="1"/>
          <w:color w:val="auto"/>
        </w:rPr>
        <w:t>94404</w:t>
      </w:r>
    </w:p>
    <w:p>
      <w:pPr>
        <w:spacing w:after="0" w:line="12" w:lineRule="exact"/>
        <w:rPr>
          <w:sz w:val="24"/>
          <w:szCs w:val="24"/>
          <w:color w:val="auto"/>
        </w:rPr>
      </w:pPr>
    </w:p>
    <w:p>
      <w:pPr>
        <w:ind w:left="1920"/>
        <w:spacing w:after="0"/>
        <w:tabs>
          <w:tab w:leader="none" w:pos="602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( 650) 473-7700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45" w:lineRule="exact"/>
        <w:rPr>
          <w:sz w:val="24"/>
          <w:szCs w:val="24"/>
          <w:color w:val="auto"/>
        </w:rPr>
      </w:pPr>
    </w:p>
    <w:p>
      <w:pPr>
        <w:ind w:left="1980"/>
        <w:spacing w:after="0"/>
        <w:tabs>
          <w:tab w:leader="none" w:pos="4020" w:val="left"/>
          <w:tab w:leader="none" w:pos="5480" w:val="left"/>
        </w:tabs>
        <w:rPr>
          <w:sz w:val="20"/>
          <w:szCs w:val="20"/>
          <w:color w:val="auto"/>
        </w:rPr>
      </w:pPr>
      <w:r>
        <w:rPr>
          <w:rFonts w:ascii="Times New Roman" w:cs="Times New Roman" w:eastAsia="Times New Roman" w:hAnsi="Times New Roman"/>
          <w:sz w:val="11"/>
          <w:szCs w:val="11"/>
          <w:b w:val="1"/>
          <w:bCs w:val="1"/>
          <w:color w:val="auto"/>
        </w:rPr>
        <w:t>Title of each class:</w:t>
      </w:r>
      <w:r>
        <w:rPr>
          <w:sz w:val="20"/>
          <w:szCs w:val="20"/>
          <w:color w:val="auto"/>
        </w:rPr>
        <w:tab/>
      </w:r>
      <w:r>
        <w:rPr>
          <w:rFonts w:ascii="Times New Roman" w:cs="Times New Roman" w:eastAsia="Times New Roman" w:hAnsi="Times New Roman"/>
          <w:sz w:val="11"/>
          <w:szCs w:val="11"/>
          <w:b w:val="1"/>
          <w:bCs w:val="1"/>
          <w:color w:val="auto"/>
        </w:rPr>
        <w:t>Trading symbol(s):</w:t>
      </w:r>
      <w:r>
        <w:rPr>
          <w:sz w:val="20"/>
          <w:szCs w:val="20"/>
          <w:color w:val="auto"/>
        </w:rPr>
        <w:tab/>
      </w:r>
      <w:r>
        <w:rPr>
          <w:rFonts w:ascii="Times New Roman" w:cs="Times New Roman" w:eastAsia="Times New Roman" w:hAnsi="Times New Roman"/>
          <w:sz w:val="11"/>
          <w:szCs w:val="11"/>
          <w:b w:val="1"/>
          <w:bCs w:val="1"/>
          <w:color w:val="auto"/>
        </w:rPr>
        <w:t>Name of each exchange on which registered:</w:t>
      </w:r>
    </w:p>
    <w:p>
      <w:pPr>
        <w:spacing w:after="0" w:line="65" w:lineRule="exact"/>
        <w:rPr>
          <w:sz w:val="24"/>
          <w:szCs w:val="24"/>
          <w:color w:val="auto"/>
        </w:rPr>
      </w:pPr>
    </w:p>
    <w:p>
      <w:pPr>
        <w:ind w:left="1560"/>
        <w:spacing w:after="0"/>
        <w:tabs>
          <w:tab w:leader="none" w:pos="4300" w:val="left"/>
          <w:tab w:leader="none" w:pos="5760" w:val="left"/>
        </w:tabs>
        <w:rPr>
          <w:sz w:val="20"/>
          <w:szCs w:val="20"/>
          <w:color w:val="auto"/>
        </w:rPr>
      </w:pPr>
      <w:r>
        <w:rPr>
          <w:rFonts w:ascii="Times New Roman" w:cs="Times New Roman" w:eastAsia="Times New Roman" w:hAnsi="Times New Roman"/>
          <w:sz w:val="13"/>
          <w:szCs w:val="13"/>
          <w:color w:val="auto"/>
        </w:rPr>
        <w:t>Common Stock, $0.001 par value</w:t>
      </w:r>
      <w:r>
        <w:rPr>
          <w:sz w:val="20"/>
          <w:szCs w:val="20"/>
          <w:color w:val="auto"/>
        </w:rPr>
        <w:tab/>
      </w:r>
      <w:r>
        <w:rPr>
          <w:rFonts w:ascii="Times New Roman" w:cs="Times New Roman" w:eastAsia="Times New Roman" w:hAnsi="Times New Roman"/>
          <w:sz w:val="13"/>
          <w:szCs w:val="13"/>
          <w:color w:val="auto"/>
        </w:rPr>
        <w:t>GERN</w:t>
      </w:r>
      <w:r>
        <w:rPr>
          <w:sz w:val="20"/>
          <w:szCs w:val="20"/>
          <w:color w:val="auto"/>
        </w:rPr>
        <w:tab/>
      </w:r>
      <w:r>
        <w:rPr>
          <w:rFonts w:ascii="Times New Roman" w:cs="Times New Roman" w:eastAsia="Times New Roman" w:hAnsi="Times New Roman"/>
          <w:sz w:val="12"/>
          <w:szCs w:val="12"/>
          <w:color w:val="auto"/>
        </w:rPr>
        <w:t>The Nasdaq Stock Market LLC</w:t>
      </w:r>
    </w:p>
    <w:p>
      <w:pPr>
        <w:spacing w:after="0" w:line="102"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2"/>
          <w:szCs w:val="12"/>
          <w:color w:val="auto"/>
        </w:rPr>
        <w:t xml:space="preserve">Securities registered pursuant to Section 12(g) of the Act: </w:t>
      </w:r>
      <w:r>
        <w:rPr>
          <w:rFonts w:ascii="Times New Roman" w:cs="Times New Roman" w:eastAsia="Times New Roman" w:hAnsi="Times New Roman"/>
          <w:sz w:val="12"/>
          <w:szCs w:val="12"/>
          <w:b w:val="1"/>
          <w:bCs w:val="1"/>
          <w:color w:val="auto"/>
        </w:rPr>
        <w:t>None</w:t>
      </w:r>
    </w:p>
    <w:p>
      <w:pPr>
        <w:spacing w:after="0" w:line="31" w:lineRule="exact"/>
        <w:rPr>
          <w:sz w:val="24"/>
          <w:szCs w:val="24"/>
          <w:color w:val="auto"/>
        </w:rPr>
      </w:pPr>
    </w:p>
    <w:p>
      <w:pPr>
        <w:ind w:left="1600" w:right="999"/>
        <w:spacing w:after="0" w:line="186" w:lineRule="exact"/>
        <w:rPr>
          <w:sz w:val="20"/>
          <w:szCs w:val="20"/>
          <w:color w:val="auto"/>
        </w:rPr>
      </w:pPr>
      <w:r>
        <w:rPr>
          <w:rFonts w:ascii="Times New Roman" w:cs="Times New Roman" w:eastAsia="Times New Roman" w:hAnsi="Times New Roman"/>
          <w:sz w:val="12"/>
          <w:szCs w:val="12"/>
          <w:color w:val="auto"/>
        </w:rPr>
        <w:t>Indicate by check mark if the registrant is a well</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known seasoned issuer, as defined in Rule 405 of the Securities Act.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w:t>
      </w:r>
    </w:p>
    <w:p>
      <w:pPr>
        <w:spacing w:after="0" w:line="1" w:lineRule="exact"/>
        <w:rPr>
          <w:sz w:val="24"/>
          <w:szCs w:val="24"/>
          <w:color w:val="auto"/>
        </w:rPr>
      </w:pPr>
    </w:p>
    <w:p>
      <w:pPr>
        <w:ind w:left="960"/>
        <w:spacing w:after="0"/>
        <w:rPr>
          <w:sz w:val="20"/>
          <w:szCs w:val="20"/>
          <w:color w:val="auto"/>
        </w:rPr>
      </w:pPr>
      <w:r>
        <w:rPr>
          <w:rFonts w:ascii="Wingdings" w:cs="Wingdings" w:eastAsia="Wingdings" w:hAnsi="Wingdings"/>
          <w:sz w:val="12"/>
          <w:szCs w:val="12"/>
          <w:b w:val="1"/>
          <w:bCs w:val="1"/>
          <w:color w:val="auto"/>
        </w:rPr>
        <w:t>x</w:t>
      </w:r>
    </w:p>
    <w:p>
      <w:pPr>
        <w:spacing w:after="0" w:line="47" w:lineRule="exact"/>
        <w:rPr>
          <w:sz w:val="24"/>
          <w:szCs w:val="24"/>
          <w:color w:val="auto"/>
        </w:rPr>
      </w:pPr>
    </w:p>
    <w:p>
      <w:pPr>
        <w:jc w:val="both"/>
        <w:ind w:left="960" w:right="1139" w:firstLine="644"/>
        <w:spacing w:after="0" w:line="269"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19" w:lineRule="exact"/>
        <w:rPr>
          <w:sz w:val="24"/>
          <w:szCs w:val="24"/>
          <w:color w:val="auto"/>
        </w:rPr>
      </w:pPr>
    </w:p>
    <w:p>
      <w:pPr>
        <w:ind w:left="960" w:right="1079" w:firstLine="644"/>
        <w:spacing w:after="0" w:line="149" w:lineRule="exact"/>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T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2" w:lineRule="exact"/>
        <w:rPr>
          <w:sz w:val="24"/>
          <w:szCs w:val="24"/>
          <w:color w:val="auto"/>
        </w:rPr>
      </w:pPr>
    </w:p>
    <w:p>
      <w:pPr>
        <w:ind w:left="960" w:right="1279" w:firstLine="644"/>
        <w:spacing w:after="0" w:line="168" w:lineRule="exact"/>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accelerated filer, a smaller reporting company, or emerging growth company. See the definitions of “large accelerated filer,” “accelerated filer,” “smaller reporting company,” and “emerging growth company” in Rule 12b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of the Exchange Act.</w:t>
      </w:r>
    </w:p>
    <w:p>
      <w:pPr>
        <w:spacing w:after="0" w:line="177" w:lineRule="exact"/>
        <w:rPr>
          <w:sz w:val="24"/>
          <w:szCs w:val="24"/>
          <w:color w:val="auto"/>
        </w:rPr>
      </w:pPr>
    </w:p>
    <w:tbl>
      <w:tblPr>
        <w:tblLayout w:type="fixed"/>
        <w:tblInd w:w="2020" w:type="dxa"/>
        <w:tblCellMar>
          <w:top w:w="0" w:type="dxa"/>
          <w:left w:w="0" w:type="dxa"/>
          <w:bottom w:w="0" w:type="dxa"/>
          <w:right w:w="0" w:type="dxa"/>
        </w:tblCellMar>
      </w:tblPr>
      <w:tr>
        <w:trPr>
          <w:trHeight w:val="158"/>
        </w:trPr>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Large accelerated filer</w:t>
            </w:r>
          </w:p>
        </w:tc>
        <w:tc>
          <w:tcPr>
            <w:tcW w:w="800" w:type="dxa"/>
            <w:vAlign w:val="bottom"/>
          </w:tcPr>
          <w:p>
            <w:pPr>
              <w:ind w:left="60"/>
              <w:spacing w:after="0"/>
              <w:rPr>
                <w:sz w:val="20"/>
                <w:szCs w:val="20"/>
                <w:color w:val="auto"/>
              </w:rPr>
            </w:pPr>
            <w:r>
              <w:rPr>
                <w:rFonts w:ascii="Wingdings" w:cs="Wingdings" w:eastAsia="Wingdings" w:hAnsi="Wingdings"/>
                <w:sz w:val="12"/>
                <w:szCs w:val="12"/>
                <w:b w:val="1"/>
                <w:bCs w:val="1"/>
                <w:color w:val="auto"/>
              </w:rPr>
              <w:t>x</w:t>
            </w:r>
          </w:p>
        </w:tc>
        <w:tc>
          <w:tcPr>
            <w:tcW w:w="25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Accelerated filer</w:t>
            </w:r>
          </w:p>
        </w:tc>
        <w:tc>
          <w:tcPr>
            <w:tcW w:w="760" w:type="dxa"/>
            <w:vAlign w:val="bottom"/>
          </w:tcPr>
          <w:p>
            <w:pPr>
              <w:ind w:left="660"/>
              <w:spacing w:after="0"/>
              <w:rPr>
                <w:sz w:val="20"/>
                <w:szCs w:val="20"/>
                <w:color w:val="auto"/>
              </w:rPr>
            </w:pPr>
            <w:r>
              <w:rPr>
                <w:rFonts w:ascii="Wingdings" w:cs="Wingdings" w:eastAsia="Wingdings" w:hAnsi="Wingdings"/>
                <w:sz w:val="12"/>
                <w:szCs w:val="12"/>
                <w:b w:val="1"/>
                <w:bCs w:val="1"/>
                <w:color w:val="auto"/>
                <w:w w:val="74"/>
              </w:rPr>
              <w:t>o</w:t>
            </w:r>
          </w:p>
        </w:tc>
      </w:tr>
      <w:tr>
        <w:trPr>
          <w:trHeight w:val="193"/>
        </w:trPr>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Non-accelerated filer</w:t>
            </w:r>
          </w:p>
        </w:tc>
        <w:tc>
          <w:tcPr>
            <w:tcW w:w="800" w:type="dxa"/>
            <w:vAlign w:val="bottom"/>
          </w:tcPr>
          <w:p>
            <w:pPr>
              <w:ind w:left="60"/>
              <w:spacing w:after="0"/>
              <w:rPr>
                <w:sz w:val="20"/>
                <w:szCs w:val="20"/>
                <w:color w:val="auto"/>
              </w:rPr>
            </w:pPr>
            <w:r>
              <w:rPr>
                <w:rFonts w:ascii="Wingdings" w:cs="Wingdings" w:eastAsia="Wingdings" w:hAnsi="Wingdings"/>
                <w:sz w:val="12"/>
                <w:szCs w:val="12"/>
                <w:b w:val="1"/>
                <w:bCs w:val="1"/>
                <w:color w:val="auto"/>
              </w:rPr>
              <w:t>o</w:t>
            </w:r>
          </w:p>
        </w:tc>
        <w:tc>
          <w:tcPr>
            <w:tcW w:w="25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760" w:type="dxa"/>
            <w:vAlign w:val="bottom"/>
          </w:tcPr>
          <w:p>
            <w:pPr>
              <w:ind w:left="660"/>
              <w:spacing w:after="0"/>
              <w:rPr>
                <w:sz w:val="20"/>
                <w:szCs w:val="20"/>
                <w:color w:val="auto"/>
              </w:rPr>
            </w:pPr>
            <w:r>
              <w:rPr>
                <w:rFonts w:ascii="Wingdings" w:cs="Wingdings" w:eastAsia="Wingdings" w:hAnsi="Wingdings"/>
                <w:sz w:val="12"/>
                <w:szCs w:val="12"/>
                <w:b w:val="1"/>
                <w:bCs w:val="1"/>
                <w:color w:val="auto"/>
                <w:w w:val="74"/>
              </w:rPr>
              <w:t>o</w:t>
            </w:r>
          </w:p>
        </w:tc>
      </w:tr>
      <w:tr>
        <w:trPr>
          <w:trHeight w:val="204"/>
        </w:trPr>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Emerging growth company</w:t>
            </w:r>
          </w:p>
        </w:tc>
        <w:tc>
          <w:tcPr>
            <w:tcW w:w="760" w:type="dxa"/>
            <w:vAlign w:val="bottom"/>
          </w:tcPr>
          <w:p>
            <w:pPr>
              <w:ind w:left="660"/>
              <w:spacing w:after="0"/>
              <w:rPr>
                <w:sz w:val="20"/>
                <w:szCs w:val="20"/>
                <w:color w:val="auto"/>
              </w:rPr>
            </w:pPr>
            <w:r>
              <w:rPr>
                <w:rFonts w:ascii="Wingdings" w:cs="Wingdings" w:eastAsia="Wingdings" w:hAnsi="Wingdings"/>
                <w:sz w:val="12"/>
                <w:szCs w:val="12"/>
                <w:b w:val="1"/>
                <w:bCs w:val="1"/>
                <w:color w:val="auto"/>
                <w:w w:val="74"/>
              </w:rPr>
              <w:t>o</w:t>
            </w:r>
          </w:p>
        </w:tc>
      </w:tr>
    </w:tbl>
    <w:p>
      <w:pPr>
        <w:spacing w:after="0" w:line="56" w:lineRule="exact"/>
        <w:rPr>
          <w:sz w:val="24"/>
          <w:szCs w:val="24"/>
          <w:color w:val="auto"/>
        </w:rPr>
      </w:pPr>
    </w:p>
    <w:p>
      <w:pPr>
        <w:ind w:left="960" w:right="1159" w:firstLine="644"/>
        <w:spacing w:after="0" w:line="28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left="960" w:right="1479" w:firstLine="644"/>
        <w:spacing w:after="0" w:line="279"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2"/>
          <w:szCs w:val="12"/>
          <w:b w:val="1"/>
          <w:bCs w:val="1"/>
          <w:color w:val="auto"/>
        </w:rPr>
        <w:t>x</w:t>
      </w:r>
    </w:p>
    <w:p>
      <w:pPr>
        <w:spacing w:after="0" w:line="2" w:lineRule="exact"/>
        <w:rPr>
          <w:sz w:val="24"/>
          <w:szCs w:val="24"/>
          <w:color w:val="auto"/>
        </w:rPr>
      </w:pPr>
    </w:p>
    <w:p>
      <w:pPr>
        <w:ind w:left="960" w:right="1279" w:firstLine="644"/>
        <w:spacing w:after="0" w:line="289" w:lineRule="auto"/>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left="960" w:right="1039" w:firstLine="644"/>
        <w:spacing w:after="0" w:line="275" w:lineRule="auto"/>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2"/>
          <w:szCs w:val="12"/>
          <w:b w:val="1"/>
          <w:bCs w:val="1"/>
          <w:color w:val="auto"/>
        </w:rPr>
        <w:t>o</w:t>
      </w:r>
    </w:p>
    <w:p>
      <w:pPr>
        <w:spacing w:after="0" w:line="1" w:lineRule="exact"/>
        <w:rPr>
          <w:sz w:val="24"/>
          <w:szCs w:val="24"/>
          <w:color w:val="auto"/>
        </w:rPr>
      </w:pPr>
    </w:p>
    <w:p>
      <w:pPr>
        <w:jc w:val="center"/>
        <w:ind w:right="99"/>
        <w:spacing w:after="0" w:line="138" w:lineRule="exact"/>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2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1047115</wp:posOffset>
            </wp:positionV>
            <wp:extent cx="5584190" cy="3167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4190" cy="3167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3" w:lineRule="exact"/>
        <w:rPr>
          <w:sz w:val="24"/>
          <w:szCs w:val="24"/>
          <w:color w:val="auto"/>
        </w:rPr>
      </w:pPr>
    </w:p>
    <w:p>
      <w:pPr>
        <w:ind w:left="960" w:right="1199" w:firstLine="644"/>
        <w:spacing w:after="0" w:line="153" w:lineRule="exact"/>
        <w:rPr>
          <w:sz w:val="20"/>
          <w:szCs w:val="20"/>
          <w:color w:val="auto"/>
        </w:rPr>
      </w:pPr>
      <w:r>
        <w:rPr>
          <w:rFonts w:ascii="Times New Roman" w:cs="Times New Roman" w:eastAsia="Times New Roman" w:hAnsi="Times New Roman"/>
          <w:sz w:val="12"/>
          <w:szCs w:val="12"/>
          <w:color w:val="auto"/>
        </w:rPr>
        <w:t>The aggregate market value of voting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voting common equity held by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affiliates of the registrant was approximately $860,500,000 based upon the closing price of the registrant’s common stock on June 30, 2025 on the Nasdaq Global Select Market. The calculation of the aggregate market value of voting and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voting common equity held by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affiliates of the registrant excludes shares of common stock held by each officer, director and stockholder that the registrant concluded were affiliates on that date. This determination of affiliate status is not necessarily a conclusive determination for other purposes.</w:t>
      </w:r>
    </w:p>
    <w:p>
      <w:pPr>
        <w:spacing w:after="0" w:line="35"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2"/>
          <w:szCs w:val="12"/>
          <w:color w:val="auto"/>
        </w:rPr>
        <w:t>As of February 20, 2026, there were 640,544,661 shares of common stock outstanding.</w:t>
      </w:r>
    </w:p>
    <w:p>
      <w:pPr>
        <w:spacing w:after="0" w:line="148" w:lineRule="exact"/>
        <w:rPr>
          <w:sz w:val="24"/>
          <w:szCs w:val="24"/>
          <w:color w:val="auto"/>
        </w:rPr>
      </w:pPr>
    </w:p>
    <w:tbl>
      <w:tblPr>
        <w:tblLayout w:type="fixed"/>
        <w:tblInd w:w="960" w:type="dxa"/>
        <w:tblCellMar>
          <w:top w:w="0" w:type="dxa"/>
          <w:left w:w="0" w:type="dxa"/>
          <w:bottom w:w="0" w:type="dxa"/>
          <w:right w:w="0" w:type="dxa"/>
        </w:tblCellMar>
      </w:tblPr>
      <w:tr>
        <w:trPr>
          <w:trHeight w:val="150"/>
        </w:trPr>
        <w:tc>
          <w:tcPr>
            <w:tcW w:w="1340" w:type="dxa"/>
            <w:vAlign w:val="bottom"/>
          </w:tcPr>
          <w:p>
            <w:pPr>
              <w:spacing w:after="0"/>
              <w:rPr>
                <w:sz w:val="13"/>
                <w:szCs w:val="13"/>
                <w:color w:val="auto"/>
              </w:rPr>
            </w:pPr>
          </w:p>
        </w:tc>
        <w:tc>
          <w:tcPr>
            <w:tcW w:w="5740" w:type="dxa"/>
            <w:vAlign w:val="bottom"/>
            <w:gridSpan w:val="3"/>
          </w:tcPr>
          <w:p>
            <w:pPr>
              <w:ind w:left="86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tc>
      </w:tr>
      <w:tr>
        <w:trPr>
          <w:trHeight w:val="176"/>
        </w:trPr>
        <w:tc>
          <w:tcPr>
            <w:tcW w:w="13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center"/>
              <w:spacing w:after="0" w:line="115" w:lineRule="exact"/>
              <w:rPr>
                <w:sz w:val="20"/>
                <w:szCs w:val="20"/>
                <w:color w:val="auto"/>
              </w:rPr>
            </w:pPr>
            <w:r>
              <w:rPr>
                <w:rFonts w:ascii="Times New Roman" w:cs="Times New Roman" w:eastAsia="Times New Roman" w:hAnsi="Times New Roman"/>
                <w:sz w:val="10"/>
                <w:szCs w:val="10"/>
                <w:b w:val="1"/>
                <w:bCs w:val="1"/>
                <w:color w:val="auto"/>
              </w:rPr>
              <w:t>Form 10</w:t>
            </w:r>
            <w:r>
              <w:rPr>
                <w:rFonts w:ascii="MS PGothic" w:cs="MS PGothic" w:eastAsia="MS PGothic" w:hAnsi="MS PGothic"/>
                <w:sz w:val="10"/>
                <w:szCs w:val="10"/>
                <w:color w:val="auto"/>
                <w:strike w:val="1"/>
              </w:rPr>
              <w:t>‑</w:t>
            </w:r>
            <w:r>
              <w:rPr>
                <w:rFonts w:ascii="Times New Roman" w:cs="Times New Roman" w:eastAsia="Times New Roman" w:hAnsi="Times New Roman"/>
                <w:sz w:val="10"/>
                <w:szCs w:val="10"/>
                <w:b w:val="1"/>
                <w:bCs w:val="1"/>
                <w:color w:val="auto"/>
              </w:rPr>
              <w:t>K</w:t>
            </w:r>
          </w:p>
        </w:tc>
      </w:tr>
      <w:tr>
        <w:trPr>
          <w:trHeight w:val="132"/>
        </w:trPr>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Document</w:t>
            </w:r>
          </w:p>
        </w:tc>
        <w:tc>
          <w:tcPr>
            <w:tcW w:w="4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Parts</w:t>
            </w:r>
          </w:p>
        </w:tc>
      </w:tr>
    </w:tbl>
    <w:p>
      <w:pPr>
        <w:spacing w:after="0" w:line="15" w:lineRule="exact"/>
        <w:rPr>
          <w:sz w:val="24"/>
          <w:szCs w:val="24"/>
          <w:color w:val="auto"/>
        </w:rPr>
      </w:pPr>
    </w:p>
    <w:p>
      <w:pPr>
        <w:sectPr>
          <w:pgSz w:w="11900" w:h="16838" w:orient="portrait"/>
          <w:cols w:equalWidth="0" w:num="1">
            <w:col w:w="9019"/>
          </w:cols>
          <w:pgMar w:left="1440" w:top="426" w:right="1440" w:bottom="1440" w:gutter="0" w:footer="0" w:header="0"/>
        </w:sectPr>
      </w:pPr>
    </w:p>
    <w:p>
      <w:pPr>
        <w:ind w:left="1000"/>
        <w:spacing w:after="0"/>
        <w:rPr>
          <w:sz w:val="20"/>
          <w:szCs w:val="20"/>
          <w:color w:val="auto"/>
        </w:rPr>
      </w:pPr>
      <w:r>
        <w:rPr>
          <w:rFonts w:ascii="Times New Roman" w:cs="Times New Roman" w:eastAsia="Times New Roman" w:hAnsi="Times New Roman"/>
          <w:sz w:val="11"/>
          <w:szCs w:val="11"/>
          <w:color w:val="auto"/>
        </w:rPr>
        <w:t>Portions of the Registrant’s definitive proxy statement for the 2026 annual meeting of stockholders to be filed pursuant to</w:t>
      </w:r>
    </w:p>
    <w:p>
      <w:pPr>
        <w:spacing w:after="0" w:line="22" w:lineRule="exact"/>
        <w:rPr>
          <w:sz w:val="24"/>
          <w:szCs w:val="24"/>
          <w:color w:val="auto"/>
        </w:rPr>
      </w:pPr>
    </w:p>
    <w:p>
      <w:pPr>
        <w:ind w:left="1000"/>
        <w:spacing w:after="0"/>
        <w:tabs>
          <w:tab w:leader="none" w:pos="7500" w:val="left"/>
        </w:tabs>
        <w:rPr>
          <w:sz w:val="20"/>
          <w:szCs w:val="20"/>
          <w:color w:val="auto"/>
        </w:rPr>
      </w:pPr>
      <w:r>
        <w:rPr>
          <w:rFonts w:ascii="Times New Roman" w:cs="Times New Roman" w:eastAsia="Times New Roman" w:hAnsi="Times New Roman"/>
          <w:sz w:val="11"/>
          <w:szCs w:val="11"/>
          <w:color w:val="auto"/>
        </w:rPr>
        <w:t>Regulation 14A within 120 days of the Registrant’s fiscal year ended December 31, 2025.</w:t>
      </w:r>
      <w:r>
        <w:rPr>
          <w:sz w:val="20"/>
          <w:szCs w:val="20"/>
          <w:color w:val="auto"/>
        </w:rPr>
        <w:tab/>
      </w:r>
      <w:r>
        <w:rPr>
          <w:rFonts w:ascii="Times New Roman" w:cs="Times New Roman" w:eastAsia="Times New Roman" w:hAnsi="Times New Roman"/>
          <w:sz w:val="11"/>
          <w:szCs w:val="11"/>
          <w:color w:val="auto"/>
        </w:rPr>
        <w:t>III</w:t>
      </w:r>
    </w:p>
    <w:p>
      <w:pPr>
        <w:sectPr>
          <w:pgSz w:w="11900" w:h="16838" w:orient="portrait"/>
          <w:cols w:equalWidth="0" w:num="1">
            <w:col w:w="9019"/>
          </w:cols>
          <w:pgMar w:left="1440" w:top="426"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419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2700" w:type="dxa"/>
            <w:vAlign w:val="bottom"/>
            <w:gridSpan w:val="11"/>
          </w:tcPr>
          <w:p>
            <w:pPr>
              <w:spacing w:after="0"/>
              <w:rPr>
                <w:sz w:val="13"/>
                <w:szCs w:val="13"/>
                <w:color w:val="auto"/>
              </w:rPr>
            </w:pPr>
          </w:p>
        </w:tc>
      </w:t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Business</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4920" w:type="dxa"/>
            <w:vAlign w:val="bottom"/>
            <w:gridSpan w:val="26"/>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4020" w:type="dxa"/>
            <w:vAlign w:val="bottom"/>
            <w:gridSpan w:val="18"/>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1C.</w:t>
            </w:r>
          </w:p>
        </w:tc>
        <w:tc>
          <w:tcPr>
            <w:tcW w:w="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4780" w:type="dxa"/>
            <w:vAlign w:val="bottom"/>
            <w:gridSpan w:val="25"/>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5060" w:type="dxa"/>
            <w:vAlign w:val="bottom"/>
            <w:gridSpan w:val="28"/>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580" w:type="dxa"/>
            <w:vAlign w:val="bottom"/>
            <w:gridSpan w:val="23"/>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Mine Safety Disclosures</w:t>
            </w:r>
          </w:p>
        </w:tc>
      </w:tr>
      <w:tr>
        <w:trPr>
          <w:trHeight w:val="195"/>
        </w:trPr>
        <w:tc>
          <w:tcPr>
            <w:tcW w:w="80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15"/>
          </w:tcPr>
          <w:p>
            <w:pPr>
              <w:jc w:val="center"/>
              <w:ind w:right="2680"/>
              <w:spacing w:after="0"/>
              <w:rPr>
                <w:sz w:val="20"/>
                <w:szCs w:val="20"/>
                <w:color w:val="auto"/>
              </w:rPr>
            </w:pPr>
            <w:r>
              <w:rPr>
                <w:rFonts w:ascii="Times New Roman" w:cs="Times New Roman" w:eastAsia="Times New Roman" w:hAnsi="Times New Roman"/>
                <w:sz w:val="14"/>
                <w:szCs w:val="14"/>
                <w:b w:val="1"/>
                <w:bCs w:val="1"/>
                <w:color w:val="0000FF"/>
                <w:w w:val="98"/>
              </w:rPr>
              <w:t>PART II</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56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4"/>
                <w:szCs w:val="14"/>
                <w:color w:val="0000FF"/>
              </w:rPr>
              <w:t>Market for the Registrant’s Common Equity, Related Stockholder Matters and Issuer Purchases of</w:t>
            </w:r>
          </w:p>
        </w:tc>
      </w:tr>
      <w:tr>
        <w:trPr>
          <w:trHeight w:val="152"/>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60" w:type="dxa"/>
            <w:vAlign w:val="bottom"/>
            <w:gridSpan w:val="30"/>
          </w:tcPr>
          <w:p>
            <w:pPr>
              <w:spacing w:after="0" w:line="152" w:lineRule="exact"/>
              <w:rPr>
                <w:sz w:val="20"/>
                <w:szCs w:val="20"/>
                <w:color w:val="auto"/>
              </w:rPr>
            </w:pPr>
            <w:r>
              <w:rPr>
                <w:rFonts w:ascii="Times New Roman" w:cs="Times New Roman" w:eastAsia="Times New Roman" w:hAnsi="Times New Roman"/>
                <w:sz w:val="14"/>
                <w:szCs w:val="14"/>
                <w:color w:val="0000FF"/>
              </w:rPr>
              <w:t>Equity Securities</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[Reserved]</w:t>
            </w:r>
          </w:p>
        </w:tc>
      </w:tr>
      <w:tr>
        <w:trPr>
          <w:trHeight w:val="20"/>
        </w:trPr>
        <w:tc>
          <w:tcPr>
            <w:tcW w:w="80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7.</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7A.</w:t>
            </w:r>
          </w:p>
        </w:tc>
        <w:tc>
          <w:tcPr>
            <w:tcW w:w="346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60" w:type="dxa"/>
            <w:vAlign w:val="bottom"/>
            <w:tcBorders>
              <w:top w:val="single" w:sz="8" w:color="0000FF"/>
            </w:tcBorders>
            <w:gridSpan w:val="3"/>
          </w:tcPr>
          <w:p>
            <w:pPr>
              <w:spacing w:after="0"/>
              <w:rPr>
                <w:sz w:val="16"/>
                <w:szCs w:val="16"/>
                <w:color w:val="auto"/>
              </w:rPr>
            </w:pPr>
          </w:p>
        </w:tc>
        <w:tc>
          <w:tcPr>
            <w:tcW w:w="520" w:type="dxa"/>
            <w:vAlign w:val="bottom"/>
            <w:gridSpan w:val="3"/>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8.</w:t>
            </w:r>
          </w:p>
        </w:tc>
        <w:tc>
          <w:tcPr>
            <w:tcW w:w="26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3000" w:type="dxa"/>
            <w:vAlign w:val="bottom"/>
            <w:gridSpan w:val="12"/>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9.</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40" w:type="dxa"/>
            <w:vAlign w:val="bottom"/>
            <w:tcBorders>
              <w:top w:val="single" w:sz="8" w:color="0000FF"/>
            </w:tcBorders>
            <w:gridSpan w:val="18"/>
          </w:tcPr>
          <w:p>
            <w:pPr>
              <w:spacing w:after="0"/>
              <w:rPr>
                <w:sz w:val="16"/>
                <w:szCs w:val="16"/>
                <w:color w:val="auto"/>
              </w:rPr>
            </w:pPr>
          </w:p>
        </w:tc>
        <w:tc>
          <w:tcPr>
            <w:tcW w:w="500" w:type="dxa"/>
            <w:vAlign w:val="bottom"/>
            <w:gridSpan w:val="2"/>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4600" w:type="dxa"/>
            <w:vAlign w:val="bottom"/>
            <w:gridSpan w:val="24"/>
          </w:tcPr>
          <w:p>
            <w:pPr>
              <w:spacing w:after="0"/>
              <w:rPr>
                <w:sz w:val="16"/>
                <w:szCs w:val="16"/>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9C.</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r>
      <w:tr>
        <w:trPr>
          <w:trHeight w:val="195"/>
        </w:trPr>
        <w:tc>
          <w:tcPr>
            <w:tcW w:w="80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860" w:type="dxa"/>
            <w:vAlign w:val="bottom"/>
            <w:tcBorders>
              <w:top w:val="single" w:sz="8" w:color="0000FF"/>
            </w:tcBorders>
            <w:gridSpan w:val="3"/>
          </w:tcPr>
          <w:p>
            <w:pPr>
              <w:spacing w:after="0"/>
              <w:rPr>
                <w:sz w:val="16"/>
                <w:szCs w:val="16"/>
                <w:color w:val="auto"/>
              </w:rPr>
            </w:pPr>
          </w:p>
        </w:tc>
        <w:tc>
          <w:tcPr>
            <w:tcW w:w="1760" w:type="dxa"/>
            <w:vAlign w:val="bottom"/>
            <w:gridSpan w:val="5"/>
          </w:tcPr>
          <w:p>
            <w:pPr>
              <w:spacing w:after="0"/>
              <w:rPr>
                <w:sz w:val="16"/>
                <w:szCs w:val="16"/>
                <w:color w:val="auto"/>
              </w:rPr>
            </w:pPr>
          </w:p>
        </w:tc>
      </w:t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10.</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11.</w:t>
            </w:r>
          </w:p>
        </w:tc>
        <w:tc>
          <w:tcPr>
            <w:tcW w:w="32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2400" w:type="dxa"/>
            <w:vAlign w:val="bottom"/>
            <w:gridSpan w:val="7"/>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12.</w:t>
            </w:r>
          </w:p>
        </w:tc>
        <w:tc>
          <w:tcPr>
            <w:tcW w:w="53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w:t>
            </w:r>
          </w:p>
        </w:tc>
        <w:tc>
          <w:tcPr>
            <w:tcW w:w="280" w:type="dxa"/>
            <w:vAlign w:val="bottom"/>
          </w:tcPr>
          <w:p>
            <w:pPr>
              <w:spacing w:after="0"/>
              <w:rPr>
                <w:sz w:val="16"/>
                <w:szCs w:val="16"/>
                <w:color w:val="auto"/>
              </w:rPr>
            </w:pPr>
          </w:p>
        </w:tc>
      </w:tr>
      <w:tr>
        <w:trPr>
          <w:trHeight w:val="152"/>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60" w:type="dxa"/>
            <w:vAlign w:val="bottom"/>
            <w:gridSpan w:val="30"/>
          </w:tcPr>
          <w:p>
            <w:pPr>
              <w:spacing w:after="0" w:line="152" w:lineRule="exact"/>
              <w:rPr>
                <w:sz w:val="20"/>
                <w:szCs w:val="20"/>
                <w:color w:val="auto"/>
              </w:rPr>
            </w:pPr>
            <w:r>
              <w:rPr>
                <w:rFonts w:ascii="Times New Roman" w:cs="Times New Roman" w:eastAsia="Times New Roman" w:hAnsi="Times New Roman"/>
                <w:sz w:val="14"/>
                <w:szCs w:val="14"/>
                <w:color w:val="0000FF"/>
              </w:rPr>
              <w:t>Matters</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13.</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14.</w:t>
            </w:r>
          </w:p>
        </w:tc>
        <w:tc>
          <w:tcPr>
            <w:tcW w:w="432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1320" w:type="dxa"/>
            <w:vAlign w:val="bottom"/>
            <w:gridSpan w:val="4"/>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2640" w:type="dxa"/>
            <w:vAlign w:val="bottom"/>
            <w:gridSpan w:val="9"/>
          </w:tcPr>
          <w:p>
            <w:pPr>
              <w:spacing w:after="0"/>
              <w:rPr>
                <w:sz w:val="16"/>
                <w:szCs w:val="16"/>
                <w:color w:val="auto"/>
              </w:rPr>
            </w:pPr>
          </w:p>
        </w:tc>
      </w:t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15.</w:t>
            </w: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Item 16.</w:t>
            </w:r>
          </w:p>
        </w:tc>
        <w:tc>
          <w:tcPr>
            <w:tcW w:w="1240" w:type="dxa"/>
            <w:vAlign w:val="bottom"/>
            <w:tcBorders>
              <w:top w:val="single" w:sz="8" w:color="0000FF"/>
              <w:bottom w:val="single" w:sz="8" w:color="0000FF"/>
            </w:tcBorders>
            <w:gridSpan w:val="10"/>
          </w:tcPr>
          <w:p>
            <w:pPr>
              <w:spacing w:after="0" w:line="161" w:lineRule="exact"/>
              <w:rPr>
                <w:sz w:val="20"/>
                <w:szCs w:val="20"/>
                <w:color w:val="auto"/>
              </w:rPr>
            </w:pPr>
            <w:r>
              <w:rPr>
                <w:rFonts w:ascii="Times New Roman" w:cs="Times New Roman" w:eastAsia="Times New Roman" w:hAnsi="Times New Roman"/>
                <w:sz w:val="14"/>
                <w:szCs w:val="14"/>
                <w:color w:val="0000FF"/>
              </w:rPr>
              <w:t>Form 10</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K Summary</w:t>
            </w:r>
          </w:p>
        </w:tc>
        <w:tc>
          <w:tcPr>
            <w:tcW w:w="1260" w:type="dxa"/>
            <w:vAlign w:val="bottom"/>
            <w:tcBorders>
              <w:top w:val="single" w:sz="8" w:color="0000FF"/>
            </w:tcBorders>
            <w:gridSpan w:val="8"/>
          </w:tcPr>
          <w:p>
            <w:pPr>
              <w:spacing w:after="0"/>
              <w:rPr>
                <w:sz w:val="16"/>
                <w:szCs w:val="16"/>
                <w:color w:val="auto"/>
              </w:rPr>
            </w:pPr>
          </w:p>
        </w:tc>
        <w:tc>
          <w:tcPr>
            <w:tcW w:w="3140" w:type="dxa"/>
            <w:vAlign w:val="bottom"/>
            <w:gridSpan w:val="13"/>
          </w:tcPr>
          <w:p>
            <w:pPr>
              <w:spacing w:after="0"/>
              <w:rPr>
                <w:sz w:val="16"/>
                <w:szCs w:val="16"/>
                <w:color w:val="auto"/>
              </w:rPr>
            </w:pPr>
          </w:p>
        </w:tc>
      </w:tr>
      <w:tr>
        <w:trPr>
          <w:trHeight w:val="195"/>
        </w:trPr>
        <w:tc>
          <w:tcPr>
            <w:tcW w:w="800" w:type="dxa"/>
            <w:vAlign w:val="bottom"/>
          </w:tcPr>
          <w:p>
            <w:pPr>
              <w:spacing w:after="0"/>
              <w:rPr>
                <w:sz w:val="16"/>
                <w:szCs w:val="16"/>
                <w:color w:val="auto"/>
              </w:rPr>
            </w:pPr>
          </w:p>
        </w:tc>
        <w:tc>
          <w:tcPr>
            <w:tcW w:w="564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SIGNATURES</w:t>
            </w: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265"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5</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26</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77</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77</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78</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79</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79</w:t>
      </w:r>
    </w:p>
    <w:p>
      <w:pPr>
        <w:spacing w:after="0" w:line="200" w:lineRule="exact"/>
        <w:rPr>
          <w:sz w:val="20"/>
          <w:szCs w:val="20"/>
          <w:color w:val="auto"/>
        </w:rPr>
      </w:pPr>
    </w:p>
    <w:p>
      <w:pPr>
        <w:spacing w:after="0" w:line="230"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80</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80</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81</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96</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97</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139</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139</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140</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140</w:t>
      </w:r>
    </w:p>
    <w:p>
      <w:pPr>
        <w:spacing w:after="0" w:line="258"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141</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141</w:t>
      </w:r>
    </w:p>
    <w:p>
      <w:pPr>
        <w:spacing w:after="0" w:line="226"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141</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141</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142</w:t>
      </w:r>
    </w:p>
    <w:p>
      <w:pPr>
        <w:spacing w:after="0" w:line="258"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143</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146</w:t>
      </w:r>
    </w:p>
    <w:p>
      <w:pPr>
        <w:spacing w:after="0" w:line="54"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14"/>
          <w:szCs w:val="14"/>
          <w:color w:val="auto"/>
        </w:rPr>
        <w:t>147</w:t>
      </w:r>
    </w:p>
    <w:p>
      <w:pPr>
        <w:spacing w:after="0" w:line="200" w:lineRule="exact"/>
        <w:rPr>
          <w:sz w:val="20"/>
          <w:szCs w:val="20"/>
          <w:color w:val="auto"/>
        </w:rPr>
      </w:pPr>
    </w:p>
    <w:p>
      <w:pPr>
        <w:sectPr>
          <w:pgSz w:w="11900" w:h="16838" w:orient="portrait"/>
          <w:cols w:equalWidth="0" w:num="2">
            <w:col w:w="7440" w:space="200"/>
            <w:col w:w="1379"/>
          </w:cols>
          <w:pgMar w:left="1440" w:top="1440" w:right="1440" w:bottom="358" w:gutter="0" w:footer="0" w:header="0"/>
        </w:sectPr>
      </w:pPr>
    </w:p>
    <w:p>
      <w:pPr>
        <w:spacing w:after="0" w:line="23" w:lineRule="exact"/>
        <w:rPr>
          <w:sz w:val="20"/>
          <w:szCs w:val="20"/>
          <w:color w:val="auto"/>
        </w:rPr>
      </w:pPr>
    </w:p>
    <w:p>
      <w:pPr>
        <w:ind w:left="960" w:right="999"/>
        <w:spacing w:after="0" w:line="252" w:lineRule="auto"/>
        <w:rPr>
          <w:sz w:val="20"/>
          <w:szCs w:val="20"/>
          <w:color w:val="auto"/>
        </w:rPr>
      </w:pPr>
      <w:r>
        <w:rPr>
          <w:rFonts w:ascii="Times New Roman" w:cs="Times New Roman" w:eastAsia="Times New Roman" w:hAnsi="Times New Roman"/>
          <w:sz w:val="14"/>
          <w:szCs w:val="14"/>
          <w:color w:val="auto"/>
        </w:rPr>
        <w:t>RYTELO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other trademarks or service marks of Geron Corporation appearing in this Annual Report on Form 10-K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151" w:lineRule="exact"/>
        <w:rPr>
          <w:sz w:val="20"/>
          <w:szCs w:val="20"/>
          <w:color w:val="auto"/>
        </w:rPr>
      </w:pPr>
    </w:p>
    <w:p>
      <w:pPr>
        <w:ind w:left="960" w:right="1019"/>
        <w:spacing w:after="0" w:line="274" w:lineRule="auto"/>
        <w:rPr>
          <w:sz w:val="20"/>
          <w:szCs w:val="20"/>
          <w:color w:val="auto"/>
        </w:rPr>
      </w:pPr>
      <w:r>
        <w:rPr>
          <w:rFonts w:ascii="Times New Roman" w:cs="Times New Roman" w:eastAsia="Times New Roman" w:hAnsi="Times New Roman"/>
          <w:sz w:val="14"/>
          <w:szCs w:val="14"/>
          <w:color w:val="auto"/>
        </w:rPr>
        <w:t>In this Report, unless otherwise indicated or the context otherwise requires, “Geron,” “the registrant,” “we,” “us,” and “our” refer to Geron Corporation, a Delaware corporation, and its wholly owned subsidiaries, Geron UK Limited, a United Kingdom company, and Geron Netherlands, B.V., a Dutch company.</w:t>
      </w:r>
    </w:p>
    <w:p>
      <w:pPr>
        <w:sectPr>
          <w:pgSz w:w="11900" w:h="16838" w:orient="portrait"/>
          <w:cols w:equalWidth="0" w:num="1">
            <w:col w:w="9019"/>
          </w:cols>
          <w:pgMar w:left="1440" w:top="1440" w:right="1440" w:bottom="358" w:gutter="0" w:footer="0" w:header="0"/>
          <w:type w:val="continuous"/>
        </w:sectPr>
      </w:pPr>
    </w:p>
    <w:bookmarkStart w:id="2" w:name="page3"/>
    <w:bookmarkEnd w:id="2"/>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807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4190" cy="807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9" w:lineRule="exact"/>
        <w:rPr>
          <w:sz w:val="20"/>
          <w:szCs w:val="20"/>
          <w:color w:val="auto"/>
        </w:rPr>
      </w:pPr>
    </w:p>
    <w:p>
      <w:pPr>
        <w:ind w:left="960"/>
        <w:spacing w:after="0" w:line="161" w:lineRule="exact"/>
        <w:rPr>
          <w:sz w:val="20"/>
          <w:szCs w:val="20"/>
          <w:color w:val="auto"/>
        </w:rPr>
      </w:pPr>
      <w:r>
        <w:rPr>
          <w:rFonts w:ascii="Times New Roman" w:cs="Times New Roman" w:eastAsia="Times New Roman" w:hAnsi="Times New Roman"/>
          <w:sz w:val="14"/>
          <w:szCs w:val="14"/>
          <w:b w:val="1"/>
          <w:bCs w:val="1"/>
          <w:color w:val="auto"/>
        </w:rPr>
        <w:t>Forward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Looking Statements</w:t>
      </w:r>
    </w:p>
    <w:p>
      <w:pPr>
        <w:spacing w:after="0" w:line="214" w:lineRule="exact"/>
        <w:rPr>
          <w:sz w:val="20"/>
          <w:szCs w:val="20"/>
          <w:color w:val="auto"/>
        </w:rPr>
      </w:pPr>
    </w:p>
    <w:p>
      <w:pPr>
        <w:ind w:left="960" w:right="979" w:firstLine="902"/>
        <w:spacing w:after="0" w:line="173" w:lineRule="exact"/>
        <w:rPr>
          <w:sz w:val="20"/>
          <w:szCs w:val="20"/>
          <w:color w:val="auto"/>
        </w:rPr>
      </w:pPr>
      <w:r>
        <w:rPr>
          <w:rFonts w:ascii="Times New Roman" w:cs="Times New Roman" w:eastAsia="Times New Roman" w:hAnsi="Times New Roman"/>
          <w:sz w:val="14"/>
          <w:szCs w:val="14"/>
          <w:color w:val="auto"/>
        </w:rPr>
        <w:t>This Report, including “Business” in Part I, Item 1 of this Report and “Management’s Discussion and Analysis of Financial Condition and Results of Operations” in Part II, Item 7 of this Report, contains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looking statements that involve risks and uncertainties, as well as assumptions that, if they never materialize or prove incorrect, could cause the results of Geron Corporation, or Geron or the Company, to differ materially from those expressed or implied by such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looking statements. All statements other than statements of historical fact are statements that could be deemed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looking statements. In some cases,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looking statements can be identified by the use of terminology such as “may,” “expects,” “plans,” “intends,” “will,” “should,” “could,” “projects,” “believes,” “predicts,” “anticipates,” “estimates,” “potential,” “seek,” or “continue” or the negative thereof or other comparable terminology. The risks and uncertainties referred to above include, without limitation, risks and uncertainties related to: (a) whether we are successful in commercializing RYTELO (imetelstat) for the treatment of certain patients with lower-risk myelodysplastic syndromes, or lower-risk MDS, with transfusion dependent anemia; (b) whether the U.S. Food and Drug Administration, or FDA, or European Commission, or EC, will approve RYTELO for other indications on the timelines that may be expected, or at all; (c) our pursuit of paths to make RYTELO available to eligible patients with lower-risk MDS outside of the U.S., including in the European Union, or EU; (d) whether we overcome potential delays and other adverse impacts caused by enrollment, clinical, safety, efficacy, technical, scientific, intellectual property, manufacturing and regulatory challenges in order to have the financial resources for and meet expected timelines and planned milestones; (e) whether regulatory authorities permit the further development of imetelstat on a timely basis, or at all, without any clinical holds; (f) whether RYTELO may cause, or have attributed to it, adverse events that could delay or prevent the commencement and/or completion of clinical trials, impact its regulatory approval, or limit its commercial potential; (g) whether the IMpactMF Phase 3 trial for relapsed/refractory myelofibrosis, or R/R MF, has a positive outcome and demonstrates safety and effectiveness to the satisfaction of the FDA and international regulatory authorities, and whether our projected rates for death events differ from actual rates, which may cause the planned interim and final analyses to occur later than anticipated; (h) whether any future safety or efficacy results of RYTELO treatment cause its benefit-risk profile to become unacceptable; (i) whether imetelstat actually demonstrates disease-modifying activity in patients and the ability to target the malignant stem and progenitor cells of the underlying disease; (j) whether we meet our post-marketing requirements and commitments for RYTELO; (k) whether there are failures or delays in manufacturing or supplying sufficient quantities of RYTELO or other clinical trial materials that impact commercialization of RYTELO or the continuation of the IMpactMF trial and other clinical trials; (l) whether we are able to establish and maintain effective sales, marketing and distribution capabilities, obtain adequate coverage and third-party payor reimbursement, and achieve adequate acceptance in the marketplace; (m) whether we are able to obtain and maintain the exclusivity terms and scopes provided by patent and patent term extensions, regulatory exclusivity, and have freedom to operate; (n) that we may be unable to successfully commercialize RYTELO due to competitive products, or otherwise; (o) that we may not be able to establish partnerships to commercialize RYTELO in the international markets where RYTELO may be approved for marketing; (p) whether we stay in compliance with and satisfy our obligations under our debt and synthetic royalty agreements; and (q) the impact of general economic, industry or political climate in the U.S. or internationally and the effects of macroeconomic conditions on our business and business prospects, financial condition and results of operations; as well as other risks that are described herein and that are otherwise described from time to time in our Securities and Exchange Commission reports including, but not limited to, the factors described in “Risk Factors,” in Part I, Item 1A of this Report. Geron assumes no obligation for and except as required by law, disclaims any obligation to update these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looking statements to reflect future information, events or circumstances.</w:t>
      </w:r>
    </w:p>
    <w:p>
      <w:pPr>
        <w:spacing w:after="0" w:line="3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185"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can be found under “Risk Factors” in Part I, Item 1A of this Report. The summary below is qualified in its entirety by that more complete discussion of such risks and uncertainties.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“Risk Factors” in Part I, Item 1A of this Report as part of your evaluation of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2362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23628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Commercialization of RYTELO® (Imetelstat)</w:t>
      </w:r>
    </w:p>
    <w:p>
      <w:pPr>
        <w:spacing w:after="0" w:line="187" w:lineRule="exact"/>
        <w:rPr>
          <w:sz w:val="20"/>
          <w:szCs w:val="20"/>
          <w:color w:val="auto"/>
        </w:rPr>
      </w:pPr>
    </w:p>
    <w:p>
      <w:pPr>
        <w:ind w:left="2760" w:right="1019" w:hanging="898"/>
        <w:spacing w:after="0" w:line="265" w:lineRule="auto"/>
        <w:tabs>
          <w:tab w:leader="none" w:pos="2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spacing w:after="0" w:line="56" w:lineRule="exact"/>
        <w:rPr>
          <w:rFonts w:ascii="Times New Roman" w:cs="Times New Roman" w:eastAsia="Times New Roman" w:hAnsi="Times New Roman"/>
          <w:sz w:val="14"/>
          <w:szCs w:val="14"/>
          <w:color w:val="auto"/>
        </w:rPr>
      </w:pPr>
    </w:p>
    <w:p>
      <w:pPr>
        <w:ind w:left="2760" w:right="1039" w:hanging="898"/>
        <w:spacing w:after="0" w:line="268" w:lineRule="auto"/>
        <w:tabs>
          <w:tab w:leader="none" w:pos="2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have established commercial operations and sales, marketing and distribution infrastructure for RYTELO, we have limited experience in sustaining and scaling these operations and our commercialization efforts may be unsuccessful or less successful than anticipated.</w:t>
      </w:r>
    </w:p>
    <w:p>
      <w:pPr>
        <w:spacing w:after="0" w:line="54" w:lineRule="exact"/>
        <w:rPr>
          <w:rFonts w:ascii="Times New Roman" w:cs="Times New Roman" w:eastAsia="Times New Roman" w:hAnsi="Times New Roman"/>
          <w:sz w:val="14"/>
          <w:szCs w:val="14"/>
          <w:color w:val="auto"/>
        </w:rPr>
      </w:pPr>
    </w:p>
    <w:p>
      <w:pPr>
        <w:ind w:left="2760" w:right="1239" w:hanging="898"/>
        <w:spacing w:after="0" w:line="292" w:lineRule="auto"/>
        <w:tabs>
          <w:tab w:leader="none" w:pos="2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continue to execute on our sales, marketing and distribution plans to commercialize RYTELO, we may be unable to generate meaningful product revenue.</w:t>
      </w:r>
    </w:p>
    <w:p>
      <w:pPr>
        <w:spacing w:after="0" w:line="37" w:lineRule="exact"/>
        <w:rPr>
          <w:rFonts w:ascii="Times New Roman" w:cs="Times New Roman" w:eastAsia="Times New Roman" w:hAnsi="Times New Roman"/>
          <w:sz w:val="14"/>
          <w:szCs w:val="14"/>
          <w:color w:val="auto"/>
        </w:rPr>
      </w:pPr>
    </w:p>
    <w:p>
      <w:pPr>
        <w:ind w:left="2760" w:right="1319" w:hanging="898"/>
        <w:spacing w:after="0" w:line="292" w:lineRule="auto"/>
        <w:tabs>
          <w:tab w:leader="none" w:pos="2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competition from existing products, product candidates and technologies, and competitors may develop new products and technologies. If these products, product</w:t>
      </w:r>
    </w:p>
    <w:p>
      <w:pPr>
        <w:sectPr>
          <w:pgSz w:w="11900" w:h="16869" w:orient="portrait"/>
          <w:cols w:equalWidth="0" w:num="1">
            <w:col w:w="9019"/>
          </w:cols>
          <w:pgMar w:left="1440" w:top="1048" w:right="1440" w:bottom="0" w:gutter="0" w:footer="0" w:header="0"/>
        </w:sectPr>
      </w:pPr>
    </w:p>
    <w:bookmarkStart w:id="3" w:name="page4"/>
    <w:bookmarkEnd w:id="3"/>
    <w:p>
      <w:pPr>
        <w:ind w:left="2760" w:right="1219"/>
        <w:spacing w:after="0" w:line="218" w:lineRule="auto"/>
        <w:rPr>
          <w:sz w:val="20"/>
          <w:szCs w:val="20"/>
          <w:color w:val="auto"/>
        </w:rPr>
      </w:pPr>
      <w:r>
        <w:rPr>
          <w:rFonts w:ascii="Times New Roman" w:cs="Times New Roman" w:eastAsia="Times New Roman" w:hAnsi="Times New Roman"/>
          <w:sz w:val="14"/>
          <w:szCs w:val="14"/>
          <w:color w:val="auto"/>
        </w:rPr>
        <w:t>candidates or technologies are deemed by the healthcare community to be superior to or more cost-effective than RYTELO, it would significantly impact the development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-168275</wp:posOffset>
            </wp:positionV>
            <wp:extent cx="5584190" cy="4851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4190" cy="4851400"/>
                    </a:xfrm>
                    <a:prstGeom prst="rect">
                      <a:avLst/>
                    </a:prstGeom>
                    <a:noFill/>
                  </pic:spPr>
                </pic:pic>
              </a:graphicData>
            </a:graphic>
          </wp:anchor>
        </w:drawing>
      </w:r>
    </w:p>
    <w:p>
      <w:pPr>
        <w:jc w:val="both"/>
        <w:ind w:left="2760" w:right="1039"/>
        <w:spacing w:after="0" w:line="264" w:lineRule="auto"/>
        <w:rPr>
          <w:sz w:val="20"/>
          <w:szCs w:val="20"/>
          <w:color w:val="auto"/>
        </w:rPr>
      </w:pPr>
      <w:r>
        <w:rPr>
          <w:rFonts w:ascii="Times New Roman" w:cs="Times New Roman" w:eastAsia="Times New Roman" w:hAnsi="Times New Roman"/>
          <w:sz w:val="14"/>
          <w:szCs w:val="14"/>
          <w:color w:val="auto"/>
        </w:rPr>
        <w:t>commercial viability of RYTELO, which would severely and adversely affect our financial results, business and business prospects, and the future of RYTELO, and might cause us to cease operations.</w:t>
      </w:r>
    </w:p>
    <w:p>
      <w:pPr>
        <w:spacing w:after="0" w:line="56" w:lineRule="exact"/>
        <w:rPr>
          <w:sz w:val="20"/>
          <w:szCs w:val="20"/>
          <w:color w:val="auto"/>
        </w:rPr>
      </w:pPr>
    </w:p>
    <w:p>
      <w:pPr>
        <w:ind w:left="2760" w:right="1019" w:hanging="898"/>
        <w:spacing w:after="0" w:line="274" w:lineRule="auto"/>
        <w:tabs>
          <w:tab w:leader="none" w:pos="2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subject to pricing and reimbursement regulations in the European Union, or EU, which may materially affect our ability to commercialize and receive reimbursement coverage for RYTELO in the EU.</w:t>
      </w:r>
    </w:p>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Regulatory Approval of RYTELO</w:t>
      </w:r>
    </w:p>
    <w:p>
      <w:pPr>
        <w:spacing w:after="0" w:line="187" w:lineRule="exact"/>
        <w:rPr>
          <w:sz w:val="20"/>
          <w:szCs w:val="20"/>
          <w:color w:val="auto"/>
        </w:rPr>
      </w:pPr>
    </w:p>
    <w:p>
      <w:pPr>
        <w:ind w:left="2760" w:right="1099" w:hanging="898"/>
        <w:spacing w:after="0" w:line="274" w:lineRule="auto"/>
        <w:tabs>
          <w:tab w:leader="none" w:pos="2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maintain regulatory approvals for RYTELO in the U.S. and the EU for lower-risk MDS, which would severely and adversely affect our business and business prospects, and might cause us to cease operations.</w:t>
      </w:r>
    </w:p>
    <w:p>
      <w:pPr>
        <w:spacing w:after="0" w:line="50" w:lineRule="exact"/>
        <w:rPr>
          <w:rFonts w:ascii="Times New Roman" w:cs="Times New Roman" w:eastAsia="Times New Roman" w:hAnsi="Times New Roman"/>
          <w:sz w:val="14"/>
          <w:szCs w:val="14"/>
          <w:color w:val="auto"/>
        </w:rPr>
      </w:pPr>
    </w:p>
    <w:p>
      <w:pPr>
        <w:ind w:left="2760" w:right="979" w:hanging="898"/>
        <w:spacing w:after="0" w:line="268" w:lineRule="auto"/>
        <w:tabs>
          <w:tab w:leader="none" w:pos="2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Compliance with Healthcare Laws</w:t>
      </w:r>
    </w:p>
    <w:p>
      <w:pPr>
        <w:spacing w:after="0" w:line="187" w:lineRule="exact"/>
        <w:rPr>
          <w:sz w:val="20"/>
          <w:szCs w:val="20"/>
          <w:color w:val="auto"/>
        </w:rPr>
      </w:pPr>
    </w:p>
    <w:p>
      <w:pPr>
        <w:ind w:left="2760" w:right="1059" w:hanging="898"/>
        <w:spacing w:after="0" w:line="262" w:lineRule="auto"/>
        <w:tabs>
          <w:tab w:leader="none" w:pos="2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healthcare providers, including physicians and third-party payors, the methods by which we promote RYTELO, and the content of our promotional materials and programs, are subject to applicable promotional, anti-kickback, fraud and abuse, and other healthcare laws and regulations, and our failure to comply with these laws could expose us to criminal sanctions, civil penalties, exclusion from federal health care programs, contractual damages, reputational harm and may adversely affect our business and financial results.</w:t>
      </w:r>
    </w:p>
    <w:p>
      <w:pPr>
        <w:spacing w:after="0" w:line="5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Further Development of Imetelstat</w:t>
      </w:r>
    </w:p>
    <w:p>
      <w:pPr>
        <w:spacing w:after="0" w:line="187" w:lineRule="exact"/>
        <w:rPr>
          <w:sz w:val="20"/>
          <w:szCs w:val="20"/>
          <w:color w:val="auto"/>
        </w:rPr>
      </w:pPr>
    </w:p>
    <w:p>
      <w:pPr>
        <w:ind w:left="2760" w:right="1079" w:hanging="898"/>
        <w:spacing w:after="0" w:line="274" w:lineRule="auto"/>
        <w:tabs>
          <w:tab w:leader="none" w:pos="2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spacing w:after="0" w:line="50" w:lineRule="exact"/>
        <w:rPr>
          <w:rFonts w:ascii="Times New Roman" w:cs="Times New Roman" w:eastAsia="Times New Roman" w:hAnsi="Times New Roman"/>
          <w:sz w:val="14"/>
          <w:szCs w:val="14"/>
          <w:color w:val="auto"/>
        </w:rPr>
      </w:pPr>
    </w:p>
    <w:p>
      <w:pPr>
        <w:ind w:left="2760" w:right="999" w:hanging="898"/>
        <w:spacing w:after="0" w:line="268" w:lineRule="auto"/>
        <w:tabs>
          <w:tab w:leader="none" w:pos="2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601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56019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2760" w:right="999" w:hanging="898"/>
        <w:spacing w:after="0" w:line="265" w:lineRule="auto"/>
        <w:tabs>
          <w:tab w:leader="none" w:pos="2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and data we disclosed from prior non-clinical studies and clinical trials, as well as any data disclosed as a result of an interim analysis, may not predict success in later clinical trials or the final analysis, and we cannot assure you that any ongoing or future clinical trials of imetelstat, including IMpactMF, will lead to similar results and data that could potentially enable us to obtain any further regulatory approvals.</w:t>
      </w:r>
    </w:p>
    <w:p>
      <w:pPr>
        <w:spacing w:after="0" w:line="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Manufacturing RYTELO (Imetelstat)</w:t>
      </w:r>
    </w:p>
    <w:p>
      <w:pPr>
        <w:spacing w:after="0" w:line="187" w:lineRule="exact"/>
        <w:rPr>
          <w:sz w:val="20"/>
          <w:szCs w:val="20"/>
          <w:color w:val="auto"/>
        </w:rPr>
      </w:pPr>
    </w:p>
    <w:p>
      <w:pPr>
        <w:ind w:left="2760" w:right="979" w:hanging="898"/>
        <w:spacing w:after="0" w:line="267" w:lineRule="auto"/>
        <w:tabs>
          <w:tab w:leader="none" w:pos="2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Operating Results, Financial Position and Need for Additional Capital</w:t>
      </w:r>
    </w:p>
    <w:p>
      <w:pPr>
        <w:spacing w:after="0" w:line="187" w:lineRule="exact"/>
        <w:rPr>
          <w:sz w:val="20"/>
          <w:szCs w:val="20"/>
          <w:color w:val="auto"/>
        </w:rPr>
      </w:pPr>
    </w:p>
    <w:p>
      <w:pPr>
        <w:ind w:left="2760" w:right="1019" w:hanging="898"/>
        <w:spacing w:after="0" w:line="292" w:lineRule="auto"/>
        <w:tabs>
          <w:tab w:leader="none" w:pos="2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net losses and may not achieve consistent future profitability for some time, if ever.</w:t>
      </w:r>
    </w:p>
    <w:p>
      <w:pPr>
        <w:spacing w:after="0" w:line="37" w:lineRule="exact"/>
        <w:rPr>
          <w:rFonts w:ascii="Times New Roman" w:cs="Times New Roman" w:eastAsia="Times New Roman" w:hAnsi="Times New Roman"/>
          <w:sz w:val="14"/>
          <w:szCs w:val="14"/>
          <w:color w:val="auto"/>
        </w:rPr>
      </w:pPr>
    </w:p>
    <w:p>
      <w:pPr>
        <w:ind w:left="2760" w:right="999" w:hanging="898"/>
        <w:spacing w:after="0" w:line="268" w:lineRule="auto"/>
        <w:tabs>
          <w:tab w:leader="none" w:pos="2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Indebtedness and Royalty Payment Obligations</w:t>
      </w:r>
    </w:p>
    <w:p>
      <w:pPr>
        <w:spacing w:after="0" w:line="176" w:lineRule="exact"/>
        <w:rPr>
          <w:sz w:val="20"/>
          <w:szCs w:val="20"/>
          <w:color w:val="auto"/>
        </w:rPr>
      </w:pPr>
    </w:p>
    <w:p>
      <w:pPr>
        <w:ind w:left="2760" w:right="1099" w:hanging="898"/>
        <w:spacing w:after="0" w:line="274" w:lineRule="auto"/>
        <w:tabs>
          <w:tab w:leader="none" w:pos="2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indebtedness and debt service obligations could adversely affect our financial condition and may make it more difficult for us to fund our operations, including by limiting our operating and financial flexibility.</w:t>
      </w:r>
    </w:p>
    <w:p>
      <w:pPr>
        <w:spacing w:after="0" w:line="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Protecting Our Intellectual Property</w:t>
      </w:r>
    </w:p>
    <w:p>
      <w:pPr>
        <w:spacing w:after="0" w:line="29" w:lineRule="exact"/>
        <w:rPr>
          <w:sz w:val="20"/>
          <w:szCs w:val="20"/>
          <w:color w:val="auto"/>
        </w:rPr>
      </w:pPr>
    </w:p>
    <w:p>
      <w:pPr>
        <w:ind w:left="2760" w:right="1099" w:hanging="898"/>
        <w:spacing w:after="0" w:line="261" w:lineRule="auto"/>
        <w:tabs>
          <w:tab w:leader="none" w:pos="2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spacing w:after="0" w:line="5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Managing Our Growth and Other Business Operations</w:t>
      </w:r>
    </w:p>
    <w:p>
      <w:pPr>
        <w:spacing w:after="0" w:line="187" w:lineRule="exact"/>
        <w:rPr>
          <w:sz w:val="20"/>
          <w:szCs w:val="20"/>
          <w:color w:val="auto"/>
        </w:rPr>
      </w:pPr>
    </w:p>
    <w:p>
      <w:pPr>
        <w:ind w:left="2760" w:right="1059" w:hanging="898"/>
        <w:spacing w:after="0" w:line="268" w:lineRule="auto"/>
        <w:tabs>
          <w:tab w:leader="none" w:pos="2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strategic restructuring plan and the associated workforce reduction implemented in December 2025 may not result in anticipated savings and long-term value creation, could result in total costs and operating expenses that are greater than expected and could disrupt our business.</w:t>
      </w:r>
    </w:p>
    <w:p>
      <w:pPr>
        <w:spacing w:after="0" w:line="54" w:lineRule="exact"/>
        <w:rPr>
          <w:rFonts w:ascii="Times New Roman" w:cs="Times New Roman" w:eastAsia="Times New Roman" w:hAnsi="Times New Roman"/>
          <w:sz w:val="14"/>
          <w:szCs w:val="14"/>
          <w:color w:val="auto"/>
        </w:rPr>
      </w:pPr>
    </w:p>
    <w:p>
      <w:pPr>
        <w:ind w:left="2760" w:right="1159" w:hanging="898"/>
        <w:spacing w:after="0" w:line="265" w:lineRule="auto"/>
        <w:tabs>
          <w:tab w:leader="none" w:pos="2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certain of our current and former officers and directors have been named as defendants in securities class action lawsuits and derivative lawsuits. These lawsuits, and potential similar or related lawsuits, are costly to defend, could result in substantial damages, divert management’s time and attention from our business, and have a material adverse effect on our results of operations.</w:t>
      </w:r>
    </w:p>
    <w:p>
      <w:pPr>
        <w:spacing w:after="0" w:line="197" w:lineRule="exact"/>
        <w:rPr>
          <w:sz w:val="20"/>
          <w:szCs w:val="20"/>
          <w:color w:val="auto"/>
        </w:rPr>
      </w:pPr>
    </w:p>
    <w:p>
      <w:pPr>
        <w:ind w:left="960"/>
        <w:spacing w:after="0" w:line="161" w:lineRule="exact"/>
        <w:rPr>
          <w:sz w:val="20"/>
          <w:szCs w:val="20"/>
          <w:color w:val="auto"/>
        </w:rPr>
      </w:pPr>
      <w:r>
        <w:rPr>
          <w:rFonts w:ascii="Times New Roman" w:cs="Times New Roman" w:eastAsia="Times New Roman" w:hAnsi="Times New Roman"/>
          <w:sz w:val="14"/>
          <w:szCs w:val="14"/>
          <w:b w:val="1"/>
          <w:bCs w:val="1"/>
          <w:color w:val="auto"/>
        </w:rPr>
        <w:t>Calculation of Aggregate Market Value of 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Affiliate Shares</w:t>
      </w:r>
    </w:p>
    <w:p>
      <w:pPr>
        <w:sectPr>
          <w:pgSz w:w="11900" w:h="16838" w:orient="portrait"/>
          <w:cols w:equalWidth="0" w:num="1">
            <w:col w:w="9019"/>
          </w:cols>
          <w:pgMar w:left="1440" w:top="114" w:right="1440" w:bottom="0" w:gutter="0" w:footer="0" w:header="0"/>
        </w:sectPr>
      </w:pPr>
    </w:p>
    <w:bookmarkStart w:id="4" w:name="page5"/>
    <w:bookmarkEnd w:id="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612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4190" cy="161226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4"/>
          <w:szCs w:val="14"/>
          <w:color w:val="auto"/>
        </w:rPr>
        <w:t>For purposes of calculating the aggregate market value of shares of our common stock held by</w:t>
      </w:r>
    </w:p>
    <w:p>
      <w:pPr>
        <w:spacing w:after="0" w:line="25" w:lineRule="exact"/>
        <w:rPr>
          <w:sz w:val="20"/>
          <w:szCs w:val="20"/>
          <w:color w:val="auto"/>
        </w:rPr>
      </w:pPr>
    </w:p>
    <w:p>
      <w:pPr>
        <w:ind w:left="96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affiliates as set forth on the cover page of this Report, we have assumed that all outstanding shares are held by</w:t>
      </w:r>
    </w:p>
    <w:p>
      <w:pPr>
        <w:spacing w:after="0" w:line="13" w:lineRule="exact"/>
        <w:rPr>
          <w:sz w:val="20"/>
          <w:szCs w:val="20"/>
          <w:color w:val="auto"/>
        </w:rPr>
      </w:pPr>
    </w:p>
    <w:p>
      <w:pPr>
        <w:ind w:left="96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affiliates, except for shares held directly or indirectly by each of our executive officers and directors. In the case of 5%</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or greater stockholders, we have not deemed any such stockholders to be affiliates given the lack of facts and</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circumstances that would indicate that any such stockholders exercise, or have the ability to exercise, any control over</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Geron. These assumptions should not be deemed to constitute an admission that all executive officers and directors are, in</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fact, affiliates of Geron, or that there are no other persons who may be deemed to be affiliates of Geron. Further</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information concerning shareholdings of our executive officers, directors and principal stockholders is incorporated by</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reference in Part III, Item 12 of this Report.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354" w:lineRule="exact"/>
        <w:rPr>
          <w:sz w:val="20"/>
          <w:szCs w:val="20"/>
          <w:color w:val="auto"/>
        </w:rPr>
      </w:pPr>
    </w:p>
    <w:p>
      <w:pPr>
        <w:ind w:left="96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ITEM 1.</w:t>
        <w:tab/>
        <w:t>BUSINESS</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5" w:lineRule="exact"/>
        <w:rPr>
          <w:sz w:val="20"/>
          <w:szCs w:val="20"/>
          <w:color w:val="auto"/>
        </w:rPr>
      </w:pPr>
    </w:p>
    <w:p>
      <w:pPr>
        <w:ind w:left="960" w:right="1079" w:firstLine="902"/>
        <w:spacing w:after="0" w:line="265" w:lineRule="auto"/>
        <w:rPr>
          <w:sz w:val="20"/>
          <w:szCs w:val="20"/>
          <w:color w:val="auto"/>
        </w:rPr>
      </w:pPr>
      <w:r>
        <w:rPr>
          <w:rFonts w:ascii="Times New Roman" w:cs="Times New Roman" w:eastAsia="Times New Roman" w:hAnsi="Times New Roman"/>
          <w:sz w:val="14"/>
          <w:szCs w:val="14"/>
          <w:color w:val="auto"/>
        </w:rPr>
        <w:t>We are a commercial-stage biopharmaceutical company aiming to change lives by changing the course of blood cancer. Our first-in-class telomerase inhibitor, RYTELO® (imetelstat), harnesses Nobel Prize 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w:t>
      </w:r>
    </w:p>
    <w:p>
      <w:pPr>
        <w:spacing w:after="0" w:line="142" w:lineRule="exact"/>
        <w:rPr>
          <w:sz w:val="20"/>
          <w:szCs w:val="20"/>
          <w:color w:val="auto"/>
        </w:rPr>
      </w:pPr>
    </w:p>
    <w:p>
      <w:pPr>
        <w:ind w:left="960" w:right="1019" w:firstLine="902"/>
        <w:spacing w:after="0" w:line="260" w:lineRule="auto"/>
        <w:rPr>
          <w:sz w:val="20"/>
          <w:szCs w:val="20"/>
          <w:color w:val="auto"/>
        </w:rPr>
      </w:pPr>
      <w:r>
        <w:rPr>
          <w:rFonts w:ascii="Times New Roman" w:cs="Times New Roman" w:eastAsia="Times New Roman" w:hAnsi="Times New Roman"/>
          <w:sz w:val="14"/>
          <w:szCs w:val="14"/>
          <w:color w:val="auto"/>
        </w:rPr>
        <w:t>We commercially launched RYTELO in the U.S. in June 2024 following its approval by the U.S. Food and Drug Administration, or FDA, on June 6, 2024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We believe that the results of our Phase 3 clinical trial, IMerge, in LR-MDS, favorable FDA label and National Comprehensive Cancer Network, or NCCN®, Clinical Practice Guidelines in Oncology, or NCCN Guidelines®, position RYTELO as a potential treatment that can compete for significant market segments in lower-risk MDS, including second-line ESA ineligible patients regardless of prior treatment or RS status and first-line ESA ineligible patients.</w:t>
      </w:r>
    </w:p>
    <w:p>
      <w:pPr>
        <w:spacing w:after="0" w:line="318"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In March 2025, we received European Commission (EC) approval of RYTELO for the treatment of adults with TD anemia due to lower-risk MDS without an isolated deletion 5q cytogenetic (non-del 5q) abnormality and who had an unsatisfactory response to or are ineligible for ESAs. RYTELO is the first and only telomerase inhibitor approved by the EC, and the marketing authorization applies to all 27 European Union member states, and Iceland, Norway and Liechtenstein. We are pursuing paths to make RYTELO available to eligible LR-MDS patients outside of the U.S., including in the EU. To enable paid access to patients outside the United States through approved Named Patient Programs (NPPs), we have partnered with Tanner Pharma, a distributor with broad global reach to support patient access. To date, our revenues pursuant to NPPs have been minimal.</w:t>
      </w:r>
    </w:p>
    <w:p>
      <w:pPr>
        <w:spacing w:after="0" w:line="307" w:lineRule="exact"/>
        <w:rPr>
          <w:sz w:val="20"/>
          <w:szCs w:val="20"/>
          <w:color w:val="auto"/>
        </w:rPr>
      </w:pPr>
    </w:p>
    <w:p>
      <w:pPr>
        <w:ind w:left="960" w:right="979" w:firstLine="902"/>
        <w:spacing w:after="0" w:line="262" w:lineRule="auto"/>
        <w:rPr>
          <w:sz w:val="20"/>
          <w:szCs w:val="20"/>
          <w:color w:val="auto"/>
        </w:rPr>
      </w:pPr>
      <w:r>
        <w:rPr>
          <w:rFonts w:ascii="Times New Roman" w:cs="Times New Roman" w:eastAsia="Times New Roman" w:hAnsi="Times New Roman"/>
          <w:sz w:val="14"/>
          <w:szCs w:val="14"/>
          <w:color w:val="auto"/>
        </w:rPr>
        <w:t>In addition to lower-risk MDS, we are developing imetelstat for the treatment of other myeloid hematologic malignancies. Our Phase 3 IMpactMF clinical trial is evaluating imetelstat in patients with intermediate-2 or high-risk myelofibrosis, or MF, who have relapsed after or are refractory to treatment with a janus associate kinase inhibitor, or JAK inhibitor, or relapsed/refractory MF, or R/R MF, with overall survival, or OS, as the primary endpoint. As of September 2025, the trial completed enrollment. Based on our current assumptions for event (death) rates in the trial, we expect the interim analysis for OS in IMpactMF may occur in the second half of 2026 and the final analysis may occur in the second half of 2028.</w:t>
      </w:r>
    </w:p>
    <w:p>
      <w:pPr>
        <w:spacing w:after="0" w:line="144" w:lineRule="exact"/>
        <w:rPr>
          <w:sz w:val="20"/>
          <w:szCs w:val="20"/>
          <w:color w:val="auto"/>
        </w:rPr>
      </w:pPr>
    </w:p>
    <w:p>
      <w:pPr>
        <w:ind w:left="960" w:right="1119" w:firstLine="902"/>
        <w:spacing w:after="0" w:line="292" w:lineRule="auto"/>
        <w:rPr>
          <w:sz w:val="20"/>
          <w:szCs w:val="20"/>
          <w:color w:val="auto"/>
        </w:rPr>
      </w:pPr>
      <w:r>
        <w:rPr>
          <w:rFonts w:ascii="Times New Roman" w:cs="Times New Roman" w:eastAsia="Times New Roman" w:hAnsi="Times New Roman"/>
          <w:sz w:val="14"/>
          <w:szCs w:val="14"/>
          <w:color w:val="auto"/>
        </w:rPr>
        <w:t>We believe that telomerase inhibition with imetelstat represents a novel mechanism of action with unique benefits in hematologic malignancies and potentially in other tumor types.</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85"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Our strategy is to maximize the value of our first-in-class telomerase inhibitor, RYTELO (imetelstat). This includes maximizing the commercial opportunity for RYTELO in lower-risk MDS by investing in and executing on our U.S. commercial efforts. We expect to deliver steady growth by executing across several key imperatives, including driving new patient starts across all eligible lower-risk MDS population segments, particularly in second-line lower-risk MDS; reinforcing with health care providers, or HCPs, the value of duration of treatment we have observed with RYTELO; educating HCPs on appropriate management of patient safety with RYTELO; and leveraging strong payor access for RYTELO. We are also pursing paths to bring RYTELO to eligible LR-MDS patients outside the United States including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557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4190" cy="15576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We also plan to progress our development programs that could help identify potential additional indications for imetelstat. This includes the Phase 3 IMpactMF trial, which, if positive and approved in label expansion, could significantly increase the RYTELO commercial opportunity. Additionally, we plan to execute on our pipeline programs and assess the data to understand the potential to develop imetelstat in additional hematologic malignancies and as a potential combination therapy.</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U.S. Commercialization of RYTELO</w:t>
      </w:r>
    </w:p>
    <w:p>
      <w:pPr>
        <w:spacing w:after="0" w:line="185" w:lineRule="exact"/>
        <w:rPr>
          <w:sz w:val="20"/>
          <w:szCs w:val="20"/>
          <w:color w:val="auto"/>
        </w:rPr>
      </w:pPr>
    </w:p>
    <w:p>
      <w:pPr>
        <w:ind w:left="960" w:right="1079" w:firstLine="902"/>
        <w:spacing w:after="0" w:line="292" w:lineRule="auto"/>
        <w:rPr>
          <w:sz w:val="20"/>
          <w:szCs w:val="20"/>
          <w:color w:val="auto"/>
        </w:rPr>
      </w:pPr>
      <w:r>
        <w:rPr>
          <w:rFonts w:ascii="Times New Roman" w:cs="Times New Roman" w:eastAsia="Times New Roman" w:hAnsi="Times New Roman"/>
          <w:sz w:val="14"/>
          <w:szCs w:val="14"/>
          <w:color w:val="auto"/>
        </w:rPr>
        <w:t>RYTELO is the first and only FDA approved telomerase inhibitor. The FDA label indicates that RYTELO is approved for certain ESA ineligible or ESA relapsed/refractory lower-risk MDS patients, regardless of RS status. The</w:t>
      </w:r>
    </w:p>
    <w:p>
      <w:pPr>
        <w:sectPr>
          <w:pgSz w:w="11900" w:h="16847" w:orient="portrait"/>
          <w:cols w:equalWidth="0" w:num="1">
            <w:col w:w="9019"/>
          </w:cols>
          <w:pgMar w:left="1440" w:top="179" w:right="1440" w:bottom="0" w:gutter="0" w:footer="0" w:header="0"/>
        </w:sectPr>
      </w:pPr>
    </w:p>
    <w:bookmarkStart w:id="5" w:name="page6"/>
    <w:bookmarkEnd w:id="5"/>
    <w:p>
      <w:pPr>
        <w:ind w:left="960" w:right="999"/>
        <w:spacing w:after="0" w:line="202" w:lineRule="auto"/>
        <w:rPr>
          <w:sz w:val="20"/>
          <w:szCs w:val="20"/>
          <w:color w:val="auto"/>
        </w:rPr>
      </w:pPr>
      <w:r>
        <w:rPr>
          <w:rFonts w:ascii="Times New Roman" w:cs="Times New Roman" w:eastAsia="Times New Roman" w:hAnsi="Times New Roman"/>
          <w:sz w:val="14"/>
          <w:szCs w:val="14"/>
          <w:color w:val="auto"/>
        </w:rPr>
        <w:t>MDS NCCN Guidelines® include imetelstat as a Category 1 preferred option treatment in second-line RS+/RS- ESA-eligible patients regardless of prior treatment options and as a Category 2A treatment for first-line ESA-ineligible RS+/RS-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-154940</wp:posOffset>
            </wp:positionV>
            <wp:extent cx="5584190" cy="565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4190" cy="5655945"/>
                    </a:xfrm>
                    <a:prstGeom prst="rect">
                      <a:avLst/>
                    </a:prstGeom>
                    <a:noFill/>
                  </pic:spPr>
                </pic:pic>
              </a:graphicData>
            </a:graphic>
          </wp:anchor>
        </w:drawing>
      </w:r>
    </w:p>
    <w:p>
      <w:pPr>
        <w:ind w:left="960" w:right="1279"/>
        <w:spacing w:after="0" w:line="272" w:lineRule="auto"/>
        <w:rPr>
          <w:sz w:val="20"/>
          <w:szCs w:val="20"/>
          <w:color w:val="auto"/>
        </w:rPr>
      </w:pPr>
      <w:r>
        <w:rPr>
          <w:rFonts w:ascii="Times New Roman" w:cs="Times New Roman" w:eastAsia="Times New Roman" w:hAnsi="Times New Roman"/>
          <w:sz w:val="14"/>
          <w:szCs w:val="14"/>
          <w:color w:val="auto"/>
        </w:rPr>
        <w:t>patients. In October 2025, the MDS NCCN Guidelines® were updated to change from azacitadine to imetelstat as the preferred option in first-line RS- ESA-ineligible patients.</w:t>
      </w:r>
    </w:p>
    <w:p>
      <w:pPr>
        <w:spacing w:after="0" w:line="137" w:lineRule="exact"/>
        <w:rPr>
          <w:sz w:val="20"/>
          <w:szCs w:val="20"/>
          <w:color w:val="auto"/>
        </w:rPr>
      </w:pPr>
    </w:p>
    <w:p>
      <w:pPr>
        <w:ind w:left="960" w:right="1099" w:firstLine="902"/>
        <w:spacing w:after="0" w:line="292" w:lineRule="auto"/>
        <w:rPr>
          <w:sz w:val="20"/>
          <w:szCs w:val="20"/>
          <w:color w:val="auto"/>
        </w:rPr>
      </w:pPr>
      <w:r>
        <w:rPr>
          <w:rFonts w:ascii="Times New Roman" w:cs="Times New Roman" w:eastAsia="Times New Roman" w:hAnsi="Times New Roman"/>
          <w:sz w:val="14"/>
          <w:szCs w:val="14"/>
          <w:color w:val="auto"/>
        </w:rPr>
        <w:t>Our commercial strategy is designed to ensure that RYTELO reaches eligible patients when they are most likely to benefit.</w:t>
      </w:r>
    </w:p>
    <w:p>
      <w:pPr>
        <w:spacing w:after="0" w:line="12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Our commercial execution is focused on three core initiatives.</w:t>
      </w:r>
    </w:p>
    <w:p>
      <w:pPr>
        <w:spacing w:after="0" w:line="183" w:lineRule="exact"/>
        <w:rPr>
          <w:sz w:val="20"/>
          <w:szCs w:val="20"/>
          <w:color w:val="auto"/>
        </w:rPr>
      </w:pPr>
    </w:p>
    <w:p>
      <w:pPr>
        <w:ind w:left="2760" w:hanging="898"/>
        <w:spacing w:after="0"/>
        <w:tabs>
          <w:tab w:leader="none" w:pos="2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targeted engagement with high-volume accounts that treat earlier-line patients.</w:t>
      </w:r>
    </w:p>
    <w:p>
      <w:pPr>
        <w:spacing w:after="0" w:line="96" w:lineRule="exact"/>
        <w:rPr>
          <w:rFonts w:ascii="Times New Roman" w:cs="Times New Roman" w:eastAsia="Times New Roman" w:hAnsi="Times New Roman"/>
          <w:sz w:val="14"/>
          <w:szCs w:val="14"/>
          <w:color w:val="auto"/>
        </w:rPr>
      </w:pPr>
    </w:p>
    <w:p>
      <w:pPr>
        <w:ind w:left="2760" w:right="979" w:hanging="898"/>
        <w:spacing w:after="0" w:line="246" w:lineRule="auto"/>
        <w:tabs>
          <w:tab w:leader="none" w:pos="2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we are investing in what we believe to be the most effective marketing channels. This includes a strong emphasis on digital, non-personal promotion, and third-party educational platforms designed to ensure consistent, high-quality messaging across multiple touchpoints.</w:t>
      </w:r>
    </w:p>
    <w:p>
      <w:pPr>
        <w:ind w:left="2760" w:right="1559" w:hanging="898"/>
        <w:spacing w:after="0" w:line="268" w:lineRule="auto"/>
        <w:tabs>
          <w:tab w:leader="none" w:pos="2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we are executing cross-functionally through effective account management initiatives.</w:t>
      </w:r>
    </w:p>
    <w:p>
      <w:pPr>
        <w:spacing w:after="0" w:line="54" w:lineRule="exact"/>
        <w:rPr>
          <w:sz w:val="20"/>
          <w:szCs w:val="20"/>
          <w:color w:val="auto"/>
        </w:rPr>
      </w:pPr>
    </w:p>
    <w:p>
      <w:pPr>
        <w:ind w:left="960" w:right="1039" w:firstLine="902"/>
        <w:spacing w:after="0" w:line="247" w:lineRule="auto"/>
        <w:rPr>
          <w:sz w:val="20"/>
          <w:szCs w:val="20"/>
          <w:color w:val="auto"/>
        </w:rPr>
      </w:pPr>
      <w:r>
        <w:rPr>
          <w:rFonts w:ascii="Times New Roman" w:cs="Times New Roman" w:eastAsia="Times New Roman" w:hAnsi="Times New Roman"/>
          <w:sz w:val="14"/>
          <w:szCs w:val="14"/>
          <w:color w:val="auto"/>
        </w:rPr>
        <w:t xml:space="preserve">Our cross-functional customer-facing teams include over 60 key account managers, regional business directors, regional marketers, regional access directors , and regional medical scientific directors. We offer a wide range of resources to support access and affordability for eligible RYTELO patients, including our REACH4RYTELO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patient support program, which provides a range of resources which are designed to support access and affordability to eligible patients prescribed RYTELO.</w:t>
      </w:r>
    </w:p>
    <w:p>
      <w:pPr>
        <w:spacing w:after="0" w:line="15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Commercialization Plans for RYTELO Outside of the U.S.</w:t>
      </w:r>
    </w:p>
    <w:p>
      <w:pPr>
        <w:spacing w:after="0" w:line="185" w:lineRule="exact"/>
        <w:rPr>
          <w:sz w:val="20"/>
          <w:szCs w:val="20"/>
          <w:color w:val="auto"/>
        </w:rPr>
      </w:pPr>
    </w:p>
    <w:p>
      <w:pPr>
        <w:ind w:left="960" w:right="1039" w:firstLine="902"/>
        <w:spacing w:after="0" w:line="260" w:lineRule="auto"/>
        <w:rPr>
          <w:sz w:val="20"/>
          <w:szCs w:val="20"/>
          <w:color w:val="auto"/>
        </w:rPr>
      </w:pPr>
      <w:r>
        <w:rPr>
          <w:rFonts w:ascii="Times New Roman" w:cs="Times New Roman" w:eastAsia="Times New Roman" w:hAnsi="Times New Roman"/>
          <w:sz w:val="14"/>
          <w:szCs w:val="14"/>
          <w:color w:val="auto"/>
        </w:rPr>
        <w:t>In March 2025, we received European Commission approval, of RYTELO for the treatment of adults with TD anemia due to lower-risk MDS. We are pursuing paths to make RYTELO available to eligible LR-MDS patients outside of the U.S., including in the EU. We are preparing for the planned commercialization of RYTELO in select EU markets in 2026. At this time, we do not plan to commercialize RYTELO independently in the EU (or in any other regions outside of the U.S. where RYTELO may be approved for marketing in the future). Accordingly, we plan to work with experienced third parties for the commercialization and marketing of RYTELO in the EU, including on critical path activities for the planned launch of RYTELO in the EU, such as reimbursement, Health Technology Assessment, or HTA, submissions, market access and distribution.To enable paid access to patients outside the United States through approved Named Patient Programs (NPPs), we partnered with Tanner Pharma, a distributor with broad global reach to support patient access. To date, revenues pursuant to NPPs have been minimal.</w:t>
      </w:r>
    </w:p>
    <w:p>
      <w:pPr>
        <w:spacing w:after="0" w:line="3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Background of Telomerase Inhibition in Hematologic Malignancies and Imetelstat Development</w:t>
      </w:r>
    </w:p>
    <w:p>
      <w:pPr>
        <w:spacing w:after="0" w:line="185"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In the human body, normal growth and maintenance of tissues occurs by cell division. However, most cells are only able to divide a limited number of times, and this number of divisions is regulated by telomere length. Telomeres are repetitions of a deoxyribonucleic acid, or DNA, sequence located at the ends of chromosomes. They act as protective caps to maintain stability and integrity of the chromosomes, which contain the cell’s genetic material. Normally, every time a cell divides, the telomeres shorten. Eventually, they shrink to a critically short length, and as a result, the cell either dies by apoptosis or stops dividing and senesces.</w:t>
      </w:r>
    </w:p>
    <w:p>
      <w:pPr>
        <w:spacing w:after="0" w:line="144" w:lineRule="exact"/>
        <w:rPr>
          <w:sz w:val="20"/>
          <w:szCs w:val="20"/>
          <w:color w:val="auto"/>
        </w:rPr>
      </w:pPr>
    </w:p>
    <w:p>
      <w:pPr>
        <w:ind w:left="960" w:right="1099" w:firstLine="902"/>
        <w:spacing w:after="0" w:line="292" w:lineRule="auto"/>
        <w:rPr>
          <w:sz w:val="20"/>
          <w:szCs w:val="20"/>
          <w:color w:val="auto"/>
        </w:rPr>
      </w:pPr>
      <w:r>
        <w:rPr>
          <w:rFonts w:ascii="Times New Roman" w:cs="Times New Roman" w:eastAsia="Times New Roman" w:hAnsi="Times New Roman"/>
          <w:sz w:val="14"/>
          <w:szCs w:val="14"/>
          <w:color w:val="auto"/>
        </w:rPr>
        <w:t>Telomerase is a naturally occurring enzyme that maintains telomeres and prevents them from shortening during cell division, such as stem cells that must remain immortalized to support normal health. Telomerase consists of at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796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4190" cy="47967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79"/>
        <w:spacing w:after="0" w:line="268" w:lineRule="auto"/>
        <w:rPr>
          <w:sz w:val="20"/>
          <w:szCs w:val="20"/>
          <w:color w:val="auto"/>
        </w:rPr>
      </w:pPr>
      <w:r>
        <w:rPr>
          <w:rFonts w:ascii="Times New Roman" w:cs="Times New Roman" w:eastAsia="Times New Roman" w:hAnsi="Times New Roman"/>
          <w:sz w:val="14"/>
          <w:szCs w:val="14"/>
          <w:color w:val="auto"/>
        </w:rPr>
        <w:t>least two essential components: a ribonucleic acid, or RNA, template, which binds to the telomere, and a catalytic subunit with reverse transcriptase activity, which adds a specific DNA sequence to the chromosome ends. The 2009 Nobel Prize for Physiology or Medicine was awarded to Drs. Elizabeth H. Blackburn, Carol W. Greider and Jack Szostak, former Geron collaborators, for the discovery of how chromosomes are protected by both telomeres and telomerase.</w:t>
      </w:r>
    </w:p>
    <w:p>
      <w:pPr>
        <w:spacing w:after="0" w:line="140"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Telomerase is upregulated in many tumor cells and malignant stem and progenitor cells, enabling the continued and uncontrolled proliferation of the malignant cells that drive tumor growth and progression. We believe that inhibiting telomerase may be an attractive approach to treating cancer because it may limit the proliferative capacity of malignant stem and progenitor cells, which are believed to be important drivers of tumor growth and progression. We and others have observed in various in vitro, ex vivo and rodent tumor models that inhibiting telomerase: (a) results in telomere shortening and (b) arrests uncontrolled malignant cell proliferation and tumor growth.</w:t>
      </w:r>
    </w:p>
    <w:p>
      <w:pPr>
        <w:spacing w:after="0" w:line="144" w:lineRule="exact"/>
        <w:rPr>
          <w:sz w:val="20"/>
          <w:szCs w:val="20"/>
          <w:color w:val="auto"/>
        </w:rPr>
      </w:pPr>
    </w:p>
    <w:p>
      <w:pPr>
        <w:ind w:left="960" w:right="1119" w:firstLine="902"/>
        <w:spacing w:after="0" w:line="182" w:lineRule="exact"/>
        <w:rPr>
          <w:sz w:val="20"/>
          <w:szCs w:val="20"/>
          <w:color w:val="auto"/>
        </w:rPr>
      </w:pPr>
      <w:r>
        <w:rPr>
          <w:rFonts w:ascii="Times New Roman" w:cs="Times New Roman" w:eastAsia="Times New Roman" w:hAnsi="Times New Roman"/>
          <w:sz w:val="14"/>
          <w:szCs w:val="14"/>
          <w:color w:val="auto"/>
        </w:rPr>
        <w:t>Many myeloid hematologic malignancies, such as essential thrombocythemia, or ET, MF and MDS, have been shown to arise from malignant stem and progenitor cells that express higher telomerase activity and have shorter telomeres when compared to normal healthy cells. In vitro studies have suggested that tumor cells with short telomeres may be especially sensitive to the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proliferative effects of inhibiting telomerase.</w:t>
      </w:r>
    </w:p>
    <w:p>
      <w:pPr>
        <w:spacing w:after="0" w:line="135" w:lineRule="exact"/>
        <w:rPr>
          <w:sz w:val="20"/>
          <w:szCs w:val="20"/>
          <w:color w:val="auto"/>
        </w:rPr>
      </w:pPr>
    </w:p>
    <w:p>
      <w:pPr>
        <w:ind w:left="960" w:right="1479" w:firstLine="902"/>
        <w:spacing w:after="0" w:line="292" w:lineRule="auto"/>
        <w:rPr>
          <w:sz w:val="20"/>
          <w:szCs w:val="20"/>
          <w:color w:val="auto"/>
        </w:rPr>
      </w:pPr>
      <w:r>
        <w:rPr>
          <w:rFonts w:ascii="Times New Roman" w:cs="Times New Roman" w:eastAsia="Times New Roman" w:hAnsi="Times New Roman"/>
          <w:sz w:val="14"/>
          <w:szCs w:val="14"/>
          <w:color w:val="auto"/>
        </w:rPr>
        <w:t>Imetelstat, our proprietary telomerase inhibitor which was discovered and developed at Geron, was designed to inhibit telomerase in malignant cells with continuously upregulated telomerase.</w:t>
      </w:r>
    </w:p>
    <w:p>
      <w:pPr>
        <w:spacing w:after="0" w:line="92" w:lineRule="exact"/>
        <w:rPr>
          <w:sz w:val="20"/>
          <w:szCs w:val="20"/>
          <w:color w:val="auto"/>
        </w:rPr>
      </w:pPr>
    </w:p>
    <w:p>
      <w:pPr>
        <w:ind w:left="960" w:right="999" w:firstLine="902"/>
        <w:spacing w:after="0" w:line="178" w:lineRule="exact"/>
        <w:rPr>
          <w:sz w:val="20"/>
          <w:szCs w:val="20"/>
          <w:color w:val="auto"/>
        </w:rPr>
      </w:pPr>
      <w:r>
        <w:rPr>
          <w:rFonts w:ascii="Times New Roman" w:cs="Times New Roman" w:eastAsia="Times New Roman" w:hAnsi="Times New Roman"/>
          <w:sz w:val="14"/>
          <w:szCs w:val="14"/>
          <w:color w:val="auto"/>
        </w:rPr>
        <w:t>Imetelstat is a lipid conjugated 13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mer oligonucleotide that we designed to be complementary to and bind with high affinity to the RNA template of telomerase, thereby directly inhibiting telomerase activity. Imetelstat does not act as an antisense inhibitor of protein translation. The compound has a proprietary thio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phosphoramidate backbone, which is designed to provide resistance to the effect of cellular nucleases, thus conferring improved stability in plasma and tissues, as well as improved binding affinity to its target. To improve the ability of imetelstat to penetrate cellular membranes, we conjugated the oligonucleotide to a lipid group. Imetelstat’s IC50, or half maximal inhibitory concentration, is 3 – 9 nM in cell free assays.</w:t>
      </w:r>
    </w:p>
    <w:p>
      <w:pPr>
        <w:spacing w:after="0" w:line="162" w:lineRule="exact"/>
        <w:rPr>
          <w:sz w:val="20"/>
          <w:szCs w:val="20"/>
          <w:color w:val="auto"/>
        </w:rPr>
      </w:pPr>
    </w:p>
    <w:p>
      <w:pPr>
        <w:ind w:left="960" w:right="1079" w:firstLine="902"/>
        <w:spacing w:after="0" w:line="259" w:lineRule="auto"/>
        <w:rPr>
          <w:sz w:val="20"/>
          <w:szCs w:val="20"/>
          <w:color w:val="auto"/>
        </w:rPr>
      </w:pPr>
      <w:r>
        <w:rPr>
          <w:rFonts w:ascii="Times New Roman" w:cs="Times New Roman" w:eastAsia="Times New Roman" w:hAnsi="Times New Roman"/>
          <w:sz w:val="14"/>
          <w:szCs w:val="14"/>
          <w:color w:val="auto"/>
        </w:rPr>
        <w:t xml:space="preserve">We believe that imetelstat may have the potential to suppress the proliferation of malignant stem and progenitor cells while transiently affecting normal cells. Early clinical data from a Phase 2 trial of imetelstat in patients with ET, or the ET Trial, and a pilot study of imetelstat in patients with MF conducted at Mayo Clinic, or the Pilot Study, suggested that imetelstat inhibits the progenitor cells of the malignant clones believed to be responsible for the underlying diseases in a relatively select manner, indicating potential disease-modifying activity. These data were published in two separate articles in a September 2015 issue of </w:t>
      </w:r>
      <w:r>
        <w:rPr>
          <w:rFonts w:ascii="Times New Roman" w:cs="Times New Roman" w:eastAsia="Times New Roman" w:hAnsi="Times New Roman"/>
          <w:sz w:val="14"/>
          <w:szCs w:val="14"/>
          <w:i w:val="1"/>
          <w:iCs w:val="1"/>
          <w:color w:val="auto"/>
        </w:rPr>
        <w:t>The New England Journal of Medicine</w:t>
      </w:r>
      <w:r>
        <w:rPr>
          <w:rFonts w:ascii="Times New Roman" w:cs="Times New Roman" w:eastAsia="Times New Roman" w:hAnsi="Times New Roman"/>
          <w:sz w:val="14"/>
          <w:szCs w:val="14"/>
          <w:color w:val="auto"/>
        </w:rPr>
        <w:t xml:space="preserve">. In the Phase 2 IMbark study, an association of survival improvement and reduction in variant allele frequency, or VAF, was observed for high-risk imetelstat-treated MF patients, results which were published in </w:t>
      </w:r>
      <w:r>
        <w:rPr>
          <w:rFonts w:ascii="Times New Roman" w:cs="Times New Roman" w:eastAsia="Times New Roman" w:hAnsi="Times New Roman"/>
          <w:sz w:val="14"/>
          <w:szCs w:val="14"/>
          <w:i w:val="1"/>
          <w:iCs w:val="1"/>
          <w:color w:val="auto"/>
        </w:rPr>
        <w:t>Journal of Clinical Oncology</w:t>
      </w:r>
      <w:r>
        <w:rPr>
          <w:rFonts w:ascii="Times New Roman" w:cs="Times New Roman" w:eastAsia="Times New Roman" w:hAnsi="Times New Roman"/>
          <w:sz w:val="14"/>
          <w:szCs w:val="14"/>
          <w:color w:val="auto"/>
        </w:rPr>
        <w:t xml:space="preserve"> in 2021. Additionally, in the Phase 2/3 IMerge study, SF3B1 VAF reduction was associated with longest transfusion independence, or TI, and with 8-week, 24-week and 1-year TI duration in imetelstat-treated lower-risk MDS patients. These results were published in The Lancet and at the European Hematology Association, or EHA, annual meeting in 2023.</w:t>
      </w:r>
    </w:p>
    <w:p>
      <w:pPr>
        <w:sectPr>
          <w:pgSz w:w="11900" w:h="16838" w:orient="portrait"/>
          <w:cols w:equalWidth="0" w:num="1">
            <w:col w:w="9019"/>
          </w:cols>
          <w:pgMar w:left="1440" w:top="114" w:right="1440" w:bottom="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416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241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Pipeline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Lower-Risk Myelodysplastic Syndromes (MDS)</w:t>
      </w:r>
    </w:p>
    <w:p>
      <w:pPr>
        <w:spacing w:after="0" w:line="187" w:lineRule="exact"/>
        <w:rPr>
          <w:sz w:val="20"/>
          <w:szCs w:val="20"/>
          <w:color w:val="auto"/>
        </w:rPr>
      </w:pPr>
    </w:p>
    <w:p>
      <w:pPr>
        <w:ind w:left="960" w:right="1139" w:firstLine="902"/>
        <w:spacing w:after="0" w:line="174" w:lineRule="exact"/>
        <w:rPr>
          <w:sz w:val="20"/>
          <w:szCs w:val="20"/>
          <w:color w:val="auto"/>
        </w:rPr>
      </w:pPr>
      <w:r>
        <w:rPr>
          <w:rFonts w:ascii="Times New Roman" w:cs="Times New Roman" w:eastAsia="Times New Roman" w:hAnsi="Times New Roman"/>
          <w:sz w:val="14"/>
          <w:szCs w:val="14"/>
          <w:color w:val="auto"/>
        </w:rPr>
        <w:t>MDS is a group of blood disorders in which the proliferation of malignant progenitor cells produces multiple malignant cell clones in the bone marrow resulting in disordered and ineffective production of the myeloid lineage, which includes red blood cells, white blood cells and platelets. In MDS, bone marrow and peripheral blood cells may have abnormal, or dysplastic, cell morphology. MDS is frequently characterized clinically by severe anemia, or low red blood cell counts, and low hemoglobin. In addition, other peripheral cytopenias, or low numbers of white blood cells and platelets, may cause life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threatening infections and bleeding. Transformation to acute myeloid leukemia, or AML, is reported to occur in up to 30% of MDS cases and results in poorer overall survival.</w:t>
      </w:r>
    </w:p>
    <w:p>
      <w:pPr>
        <w:spacing w:after="0" w:line="159" w:lineRule="exact"/>
        <w:rPr>
          <w:sz w:val="20"/>
          <w:szCs w:val="20"/>
          <w:color w:val="auto"/>
        </w:rPr>
      </w:pPr>
    </w:p>
    <w:p>
      <w:pPr>
        <w:ind w:left="960" w:right="1019" w:firstLine="902"/>
        <w:spacing w:after="0" w:line="259" w:lineRule="auto"/>
        <w:rPr>
          <w:sz w:val="20"/>
          <w:szCs w:val="20"/>
          <w:color w:val="auto"/>
        </w:rPr>
      </w:pPr>
      <w:r>
        <w:rPr>
          <w:rFonts w:ascii="Times New Roman" w:cs="Times New Roman" w:eastAsia="Times New Roman" w:hAnsi="Times New Roman"/>
          <w:sz w:val="14"/>
          <w:szCs w:val="14"/>
          <w:color w:val="auto"/>
        </w:rPr>
        <w:t>MDS is the most common of the myeloid malignancies. There are approximately 64,000 people in the U.S. living with the disease and approximately 21,000 reported new cases of MDS in the U.S. every year, according to Clarivate/DRG MDS Syndicated Report 2025. MDS is primarily a disease of the elderly, with median age at diagnosis around 70 years. The majority of patients, approximately 70%, fall into what are considered to be the lower-risk groups at diagnosis, according to the International Prognostic Scoring System, or IPSS, which assigns relative risk of progression to AML and overall survival by taking into account the presence of a number of disease factors, such as cytopenias and cytogenetics.</w:t>
      </w:r>
    </w:p>
    <w:p>
      <w:pPr>
        <w:ind w:left="960" w:right="1039" w:firstLine="902"/>
        <w:spacing w:after="0" w:line="258" w:lineRule="auto"/>
        <w:rPr>
          <w:sz w:val="20"/>
          <w:szCs w:val="20"/>
          <w:color w:val="auto"/>
        </w:rPr>
      </w:pPr>
      <w:r>
        <w:rPr>
          <w:rFonts w:ascii="Times New Roman" w:cs="Times New Roman" w:eastAsia="Times New Roman" w:hAnsi="Times New Roman"/>
          <w:sz w:val="14"/>
          <w:szCs w:val="14"/>
          <w:color w:val="auto"/>
        </w:rPr>
        <w:t>Chronic anemia is the predominant clinical problem in patients who have lower-risk MDS. The current standard of care for the treatment of lower-risk MDS is the use of ESAs as supportive care, and more recently luspatercept to improve upon disease-associated chronic anemia. The majority of patients who no longer respond to ESAs or other available drug therapies become dependent on red blood cell transfusions due to low hemoglobin. Serial red blood cell transfusions can lead to elevated levels of iron in the blood and other tissues, which the body has no normal way to eliminate. Iron overload is a potentially dangerous condition. Published studies in patients with MDS have shown that iron overload resulting from regular red blood cell transfusions is associated with a poorer overall survival and a higher risk of developing AML.</w:t>
      </w:r>
    </w:p>
    <w:p>
      <w:pPr>
        <w:spacing w:after="0" w:line="1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Phase 3 IMerge Trial in Lower-Risk MDS</w:t>
      </w:r>
    </w:p>
    <w:p>
      <w:pPr>
        <w:spacing w:after="0" w:line="187" w:lineRule="exact"/>
        <w:rPr>
          <w:sz w:val="20"/>
          <w:szCs w:val="20"/>
          <w:color w:val="auto"/>
        </w:rPr>
      </w:pPr>
    </w:p>
    <w:p>
      <w:pPr>
        <w:jc w:val="both"/>
        <w:ind w:left="960" w:right="979" w:firstLine="902"/>
        <w:spacing w:after="0" w:line="268" w:lineRule="auto"/>
        <w:rPr>
          <w:sz w:val="20"/>
          <w:szCs w:val="20"/>
          <w:color w:val="auto"/>
        </w:rPr>
      </w:pPr>
      <w:r>
        <w:rPr>
          <w:rFonts w:ascii="Times New Roman" w:cs="Times New Roman" w:eastAsia="Times New Roman" w:hAnsi="Times New Roman"/>
          <w:sz w:val="14"/>
          <w:szCs w:val="14"/>
          <w:color w:val="auto"/>
        </w:rPr>
        <w:t>Our regulatory approval in the U.S. for certain patients with lower-risk MDS and our EMA submission are each based on positive data from the IMerge Phase 3 clinical trial. The trial met its primary endpoint of ≥ 8-week red blood cell transfusion independence rate and a key secondary endpoint of ≥ 24-week red blood cell transfusion independence rate, demonstrating highly statistically significant (i.e., p&lt;0.001 for both) and clinically meaningful benefits with imetelstat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53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7531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39"/>
        <w:spacing w:after="0" w:line="274" w:lineRule="auto"/>
        <w:rPr>
          <w:sz w:val="20"/>
          <w:szCs w:val="20"/>
          <w:color w:val="auto"/>
        </w:rPr>
      </w:pPr>
      <w:r>
        <w:rPr>
          <w:rFonts w:ascii="Times New Roman" w:cs="Times New Roman" w:eastAsia="Times New Roman" w:hAnsi="Times New Roman"/>
          <w:sz w:val="14"/>
          <w:szCs w:val="14"/>
          <w:color w:val="auto"/>
        </w:rPr>
        <w:t>treatment versus placebo. Furthermore, statistically significant and clinically meaningful efficacy results were observed in the trial across key MDS patient subtypes, including patients who were ringed sideroblast positive, or RS positive, and ringed sideroblast negative, or RS negative; patients with high (4-6 RBC units/8 weeks) and very high baseline transfusion</w:t>
      </w:r>
    </w:p>
    <w:p>
      <w:pPr>
        <w:sectPr>
          <w:pgSz w:w="11900" w:h="16900" w:orient="portrait"/>
          <w:cols w:equalWidth="0" w:num="1">
            <w:col w:w="9019"/>
          </w:cols>
          <w:pgMar w:left="1440" w:top="1440" w:right="1440" w:bottom="0" w:gutter="0" w:footer="0" w:header="0"/>
        </w:sectPr>
      </w:pPr>
    </w:p>
    <w:bookmarkStart w:id="7" w:name="page8"/>
    <w:bookmarkEnd w:id="7"/>
    <w:p>
      <w:pPr>
        <w:ind w:left="960" w:right="1279"/>
        <w:spacing w:after="0" w:line="250" w:lineRule="auto"/>
        <w:rPr>
          <w:sz w:val="20"/>
          <w:szCs w:val="20"/>
          <w:color w:val="auto"/>
        </w:rPr>
      </w:pPr>
      <w:r>
        <w:rPr>
          <w:rFonts w:ascii="Times New Roman" w:cs="Times New Roman" w:eastAsia="Times New Roman" w:hAnsi="Times New Roman"/>
          <w:sz w:val="14"/>
          <w:szCs w:val="14"/>
          <w:color w:val="auto"/>
        </w:rPr>
        <w:t>burden (&gt;6 RBC units/8 weeks); and patients classified as Low or Intermediate-1 risk according to the IPSS. The most common Grade 3/4 adverse reactions were neutropenia (72%) and thrombocytopenia (65%), which lasted a 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646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4190" cy="646112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4"/>
          <w:szCs w:val="14"/>
          <w:color w:val="auto"/>
        </w:rPr>
        <w:t>duration of less than two weeks, and in more than 80% of patients were resolved to Grade &lt;2 in under four weeks.</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Myelofibrosis (MF)</w:t>
      </w:r>
    </w:p>
    <w:p>
      <w:pPr>
        <w:spacing w:after="0" w:line="187"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MF, a type of myeloproliferative neoplasm, is a chronic blood cancer in which abnormal or malignant precursor cells in the bone marrow proliferate rapidly, causing scar tissue, or fibrosis, to form. As a result, normal blood production in the bone marrow is impaired and may shift to other organs, such as the spleen and liver, which can cause them to enlarge substantially. People with MF may have abnormally low or high numbers of circulating RBCs, white blood cells or platelets, and abnormally high numbers of immature cells in the blood or bone marrow. MF patients can also suffer from debilitating constitutional symptoms, such as drenching night sweats, fatigue, severe itching, or pruritus, abdominal pain, fever and bone pain.</w:t>
      </w:r>
    </w:p>
    <w:p>
      <w:pPr>
        <w:spacing w:after="0" w:line="113" w:lineRule="exact"/>
        <w:rPr>
          <w:sz w:val="20"/>
          <w:szCs w:val="20"/>
          <w:color w:val="auto"/>
        </w:rPr>
      </w:pPr>
    </w:p>
    <w:p>
      <w:pPr>
        <w:ind w:left="960" w:right="1019" w:firstLine="902"/>
        <w:spacing w:after="0" w:line="178" w:lineRule="exact"/>
        <w:rPr>
          <w:sz w:val="20"/>
          <w:szCs w:val="20"/>
          <w:color w:val="auto"/>
        </w:rPr>
      </w:pPr>
      <w:r>
        <w:rPr>
          <w:rFonts w:ascii="Times New Roman" w:cs="Times New Roman" w:eastAsia="Times New Roman" w:hAnsi="Times New Roman"/>
          <w:sz w:val="14"/>
          <w:szCs w:val="14"/>
          <w:color w:val="auto"/>
        </w:rPr>
        <w:t>Approximately 70% of MF patients are classified as having Intermediate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or High-risk disease, as defined by the Dynamic International Prognostic Scoring System Plus described in a 2011 Journal of Clinical Oncology article. Drug therapies currently approved by the FDA and other regulatory authorities for treating these MF patients include JAK inhibitors, ruxolitinib, fedratinib and momelotinib, as well as pacritinib, a kinase inhibitor. Currently, no drug therapy is approved for those patients who fail or no longer respond to JAK inhibitor treatment. A variety of best available therapies are used in absence of an approved treatment for this patient population, and median survival is limited, representing a significant unmet medical need.</w:t>
      </w:r>
    </w:p>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Ongoing Phase 3 IMpactMF Trial in Relapsed/Refractory MF</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u w:val="single" w:color="auto"/>
          <w:color w:val="auto"/>
        </w:rPr>
        <w:t>Trial Design</w:t>
      </w:r>
    </w:p>
    <w:p>
      <w:pPr>
        <w:spacing w:after="0" w:line="185"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color w:val="auto"/>
        </w:rPr>
        <w:t>IMpactMF, our Phase 3 clinical trial in relapsed/refractory MF, is an open label, 2:1 randomized, controlled clinical trial designed to evaluate imetelstat (9.4 mg/kg administered by intravenous infusion over two hours every three weeks) in approximately 320 patients. Patients relapsed after or refractory to a JAK inhibitor are defined as having an inadequate spleen response or symptom response after treatment with a JAK inhibitor for at least six months, including an optimal dose of a JAK inhibitor for at least two months. The best available therapy, or BAT, control arm of IMpactMF excludes the use of JAK inhibitors. With respect to the trial design for IMpactMF, the FDA urged us to consider adding a third dosing arm to assess a lower dose and/or a more frequent dosing schedule that might improve the planned trial’s chance of success by identifying a less toxic regimen and/or more effective spleen response, one of the trial’s secondary endpoints. Based on data from IMbark, which evaluated a low and high doses, we believe that testing a lower dose regimen would likely result in a lower median OS, which is the trial’s primary endpoint, in the imetelstat treatment arm. We believe existing data also suggest that lowering the dose would not result in a clinically meaningful reduction in toxicity. For these reasons, we therefore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for relapsed/refractory MF by the FDA or similar international regulatory authorities.</w:t>
      </w:r>
    </w:p>
    <w:p>
      <w:pPr>
        <w:spacing w:after="0" w:line="152" w:lineRule="exact"/>
        <w:rPr>
          <w:sz w:val="20"/>
          <w:szCs w:val="20"/>
          <w:color w:val="auto"/>
        </w:rPr>
      </w:pPr>
    </w:p>
    <w:p>
      <w:pPr>
        <w:ind w:left="960" w:right="979" w:firstLine="902"/>
        <w:spacing w:after="0" w:line="265" w:lineRule="auto"/>
        <w:rPr>
          <w:sz w:val="20"/>
          <w:szCs w:val="20"/>
          <w:color w:val="auto"/>
        </w:rPr>
      </w:pPr>
      <w:r>
        <w:rPr>
          <w:rFonts w:ascii="Times New Roman" w:cs="Times New Roman" w:eastAsia="Times New Roman" w:hAnsi="Times New Roman"/>
          <w:sz w:val="14"/>
          <w:szCs w:val="14"/>
          <w:color w:val="auto"/>
        </w:rPr>
        <w:t>The primary efficacy endpoint for IMpactMF is OS. Key secondary endpoints include symptom response; spleen response; progression free survival; complete remission, partial remission or clinical improvement, as defined by the International Working Group for Myeloproliferative Neoplasms Research and Treatment criteria; duration of response; safety; pharmacokinetics; and patient reported outcomes. There are IMpactMF sites across North America, South America, Europe, Australia and Asia.</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u w:val="single" w:color="auto"/>
          <w:color w:val="auto"/>
        </w:rPr>
        <w:t>Current Status of IMpactMF</w:t>
      </w:r>
    </w:p>
    <w:p>
      <w:pPr>
        <w:spacing w:after="0" w:line="185" w:lineRule="exact"/>
        <w:rPr>
          <w:sz w:val="20"/>
          <w:szCs w:val="20"/>
          <w:color w:val="auto"/>
        </w:rPr>
      </w:pPr>
    </w:p>
    <w:p>
      <w:pPr>
        <w:ind w:left="960" w:right="1079" w:firstLine="902"/>
        <w:spacing w:after="0" w:line="268" w:lineRule="auto"/>
        <w:rPr>
          <w:sz w:val="20"/>
          <w:szCs w:val="20"/>
          <w:color w:val="auto"/>
        </w:rPr>
      </w:pPr>
      <w:r>
        <w:rPr>
          <w:rFonts w:ascii="Times New Roman" w:cs="Times New Roman" w:eastAsia="Times New Roman" w:hAnsi="Times New Roman"/>
          <w:sz w:val="14"/>
          <w:szCs w:val="14"/>
          <w:color w:val="auto"/>
        </w:rPr>
        <w:t>IMpactMF opened for patient screening and enrollment in December 2020. In September 2025, the trial completed enrollment. Based on our current assumptions for event (death) rates in the trial, we expect the interim analysis for OS in IMpactMF may occur in the second half of 2026 and the final analysis may occur in the second half of 2028. Because these analyses are event-driven and it is uncertain whether actual rates for events will reflect current planning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992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39922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59"/>
        <w:spacing w:after="0" w:line="268" w:lineRule="auto"/>
        <w:rPr>
          <w:sz w:val="20"/>
          <w:szCs w:val="20"/>
          <w:color w:val="auto"/>
        </w:rPr>
      </w:pPr>
      <w:r>
        <w:rPr>
          <w:rFonts w:ascii="Times New Roman" w:cs="Times New Roman" w:eastAsia="Times New Roman" w:hAnsi="Times New Roman"/>
          <w:sz w:val="14"/>
          <w:szCs w:val="14"/>
          <w:color w:val="auto"/>
        </w:rPr>
        <w:t>assumptions, the results may be available at different times than currently expected. At the interim analysis, if the pre-specified statistical OS criterion is met, then we expect such data may potentially support the registration of imetelstat in relapsed/refractory MF. Subject to protocol-specified stopping rules for futility, if the pre-specified OS criterion is not met at the interim analysis, the trial will continue to the final analysis.</w:t>
      </w:r>
    </w:p>
    <w:p>
      <w:pPr>
        <w:spacing w:after="0" w:line="140" w:lineRule="exact"/>
        <w:rPr>
          <w:sz w:val="20"/>
          <w:szCs w:val="20"/>
          <w:color w:val="auto"/>
        </w:rPr>
      </w:pPr>
    </w:p>
    <w:p>
      <w:pPr>
        <w:ind w:left="960" w:right="1019" w:firstLine="902"/>
        <w:spacing w:after="0" w:line="268" w:lineRule="auto"/>
        <w:rPr>
          <w:sz w:val="20"/>
          <w:szCs w:val="20"/>
          <w:color w:val="auto"/>
        </w:rPr>
      </w:pPr>
      <w:r>
        <w:rPr>
          <w:rFonts w:ascii="Times New Roman" w:cs="Times New Roman" w:eastAsia="Times New Roman" w:hAnsi="Times New Roman"/>
          <w:sz w:val="14"/>
          <w:szCs w:val="14"/>
          <w:color w:val="auto"/>
        </w:rPr>
        <w:t>The timing and achievement of either or both of the planned analyses depend on numerous factors, including blinded death rates, which have in the past been, and may continue to be, lower than our projections. In addition, our ability to conduct and complete IMpactMF depends on whether we can obtain and maintain the relevant clearances from regulatory authorities and other institutions to continue to conduct and complete the trial.</w:t>
      </w:r>
    </w:p>
    <w:p>
      <w:pPr>
        <w:spacing w:after="0" w:line="3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u w:val="single" w:color="auto"/>
          <w:color w:val="auto"/>
        </w:rPr>
        <w:t>Improvement in Overall Survival and Potential Disease-Modifying Activity Observed in IMbark Phase 2</w:t>
      </w:r>
    </w:p>
    <w:p>
      <w:pPr>
        <w:spacing w:after="0" w:line="185" w:lineRule="exact"/>
        <w:rPr>
          <w:sz w:val="20"/>
          <w:szCs w:val="20"/>
          <w:color w:val="auto"/>
        </w:rPr>
      </w:pPr>
    </w:p>
    <w:p>
      <w:pPr>
        <w:ind w:left="960" w:right="1199" w:firstLine="902"/>
        <w:spacing w:after="0" w:line="292" w:lineRule="auto"/>
        <w:rPr>
          <w:sz w:val="20"/>
          <w:szCs w:val="20"/>
          <w:color w:val="auto"/>
        </w:rPr>
      </w:pPr>
      <w:r>
        <w:rPr>
          <w:rFonts w:ascii="Times New Roman" w:cs="Times New Roman" w:eastAsia="Times New Roman" w:hAnsi="Times New Roman"/>
          <w:sz w:val="14"/>
          <w:szCs w:val="14"/>
          <w:color w:val="auto"/>
        </w:rPr>
        <w:t>The IMbark Phase 2 clinical trial was designed to evaluate two dosing regimens of imetelstat (either 4.7 mg/kg or 9.4 mg/kg administered by intravenous infusion every three weeks) in patients with relapsed/refractory MF.</w:t>
      </w:r>
    </w:p>
    <w:p>
      <w:pPr>
        <w:spacing w:after="0" w:line="124"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We previously reported efficacy and safety results from the IMbark Phase 2 clinical trial, including median OS of 28.1 months for patients on the high dose arm of the study, which is almost twice the reported median OS of 14–16 months in medical literature. To evaluate this potential benefit, we conducted a post-hoc analysis of OS for patients treated with imetelstat 9.4 mg/kg in IMbark compared to OS calculated from real world data, or RWD, collected at the Moffitt Cancer Center for patients who had discontinued treatment with ruxolitinib, a JAK inhibitor, and who were subsequently treated with BAT. To make a comparison between the IMbark data and RWD, a cohort from the real-world dataset was identified that closely matched the IMbark patients, using guidelines for inclusion and exclusion criteria as defined in the IMbark clinical protocol, such as platelet count and spleen size. Calculations from two propensity score analysis approaches resulted in a median OS of 30.7 months for the imetelstat-treated patients from IMbark, which is more than double the median OS of 12.0 months using RWD for patients treated with BAT. These analyses also showed a 65% – 67% lower risk of death for the imetelstat-treated patients vs. BAT-treated patients. We believe these analyses suggest potentially longer OS for imetelstat-treated relapsed/refractory MF patients in IMbark, compared to BAT in closely-matched patients from RWD. However,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w:t>
      </w:r>
    </w:p>
    <w:p>
      <w:pPr>
        <w:sectPr>
          <w:pgSz w:w="11900" w:h="16838" w:orient="portrait"/>
          <w:cols w:equalWidth="0" w:num="1">
            <w:col w:w="9019"/>
          </w:cols>
          <w:pgMar w:left="1440" w:top="114" w:right="1440" w:bottom="0" w:gutter="0" w:footer="0" w:header="0"/>
        </w:sectPr>
      </w:pPr>
    </w:p>
    <w:bookmarkStart w:id="8" w:name="page9"/>
    <w:bookmarkEnd w:id="8"/>
    <w:p>
      <w:pPr>
        <w:ind w:left="960" w:right="1199"/>
        <w:spacing w:after="0" w:line="347" w:lineRule="auto"/>
        <w:rPr>
          <w:sz w:val="20"/>
          <w:szCs w:val="20"/>
          <w:color w:val="auto"/>
        </w:rPr>
      </w:pPr>
      <w:r>
        <w:rPr>
          <w:rFonts w:ascii="Times New Roman" w:cs="Times New Roman" w:eastAsia="Times New Roman" w:hAnsi="Times New Roman"/>
          <w:sz w:val="10"/>
          <w:szCs w:val="10"/>
          <w:color w:val="auto"/>
        </w:rPr>
        <w:t>analyses,</w:t>
      </w:r>
      <w:r>
        <w:rPr>
          <w:rFonts w:ascii="Times New Roman" w:cs="Times New Roman" w:eastAsia="Times New Roman" w:hAnsi="Times New Roman"/>
          <w:sz w:val="17"/>
          <w:szCs w:val="17"/>
          <w:color w:val="auto"/>
          <w:vertAlign w:val="subscript"/>
        </w:rPr>
        <w:t>outcomes</w:t>
      </w:r>
      <w:r>
        <w:rPr>
          <w:rFonts w:ascii="Times New Roman" w:cs="Times New Roman" w:eastAsia="Times New Roman" w:hAnsi="Times New Roman"/>
          <w:sz w:val="10"/>
          <w:szCs w:val="10"/>
          <w:color w:val="auto"/>
        </w:rPr>
        <w:t xml:space="preserve"> misclassification</w:t>
      </w:r>
      <w:r>
        <w:rPr>
          <w:rFonts w:ascii="Times New Roman" w:cs="Times New Roman" w:eastAsia="Times New Roman" w:hAnsi="Times New Roman"/>
          <w:sz w:val="17"/>
          <w:szCs w:val="17"/>
          <w:color w:val="auto"/>
          <w:vertAlign w:val="subscript"/>
        </w:rPr>
        <w:t>forthetruetreated</w:t>
      </w:r>
      <w:r>
        <w:rPr>
          <w:rFonts w:ascii="Times New Roman" w:cs="Times New Roman" w:eastAsia="Times New Roman" w:hAnsi="Times New Roman"/>
          <w:sz w:val="10"/>
          <w:szCs w:val="10"/>
          <w:color w:val="auto"/>
        </w:rPr>
        <w:t xml:space="preserve">in </w:t>
      </w:r>
      <w:r>
        <w:rPr>
          <w:rFonts w:ascii="Times New Roman" w:cs="Times New Roman" w:eastAsia="Times New Roman" w:hAnsi="Times New Roman"/>
          <w:sz w:val="17"/>
          <w:szCs w:val="17"/>
          <w:color w:val="auto"/>
          <w:vertAlign w:val="subscript"/>
        </w:rPr>
        <w:t>patient</w:t>
      </w:r>
      <w:r>
        <w:rPr>
          <w:rFonts w:ascii="Times New Roman" w:cs="Times New Roman" w:eastAsia="Times New Roman" w:hAnsi="Times New Roman"/>
          <w:sz w:val="10"/>
          <w:szCs w:val="10"/>
          <w:color w:val="auto"/>
        </w:rPr>
        <w:t>thematching</w:t>
      </w:r>
      <w:r>
        <w:rPr>
          <w:rFonts w:ascii="Times New Roman" w:cs="Times New Roman" w:eastAsia="Times New Roman" w:hAnsi="Times New Roman"/>
          <w:sz w:val="17"/>
          <w:szCs w:val="17"/>
          <w:color w:val="auto"/>
          <w:vertAlign w:val="subscript"/>
        </w:rPr>
        <w:t>population</w:t>
      </w:r>
      <w:r>
        <w:rPr>
          <w:rFonts w:ascii="Times New Roman" w:cs="Times New Roman" w:eastAsia="Times New Roman" w:hAnsi="Times New Roman"/>
          <w:sz w:val="10"/>
          <w:szCs w:val="10"/>
          <w:color w:val="auto"/>
        </w:rPr>
        <w:t>process,</w:t>
      </w:r>
      <w:r>
        <w:rPr>
          <w:rFonts w:ascii="Times New Roman" w:cs="Times New Roman" w:eastAsia="Times New Roman" w:hAnsi="Times New Roman"/>
          <w:sz w:val="17"/>
          <w:szCs w:val="17"/>
          <w:color w:val="auto"/>
          <w:vertAlign w:val="subscript"/>
        </w:rPr>
        <w:t>.For</w:t>
      </w:r>
      <w:r>
        <w:rPr>
          <w:rFonts w:ascii="Times New Roman" w:cs="Times New Roman" w:eastAsia="Times New Roman" w:hAnsi="Times New Roman"/>
          <w:sz w:val="10"/>
          <w:szCs w:val="10"/>
          <w:color w:val="auto"/>
        </w:rPr>
        <w:t>the</w:t>
      </w:r>
      <w:r>
        <w:rPr>
          <w:rFonts w:ascii="Times New Roman" w:cs="Times New Roman" w:eastAsia="Times New Roman" w:hAnsi="Times New Roman"/>
          <w:sz w:val="17"/>
          <w:szCs w:val="17"/>
          <w:color w:val="auto"/>
          <w:vertAlign w:val="subscript"/>
        </w:rPr>
        <w:t>thes</w:t>
      </w:r>
      <w:r>
        <w:rPr>
          <w:rFonts w:ascii="Times New Roman" w:cs="Times New Roman" w:eastAsia="Times New Roman" w:hAnsi="Times New Roman"/>
          <w:sz w:val="10"/>
          <w:szCs w:val="10"/>
          <w:color w:val="auto"/>
        </w:rPr>
        <w:t>m</w:t>
      </w:r>
      <w:r>
        <w:rPr>
          <w:rFonts w:ascii="Times New Roman" w:cs="Times New Roman" w:eastAsia="Times New Roman" w:hAnsi="Times New Roman"/>
          <w:sz w:val="17"/>
          <w:szCs w:val="17"/>
          <w:color w:val="auto"/>
          <w:vertAlign w:val="subscript"/>
        </w:rPr>
        <w:t>eand</w:t>
      </w:r>
      <w:r>
        <w:rPr>
          <w:rFonts w:ascii="Times New Roman" w:cs="Times New Roman" w:eastAsia="Times New Roman" w:hAnsi="Times New Roman"/>
          <w:sz w:val="10"/>
          <w:szCs w:val="10"/>
          <w:color w:val="auto"/>
        </w:rPr>
        <w:t>llsample</w:t>
      </w:r>
      <w:r>
        <w:rPr>
          <w:rFonts w:ascii="Times New Roman" w:cs="Times New Roman" w:eastAsia="Times New Roman" w:hAnsi="Times New Roman"/>
          <w:sz w:val="17"/>
          <w:szCs w:val="17"/>
          <w:color w:val="auto"/>
          <w:vertAlign w:val="subscript"/>
        </w:rPr>
        <w:t>otherreasons,</w:t>
      </w:r>
      <w:r>
        <w:rPr>
          <w:rFonts w:ascii="Times New Roman" w:cs="Times New Roman" w:eastAsia="Times New Roman" w:hAnsi="Times New Roman"/>
          <w:sz w:val="10"/>
          <w:szCs w:val="10"/>
          <w:color w:val="auto"/>
        </w:rPr>
        <w:t>size,and</w:t>
      </w:r>
      <w:r>
        <w:rPr>
          <w:rFonts w:ascii="Times New Roman" w:cs="Times New Roman" w:eastAsia="Times New Roman" w:hAnsi="Times New Roman"/>
          <w:sz w:val="17"/>
          <w:szCs w:val="17"/>
          <w:color w:val="auto"/>
          <w:vertAlign w:val="subscript"/>
        </w:rPr>
        <w:t>such</w:t>
      </w:r>
      <w:r>
        <w:rPr>
          <w:rFonts w:ascii="Times New Roman" w:cs="Times New Roman" w:eastAsia="Times New Roman" w:hAnsi="Times New Roman"/>
          <w:sz w:val="10"/>
          <w:szCs w:val="10"/>
          <w:color w:val="auto"/>
        </w:rPr>
        <w:t>estimates</w:t>
      </w:r>
      <w:r>
        <w:rPr>
          <w:rFonts w:ascii="Times New Roman" w:cs="Times New Roman" w:eastAsia="Times New Roman" w:hAnsi="Times New Roman"/>
          <w:sz w:val="17"/>
          <w:szCs w:val="17"/>
          <w:color w:val="auto"/>
          <w:vertAlign w:val="subscript"/>
        </w:rPr>
        <w:t>comparative</w:t>
      </w:r>
      <w:r>
        <w:rPr>
          <w:rFonts w:ascii="Times New Roman" w:cs="Times New Roman" w:eastAsia="Times New Roman" w:hAnsi="Times New Roman"/>
          <w:sz w:val="10"/>
          <w:szCs w:val="10"/>
          <w:color w:val="auto"/>
        </w:rPr>
        <w:t>thatmay</w:t>
      </w:r>
      <w:r>
        <w:rPr>
          <w:rFonts w:ascii="Times New Roman" w:cs="Times New Roman" w:eastAsia="Times New Roman" w:hAnsi="Times New Roman"/>
          <w:sz w:val="17"/>
          <w:szCs w:val="17"/>
          <w:color w:val="auto"/>
          <w:vertAlign w:val="subscript"/>
        </w:rPr>
        <w:t>analyses</w:t>
      </w:r>
      <w:r>
        <w:rPr>
          <w:rFonts w:ascii="Times New Roman" w:cs="Times New Roman" w:eastAsia="Times New Roman" w:hAnsi="Times New Roman"/>
          <w:sz w:val="10"/>
          <w:szCs w:val="10"/>
          <w:color w:val="auto"/>
        </w:rPr>
        <w:t>notrepresent</w:t>
      </w:r>
      <w:r>
        <w:rPr>
          <w:rFonts w:ascii="Times New Roman" w:cs="Times New Roman" w:eastAsia="Times New Roman" w:hAnsi="Times New Roman"/>
          <w:sz w:val="17"/>
          <w:szCs w:val="17"/>
          <w:color w:val="auto"/>
          <w:vertAlign w:val="subscript"/>
        </w:rPr>
        <w:t>andany</w:t>
      </w:r>
      <w:r>
        <w:rPr>
          <w:rFonts w:ascii="Times New Roman" w:cs="Times New Roman" w:eastAsia="Times New Roman" w:hAnsi="Times New Roman"/>
          <w:sz w:val="10"/>
          <w:szCs w:val="10"/>
          <w:color w:val="auto"/>
        </w:rPr>
        <w:t>the conclusions from such analyses should be considered carefully and with caution, and should not be relied upon as demonstrative or otherwise predictive or indicative of any current or potential future clinical trial results of imetelstat in relapsed/refractory MF, including IMpactMF.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-480695</wp:posOffset>
            </wp:positionV>
            <wp:extent cx="5584190" cy="3221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4190" cy="3221990"/>
                    </a:xfrm>
                    <a:prstGeom prst="rect">
                      <a:avLst/>
                    </a:prstGeom>
                    <a:noFill/>
                  </pic:spPr>
                </pic:pic>
              </a:graphicData>
            </a:graphic>
          </wp:anchor>
        </w:drawing>
      </w:r>
    </w:p>
    <w:p>
      <w:pPr>
        <w:spacing w:after="0" w:line="88" w:lineRule="exact"/>
        <w:rPr>
          <w:sz w:val="20"/>
          <w:szCs w:val="20"/>
          <w:color w:val="auto"/>
        </w:rPr>
      </w:pPr>
    </w:p>
    <w:p>
      <w:pPr>
        <w:ind w:left="960" w:right="1039" w:firstLine="902"/>
        <w:spacing w:after="0" w:line="261" w:lineRule="auto"/>
        <w:rPr>
          <w:sz w:val="20"/>
          <w:szCs w:val="20"/>
          <w:color w:val="auto"/>
        </w:rPr>
      </w:pPr>
      <w:r>
        <w:rPr>
          <w:rFonts w:ascii="Times New Roman" w:cs="Times New Roman" w:eastAsia="Times New Roman" w:hAnsi="Times New Roman"/>
          <w:sz w:val="14"/>
          <w:szCs w:val="14"/>
          <w:color w:val="auto"/>
        </w:rPr>
        <w:t>In IMbark, patients also experienced other positive clinical outcomes, including symptom improvement, spleen reduction and bone marrow fibrosis improvement. In June 2020, we reported correlation analyses from IMbark that showed a trend of longer OS in patients who achieved symptom response, spleen volume reductions and improved bone marrow fibrosis, in a dose-dependent manner. Furthermore, the reductions in the variant allele frequency of key driver mutations in MF and the improvement in bone marrow fibrosis observed in IMbark have also been correlated to the improvement in OS. We believe the improvement in bone marrow fibrosis, potential survival benefit, molecular data and correlations from IMbark provide strong evidence of the potential for disease modification with imetelstat, which we believe would differentiate imetelstat from currently approved treatments for MF, if approved.</w:t>
      </w:r>
    </w:p>
    <w:p>
      <w:pPr>
        <w:spacing w:after="0" w:line="146" w:lineRule="exact"/>
        <w:rPr>
          <w:sz w:val="20"/>
          <w:szCs w:val="20"/>
          <w:color w:val="auto"/>
        </w:rPr>
      </w:pPr>
    </w:p>
    <w:p>
      <w:pPr>
        <w:ind w:left="960" w:right="1019" w:firstLine="902"/>
        <w:spacing w:after="0" w:line="263" w:lineRule="auto"/>
        <w:rPr>
          <w:sz w:val="20"/>
          <w:szCs w:val="20"/>
          <w:color w:val="auto"/>
        </w:rPr>
      </w:pPr>
      <w:r>
        <w:rPr>
          <w:rFonts w:ascii="Times New Roman" w:cs="Times New Roman" w:eastAsia="Times New Roman" w:hAnsi="Times New Roman"/>
          <w:sz w:val="14"/>
          <w:szCs w:val="14"/>
          <w:color w:val="auto"/>
        </w:rPr>
        <w:t>The safety results observed in IMbark were consistent with prior clinical trials of imetelstat in hematologic malignancies, and no new safety signals were identified. In the 9.4 mg/kg arm, reversible and manageable Grade 3/4 thrombocytopenia and neutropenia were reported in 24/59 patients (41%) and 19/59 patients (32%), respectively, without significant clinical consequences. 1/59 patients (2%) had Grade 3 febrile neutropenia. 3/59 patients (5%) had Grade 3/4 bleeding. 6/59 patients (10%) had Grade 3/4 infections. Furthermore, more than 70% of the observed Grade 3/4 cytopenias resolved to Grade 2 or lower by laboratory assessment within four weeks.</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FDA Fast Track Designation</w:t>
      </w:r>
    </w:p>
    <w:p>
      <w:pPr>
        <w:spacing w:after="0" w:line="187" w:lineRule="exact"/>
        <w:rPr>
          <w:sz w:val="20"/>
          <w:szCs w:val="20"/>
          <w:color w:val="auto"/>
        </w:rPr>
      </w:pPr>
    </w:p>
    <w:p>
      <w:pPr>
        <w:ind w:left="960" w:right="1039" w:firstLine="902"/>
        <w:spacing w:after="0" w:line="292" w:lineRule="auto"/>
        <w:rPr>
          <w:sz w:val="20"/>
          <w:szCs w:val="20"/>
          <w:color w:val="auto"/>
        </w:rPr>
      </w:pPr>
      <w:r>
        <w:rPr>
          <w:rFonts w:ascii="Times New Roman" w:cs="Times New Roman" w:eastAsia="Times New Roman" w:hAnsi="Times New Roman"/>
          <w:sz w:val="14"/>
          <w:szCs w:val="14"/>
          <w:color w:val="auto"/>
        </w:rPr>
        <w:t>Fast Track designation provides opportunities for frequent interactions with FDA review staff, as well as eligibility for priority review, if relevant criteria are met, and rolling review. Fast Track designation is intended to facilitate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119"/>
        <w:spacing w:after="0" w:line="265" w:lineRule="auto"/>
        <w:rPr>
          <w:sz w:val="20"/>
          <w:szCs w:val="20"/>
          <w:color w:val="auto"/>
        </w:rPr>
      </w:pPr>
      <w:r>
        <w:rPr>
          <w:rFonts w:ascii="Times New Roman" w:cs="Times New Roman" w:eastAsia="Times New Roman" w:hAnsi="Times New Roman"/>
          <w:sz w:val="14"/>
          <w:szCs w:val="14"/>
          <w:color w:val="auto"/>
        </w:rPr>
        <w:t>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imetelstat will receive marketing approval or that approval will be granted within any particular timeframe. In addition, the FDA may withdraw Fast Track designation if it believes that the designation is no longer supported by data emerging from the imetelstat clinical development program.</w:t>
      </w:r>
    </w:p>
    <w:p>
      <w:pPr>
        <w:spacing w:after="0" w:line="142" w:lineRule="exact"/>
        <w:rPr>
          <w:sz w:val="20"/>
          <w:szCs w:val="20"/>
          <w:color w:val="auto"/>
        </w:rPr>
      </w:pPr>
    </w:p>
    <w:p>
      <w:pPr>
        <w:jc w:val="both"/>
        <w:ind w:left="960" w:right="1159" w:firstLine="902"/>
        <w:spacing w:after="0" w:line="274" w:lineRule="auto"/>
        <w:rPr>
          <w:sz w:val="20"/>
          <w:szCs w:val="20"/>
          <w:color w:val="auto"/>
        </w:rPr>
      </w:pPr>
      <w:r>
        <w:rPr>
          <w:rFonts w:ascii="Times New Roman" w:cs="Times New Roman" w:eastAsia="Times New Roman" w:hAnsi="Times New Roman"/>
          <w:sz w:val="14"/>
          <w:szCs w:val="14"/>
          <w:color w:val="auto"/>
        </w:rPr>
        <w:t>In October 2017, the FDA granted Fast Track designation to imetelstat for the treatment of adult patients with TD anemia due to lower-risk MDS who do not have a non-del 5q abnormality and who are refractory or resistant to treatment with an ESA (i.e., the treatment population in IMerge Phase 3).</w:t>
      </w:r>
    </w:p>
    <w:p>
      <w:pPr>
        <w:spacing w:after="0" w:line="136" w:lineRule="exact"/>
        <w:rPr>
          <w:sz w:val="20"/>
          <w:szCs w:val="20"/>
          <w:color w:val="auto"/>
        </w:rPr>
      </w:pPr>
    </w:p>
    <w:p>
      <w:pPr>
        <w:jc w:val="both"/>
        <w:ind w:left="960" w:right="1019" w:firstLine="902"/>
        <w:spacing w:after="0" w:line="274" w:lineRule="auto"/>
        <w:rPr>
          <w:sz w:val="20"/>
          <w:szCs w:val="20"/>
          <w:color w:val="auto"/>
        </w:rPr>
      </w:pPr>
      <w:r>
        <w:rPr>
          <w:rFonts w:ascii="Times New Roman" w:cs="Times New Roman" w:eastAsia="Times New Roman" w:hAnsi="Times New Roman"/>
          <w:sz w:val="14"/>
          <w:szCs w:val="14"/>
          <w:color w:val="auto"/>
        </w:rPr>
        <w:t>In September 2019, the FDA granted Fast Track designation to imetelstat for the treatment of adult patients with Intermediate-2 or High-Risk MF whose disease has relapsed after or is refractory to JAK inhibitor treatment (i.e., the treatment population in IMpactMF).</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Potential Additional Indications</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auto"/>
        </w:rPr>
        <w:t>IMproveMF: Phase 1 Combination Clinical Trial in Frontline Myelofibrosis (Frontline MF)</w:t>
      </w:r>
    </w:p>
    <w:p>
      <w:pPr>
        <w:spacing w:after="0" w:line="183"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We are also evaluating imetelstat as a combination therapy in the Phase 1 IMproveMF clinical trial as a first-line treatment for patients with Intermediate-1, Intermediate-2 or High-Risk myelofibrosis. Based on the dose escalation findings in Part 1 of the study, presented at the American Society of Hematology, or ASH, annual meeting in December 2024, imetelstat 9.4 mg/kg dosed every four weeks with ruxolitinib was the selected dose for the dose expansion Part 2 of the study, which is currently enrolling patients.</w:t>
      </w:r>
    </w:p>
    <w:p>
      <w:pPr>
        <w:spacing w:after="0" w:line="142" w:lineRule="exact"/>
        <w:rPr>
          <w:sz w:val="20"/>
          <w:szCs w:val="20"/>
          <w:color w:val="auto"/>
        </w:rPr>
      </w:pPr>
    </w:p>
    <w:p>
      <w:pPr>
        <w:ind w:left="960" w:right="1339"/>
        <w:spacing w:after="0" w:line="292" w:lineRule="auto"/>
        <w:rPr>
          <w:sz w:val="20"/>
          <w:szCs w:val="20"/>
          <w:color w:val="auto"/>
        </w:rPr>
      </w:pPr>
      <w:r>
        <w:rPr>
          <w:rFonts w:ascii="Times New Roman" w:cs="Times New Roman" w:eastAsia="Times New Roman" w:hAnsi="Times New Roman"/>
          <w:sz w:val="14"/>
          <w:szCs w:val="14"/>
          <w:u w:val="single" w:color="auto"/>
          <w:color w:val="auto"/>
        </w:rPr>
        <w:t>IMpress: Investigator-Led Phase 2 Clinical Trial in Higher Risk Myelodysplastic Syndromes (Higher Risk MDS) and Acute Myeloid Leukemia (AML)</w:t>
      </w:r>
    </w:p>
    <w:p>
      <w:pPr>
        <w:spacing w:after="0" w:line="124" w:lineRule="exact"/>
        <w:rPr>
          <w:sz w:val="20"/>
          <w:szCs w:val="20"/>
          <w:color w:val="auto"/>
        </w:rPr>
      </w:pPr>
    </w:p>
    <w:p>
      <w:pPr>
        <w:ind w:left="960" w:right="1059" w:firstLine="902"/>
        <w:spacing w:after="0" w:line="263" w:lineRule="auto"/>
        <w:rPr>
          <w:sz w:val="20"/>
          <w:szCs w:val="20"/>
          <w:color w:val="auto"/>
        </w:rPr>
      </w:pPr>
      <w:r>
        <w:rPr>
          <w:rFonts w:ascii="Times New Roman" w:cs="Times New Roman" w:eastAsia="Times New Roman" w:hAnsi="Times New Roman"/>
          <w:sz w:val="14"/>
          <w:szCs w:val="14"/>
          <w:color w:val="auto"/>
        </w:rPr>
        <w:t>Imetelstat is also being studied in an investigator-led IMpress Phase 2 clinical trial in Intermediate-2 or High-Risk myelodysplastic syndromes, or higher-risk MDS, and acute myeloid leukemia, or AML, patients that are relapsed or refractory to hypomethylating agent, or HMA, treatment. Based on observations from an interim analysis from the first cohort, presented at ASH in December 2024, the protocol was amended to a more frequent dosing schedule for a second cohort of patients being enrolled and treated with this modified schedule as of August 2024. These data were presented at ASH in December 2025.</w:t>
      </w:r>
    </w:p>
    <w:p>
      <w:pPr>
        <w:spacing w:after="0" w:line="1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auto"/>
        </w:rPr>
        <w:t>IMAGINE: Investigator-Led Phase 1/2 Clinical Trial in Relapsed/RefractoryAML</w:t>
      </w:r>
    </w:p>
    <w:p>
      <w:pPr>
        <w:spacing w:after="0" w:line="183" w:lineRule="exact"/>
        <w:rPr>
          <w:sz w:val="20"/>
          <w:szCs w:val="20"/>
          <w:color w:val="auto"/>
        </w:rPr>
      </w:pPr>
    </w:p>
    <w:p>
      <w:pPr>
        <w:ind w:left="960" w:right="1039" w:firstLine="902"/>
        <w:spacing w:after="0" w:line="292" w:lineRule="auto"/>
        <w:rPr>
          <w:sz w:val="20"/>
          <w:szCs w:val="20"/>
          <w:color w:val="auto"/>
        </w:rPr>
      </w:pPr>
      <w:r>
        <w:rPr>
          <w:rFonts w:ascii="Times New Roman" w:cs="Times New Roman" w:eastAsia="Times New Roman" w:hAnsi="Times New Roman"/>
          <w:sz w:val="14"/>
          <w:szCs w:val="14"/>
          <w:color w:val="auto"/>
        </w:rPr>
        <w:t>We are enrolling a Phase 1/2 investigator-led study, called IMAGINE, in relapsed/refractory AML, using a combination approach of imetelstat and azacitidine with or without venetoclax.</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Research Programs</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Next Generation Telomerase Inhibitor Discovery</w:t>
      </w:r>
    </w:p>
    <w:p>
      <w:pPr>
        <w:spacing w:after="0" w:line="187"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We have initiated a discovery program to identify lead compounds as a potential next generation oral telomerase inhibitor. If the leads we have identified are optimized, we may conduct preclinical experiments that may serve as a basis for potential future clinical testing. Discovery research is an uncertain and unpredictable process. As such, the timing and nature of any results from this discovery effort are difficult to forecast. If we optimize lead compounds from this discovery program, we expect to provide an update on our efforts at that time.</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Preclinical Lymphoid Hematologic Malignancies</w:t>
      </w:r>
    </w:p>
    <w:p>
      <w:pPr>
        <w:spacing w:after="0" w:line="187" w:lineRule="exact"/>
        <w:rPr>
          <w:sz w:val="20"/>
          <w:szCs w:val="20"/>
          <w:color w:val="auto"/>
        </w:rPr>
      </w:pPr>
    </w:p>
    <w:p>
      <w:pPr>
        <w:ind w:left="960" w:right="1059" w:firstLine="902"/>
        <w:spacing w:after="0" w:line="263" w:lineRule="auto"/>
        <w:rPr>
          <w:sz w:val="20"/>
          <w:szCs w:val="20"/>
          <w:color w:val="auto"/>
        </w:rPr>
      </w:pPr>
      <w:r>
        <w:rPr>
          <w:rFonts w:ascii="Times New Roman" w:cs="Times New Roman" w:eastAsia="Times New Roman" w:hAnsi="Times New Roman"/>
          <w:sz w:val="14"/>
          <w:szCs w:val="14"/>
          <w:color w:val="auto"/>
        </w:rPr>
        <w:t xml:space="preserve">Academic research data suggests that certain lymphoid hematologic malignancies have higher telomerase activity and shorter telomeres when compared to normal healthy cells. Based on this scientific hypothesis, we conducted a preclinical research project with MD Anderson Cancer Center to determine the potential application of imetelstat in lymphoid hematologic malignancies. The project was completed, and preliminary results of the research project were published in </w:t>
      </w:r>
      <w:r>
        <w:rPr>
          <w:rFonts w:ascii="Times New Roman" w:cs="Times New Roman" w:eastAsia="Times New Roman" w:hAnsi="Times New Roman"/>
          <w:sz w:val="14"/>
          <w:szCs w:val="14"/>
          <w:i w:val="1"/>
          <w:iCs w:val="1"/>
          <w:color w:val="auto"/>
        </w:rPr>
        <w:t>Blood</w:t>
      </w:r>
      <w:r>
        <w:rPr>
          <w:rFonts w:ascii="Times New Roman" w:cs="Times New Roman" w:eastAsia="Times New Roman" w:hAnsi="Times New Roman"/>
          <w:sz w:val="14"/>
          <w:szCs w:val="14"/>
          <w:color w:val="auto"/>
        </w:rPr>
        <w:t xml:space="preserve"> in November 2022. Exploring the utility of imetelstat in lymphoid hematologic malignancies remains an area of interest for us.</w:t>
      </w:r>
    </w:p>
    <w:p>
      <w:pPr>
        <w:sectPr>
          <w:pgSz w:w="11900" w:h="16838" w:orient="portrait"/>
          <w:cols w:equalWidth="0" w:num="1">
            <w:col w:w="9019"/>
          </w:cols>
          <w:pgMar w:left="1440" w:top="0" w:right="144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0" w:right="1440" w:bottom="0" w:gutter="0" w:footer="0" w:header="0"/>
          <w:type w:val="continuous"/>
        </w:sectPr>
      </w:pPr>
    </w:p>
    <w:bookmarkStart w:id="9" w:name="page10"/>
    <w:bookmarkEnd w:id="9"/>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218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721804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Intellectual Property and Regulatory Exclusivity</w:t>
      </w:r>
    </w:p>
    <w:p>
      <w:pPr>
        <w:spacing w:after="0" w:line="185"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Intellectual property, including patent protection, is very important to our business. We file patent applications in the U.S. and other jurisdictions, and we also rely on trade secret protection and contractual arrangements to protect aspects of our business. An enforceable patent with appropriate claim coverage can provide an advantage over competitors who may seek to employ similar approaches to develop therapeutics, and so the future commercial success of RYTELO (imetelstat), and therefore our future success, will be in part dependent on our intellectual property strategy.</w:t>
      </w:r>
    </w:p>
    <w:p>
      <w:pPr>
        <w:spacing w:after="0" w:line="142"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Our intellectual property strategy includes the early development of a technology, such as imetelstat, followed by rounds of increasingly focused innovation around a product opportunity, including identification and definition of a specific product candidate and uses thereof, manufacturing processes, product formulation and methods of treatment and administration. The result of this process is that products in development are often protected by several families of patent filings that are filed at different times during the development process and cover different aspects of the product. Consequently, earlier filed, broad technology patents will usually expire ahead of patents covering later developments, such as product formulations and methods of treatment and administration, so that patent expirations on a product may span several years. Patent coverage may also vary from country to country based on the scope of available patent protection. There are also opportunities to obtain an extension of patent coverage for a product in certain jurisdictions, which adds further complexity to the determination of patent life.</w:t>
      </w:r>
    </w:p>
    <w:p>
      <w:pPr>
        <w:spacing w:after="0" w:line="146"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From time to time, we may endeavor to monitor worldwide patent filings by third parties that are relevant to our business. Based on this monitoring, we may determine that an action is appropriate to protect our business interests. Such actions may include negotiating patent licenses where appropriate, filing oppositions against a patent, filing a request for post grant review against a patent or filing a request for the declaration of an interference with a patent application or issued patent.</w:t>
      </w:r>
    </w:p>
    <w:p>
      <w:pPr>
        <w:spacing w:after="0" w:line="142" w:lineRule="exact"/>
        <w:rPr>
          <w:sz w:val="20"/>
          <w:szCs w:val="20"/>
          <w:color w:val="auto"/>
        </w:rPr>
      </w:pPr>
    </w:p>
    <w:p>
      <w:pPr>
        <w:ind w:left="960" w:right="1199" w:firstLine="902"/>
        <w:spacing w:after="0" w:line="292" w:lineRule="auto"/>
        <w:rPr>
          <w:sz w:val="20"/>
          <w:szCs w:val="20"/>
          <w:color w:val="auto"/>
        </w:rPr>
      </w:pPr>
      <w:r>
        <w:rPr>
          <w:rFonts w:ascii="Times New Roman" w:cs="Times New Roman" w:eastAsia="Times New Roman" w:hAnsi="Times New Roman"/>
          <w:sz w:val="14"/>
          <w:szCs w:val="14"/>
          <w:color w:val="auto"/>
        </w:rPr>
        <w:t>The information provided in this section should be reviewed in the context of the section entitled “Risks Related to Protecting Our Intellectual Property” described in “Risk Factors” in Part I, Item 1A of this Report.</w:t>
      </w:r>
    </w:p>
    <w:p>
      <w:pPr>
        <w:spacing w:after="0" w:line="1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RYTELO (imetelstat)</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i w:val="1"/>
          <w:iCs w:val="1"/>
          <w:color w:val="auto"/>
        </w:rPr>
        <w:t>Summary</w:t>
      </w:r>
    </w:p>
    <w:p>
      <w:pPr>
        <w:spacing w:after="0" w:line="185" w:lineRule="exact"/>
        <w:rPr>
          <w:sz w:val="20"/>
          <w:szCs w:val="20"/>
          <w:color w:val="auto"/>
        </w:rPr>
      </w:pPr>
    </w:p>
    <w:p>
      <w:pPr>
        <w:ind w:left="960" w:right="1039" w:firstLine="902"/>
        <w:spacing w:after="0" w:line="263" w:lineRule="auto"/>
        <w:rPr>
          <w:sz w:val="20"/>
          <w:szCs w:val="20"/>
          <w:color w:val="auto"/>
        </w:rPr>
      </w:pPr>
      <w:r>
        <w:rPr>
          <w:rFonts w:ascii="Times New Roman" w:cs="Times New Roman" w:eastAsia="Times New Roman" w:hAnsi="Times New Roman"/>
          <w:sz w:val="14"/>
          <w:szCs w:val="14"/>
          <w:color w:val="auto"/>
        </w:rPr>
        <w:t>RYTELO was developed internally by us, and we hold global commercial rights to it. We own issued patents related to RYTELO in the U.S., Europe and other jurisdictions. Although composition of matter patents generally provide the most comprehensive coverage of a therapeutic product such as RYTELO, subsequent patent filings directed to other aspects of RYTELO may also provide additional patent coverage with later expiration dates. In addition, it may be possible to obtain patent term extensions of some patents in some jurisdictions for claims covering RYTELO or relating to RYTELO, such as methods of treatment with RYTELO, which could further extend the patent term.</w:t>
      </w:r>
    </w:p>
    <w:p>
      <w:pPr>
        <w:spacing w:after="0" w:line="144" w:lineRule="exact"/>
        <w:rPr>
          <w:sz w:val="20"/>
          <w:szCs w:val="20"/>
          <w:color w:val="auto"/>
        </w:rPr>
      </w:pPr>
    </w:p>
    <w:p>
      <w:pPr>
        <w:ind w:left="960" w:right="1139" w:firstLine="902"/>
        <w:spacing w:after="0" w:line="292" w:lineRule="auto"/>
        <w:rPr>
          <w:sz w:val="20"/>
          <w:szCs w:val="20"/>
          <w:color w:val="auto"/>
        </w:rPr>
      </w:pPr>
      <w:r>
        <w:rPr>
          <w:rFonts w:ascii="Times New Roman" w:cs="Times New Roman" w:eastAsia="Times New Roman" w:hAnsi="Times New Roman"/>
          <w:sz w:val="14"/>
          <w:szCs w:val="14"/>
          <w:color w:val="auto"/>
        </w:rPr>
        <w:t>We have issued patents in the U.S., Europe and other jurisdictions that provide patent coverage into 2033 (not including any patent term extension) pertaining to the treatment of MDS and MF with RYTELO.</w:t>
      </w:r>
    </w:p>
    <w:p>
      <w:pPr>
        <w:spacing w:after="0" w:line="124" w:lineRule="exact"/>
        <w:rPr>
          <w:sz w:val="20"/>
          <w:szCs w:val="20"/>
          <w:color w:val="auto"/>
        </w:rPr>
      </w:pPr>
    </w:p>
    <w:p>
      <w:pPr>
        <w:ind w:left="960" w:right="1099" w:firstLine="902"/>
        <w:spacing w:after="0" w:line="258" w:lineRule="auto"/>
        <w:rPr>
          <w:sz w:val="20"/>
          <w:szCs w:val="20"/>
          <w:color w:val="auto"/>
        </w:rPr>
      </w:pPr>
      <w:r>
        <w:rPr>
          <w:rFonts w:ascii="Times New Roman" w:cs="Times New Roman" w:eastAsia="Times New Roman" w:hAnsi="Times New Roman"/>
          <w:sz w:val="14"/>
          <w:szCs w:val="14"/>
          <w:color w:val="auto"/>
        </w:rPr>
        <w:t>In the U.S., our method of treatment patent rights for MDS and MF expire in March 2033 (not including any patent term extension). We also hold an issued patent in the U.S. covering the composition of matter of RYTELO (imetelstat) that that was set to expire in December 2025 according to its original patent term, including patent term adjustment for delays at the USPTO. Now that we have received approval for RYTELO in the U.S., we have applied for patent term extensions under the provisions of the Drug Price Competition and Patent Term Restoration Act of 1984 (as amended), or the Hatch-Waxman Act, which, if granted, could extend the patent term of either our method of treatment patent for MDS and MF or our composition of matter patent by up to five years (but not beyond 14 years from the date of approval). Our composition of matter patent was granted interim patent term extension under the Hatch-Waxman Act, which extends its expiration date to December 2026, while a decision is being rendered on the patient term extension application.</w:t>
      </w:r>
    </w:p>
    <w:p>
      <w:pPr>
        <w:spacing w:after="0" w:line="1" w:lineRule="exact"/>
        <w:rPr>
          <w:sz w:val="20"/>
          <w:szCs w:val="20"/>
          <w:color w:val="auto"/>
        </w:rPr>
      </w:pPr>
    </w:p>
    <w:p>
      <w:pPr>
        <w:ind w:left="960" w:right="1019" w:firstLine="902"/>
        <w:spacing w:after="0" w:line="259" w:lineRule="auto"/>
        <w:rPr>
          <w:sz w:val="20"/>
          <w:szCs w:val="20"/>
          <w:color w:val="auto"/>
        </w:rPr>
      </w:pPr>
      <w:r>
        <w:rPr>
          <w:rFonts w:ascii="Times New Roman" w:cs="Times New Roman" w:eastAsia="Times New Roman" w:hAnsi="Times New Roman"/>
          <w:sz w:val="14"/>
          <w:szCs w:val="14"/>
          <w:color w:val="auto"/>
        </w:rPr>
        <w:t>In Europe and other countries, our patent rights for use in MDS and MF expire in November 2033 (not including any patent term extension). Our composition of matter patent coverage expired in September 2024. We plan to seek patent term extension under a Supplementary Protection Certificate, or SPC, as permitted under European Council, or EC, Regulation No 469/2009 of the European Parliament and of the Council of 6 May 2009 concerning the supplementary protection certificate of medicinal products (the Medicinal SPC Regulation), of one of our use patents, such as our patent for use in MDS, in the European Economic Area, or the EEA, which could extend the patent term by up to five years.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235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32353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ind w:left="960" w:right="1039" w:firstLine="902"/>
        <w:spacing w:after="0" w:line="184" w:lineRule="exact"/>
        <w:rPr>
          <w:sz w:val="20"/>
          <w:szCs w:val="20"/>
          <w:color w:val="auto"/>
        </w:rPr>
      </w:pPr>
      <w:r>
        <w:rPr>
          <w:rFonts w:ascii="Times New Roman" w:cs="Times New Roman" w:eastAsia="Times New Roman" w:hAnsi="Times New Roman"/>
          <w:sz w:val="14"/>
          <w:szCs w:val="14"/>
          <w:color w:val="auto"/>
        </w:rPr>
        <w:t>In the U.S., Europe, and other jurisdictions, we are also pursuing other patent rights relating to RYTELO (imetelstat), such as methods of treatment of MDS in specific patient subpopulations, reagents useful in the manufacturing processes for the drug, and other methods of treatment and kit claims, certain of which are co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with other entities.</w:t>
      </w:r>
    </w:p>
    <w:p>
      <w:pPr>
        <w:spacing w:after="0" w:line="13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i w:val="1"/>
          <w:iCs w:val="1"/>
          <w:color w:val="auto"/>
        </w:rPr>
        <w:t>Patent Term Extension</w:t>
      </w:r>
    </w:p>
    <w:p>
      <w:pPr>
        <w:spacing w:after="0" w:line="185"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Although we are in the process of seeking patent term extension for some of our issued patents covering RYTELO, it is not possible to obtain patent term extension of any patents that expired prior to or are issued following regulatory approval. For the patents for which we are seeking a patent term extension, we may not be granted any such patent term extension and/or the applicable time period of such patent term extension could be less than we have projected. In the U.S., patent term extension is available for a product that contains an active ingredient that has not previously been approved. The extension, which compensates for patent term lost during product development and FDA regulatory review process, is generally equal to the sum of one-half the time between the effective date of an IND application and the submission date of an NDA, and all of the time between the submission date of an NDA and the approval of that application. Moreover, in some jurisdictions, including the U.S., such patent term extensions, if any, are available for only one patent for a given product and the rights derived from such extension are limited to those claims which encompass the product composition and treatment indications as approved by the relevant healthcare regulatory authority on or after the regulatory review period on which the extension is based. During the life of the patent term extension, however, its scope of protection may expand to include any additional indications subsequently approved for the product and claimed by the patent. Furthermore, some jurisdictions, including the U.S., allow the filing of patent term extension applications on multiple patents, but ultimately the patent owner must select one patent to which the extension is applied.</w:t>
      </w:r>
    </w:p>
    <w:p>
      <w:pPr>
        <w:spacing w:after="0" w:line="143" w:lineRule="exact"/>
        <w:rPr>
          <w:sz w:val="20"/>
          <w:szCs w:val="20"/>
          <w:color w:val="auto"/>
        </w:rPr>
      </w:pPr>
    </w:p>
    <w:p>
      <w:pPr>
        <w:ind w:left="960" w:right="1059" w:firstLine="902"/>
        <w:spacing w:after="0" w:line="274" w:lineRule="auto"/>
        <w:rPr>
          <w:sz w:val="20"/>
          <w:szCs w:val="20"/>
          <w:color w:val="auto"/>
        </w:rPr>
      </w:pPr>
      <w:r>
        <w:rPr>
          <w:rFonts w:ascii="Times New Roman" w:cs="Times New Roman" w:eastAsia="Times New Roman" w:hAnsi="Times New Roman"/>
          <w:sz w:val="14"/>
          <w:szCs w:val="14"/>
          <w:color w:val="auto"/>
        </w:rPr>
        <w:t>In the U.S., now that we have received approval for RYTELO in certain patients with lower-risk MDS, we may potentially extend the term of our composition of matter patent in the U.S. for a maximum of five years until December 2030, subject to U.S. Patent and Trademark Office, or USPTO, approval. Alternatively, we may potentially</w:t>
      </w:r>
    </w:p>
    <w:p>
      <w:pPr>
        <w:sectPr>
          <w:pgSz w:w="11900" w:h="16932" w:orient="portrait"/>
          <w:cols w:equalWidth="0" w:num="1">
            <w:col w:w="9019"/>
          </w:cols>
          <w:pgMar w:left="1440" w:top="318" w:right="1440" w:bottom="0" w:gutter="0" w:footer="0" w:header="0"/>
        </w:sectPr>
      </w:pPr>
    </w:p>
    <w:bookmarkStart w:id="10" w:name="page11"/>
    <w:bookmarkEnd w:id="10"/>
    <w:p>
      <w:pPr>
        <w:ind w:left="960" w:right="979"/>
        <w:spacing w:after="0" w:line="263" w:lineRule="auto"/>
        <w:rPr>
          <w:sz w:val="20"/>
          <w:szCs w:val="20"/>
          <w:color w:val="auto"/>
        </w:rPr>
      </w:pPr>
      <w:r>
        <w:rPr>
          <w:rFonts w:ascii="Times New Roman" w:cs="Times New Roman" w:eastAsia="Times New Roman" w:hAnsi="Times New Roman"/>
          <w:sz w:val="14"/>
          <w:szCs w:val="14"/>
          <w:color w:val="auto"/>
        </w:rPr>
        <w:t>extend the term of our method of treatment for MDS claims in the U.S. until August 2037, subject to USPTO approval. As we have previously disclosed, we expect to apply patent term extension, if granted, to our method of treatment patent, since doing so extends the expiration date of the method of treatment patent to a later date than the composition of matter patent. However, if we do not receive a patent term extension for our U.S. method of treatment patent for MDS, it will expire in March 2033. Once our composition of matter patent expires in the U.S., we must rely on our method of treatment patent and other patents and regulatory exclusivity for RYTELO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-662305</wp:posOffset>
            </wp:positionV>
            <wp:extent cx="5584190" cy="3978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84190" cy="3978910"/>
                    </a:xfrm>
                    <a:prstGeom prst="rect">
                      <a:avLst/>
                    </a:prstGeom>
                    <a:noFill/>
                  </pic:spPr>
                </pic:pic>
              </a:graphicData>
            </a:graphic>
          </wp:anchor>
        </w:drawing>
      </w:r>
    </w:p>
    <w:p>
      <w:pPr>
        <w:spacing w:after="0" w:line="124"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Similarly, in Europe, we are in the process of seeking to potentially extend the term of our patents in the EEA for the use of RYTELO in MDS for a maximum of five years, from November 2033 until November 2038, subject to the approval of the national patent offices, in accordance with the Medicinal SPC Regulation. Since our European composition of matter patents expired in September 2024, we must rely on our use and other patents and, subject to receiving approval from the EC, regulatory exclusivity for RYTELO in the EEA.</w:t>
      </w:r>
    </w:p>
    <w:p>
      <w:pPr>
        <w:spacing w:after="0" w:line="142"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If we do not have sufficient patent life and regulatory exclusivity to protect RYTELO in the U.S. and Europe, our financial results, business and business prospects, and future development of imetelstat could be materially and adversely affected, which might cause us to cease operations.</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Orphan Drug Designation and Market Exclusivity</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i w:val="1"/>
          <w:iCs w:val="1"/>
          <w:color w:val="auto"/>
        </w:rPr>
        <w:t>United States</w:t>
      </w:r>
    </w:p>
    <w:p>
      <w:pPr>
        <w:spacing w:after="0" w:line="185"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Some jurisdictions, including the U.S., may designate drugs or biologics for relatively small patient populations as orphan drugs. For a drug to qualify for orphan drug designation by the FDA, both the drug and the disease or condition must meet certain criteria specified in the Orphan Drug Act, or ODA, and FDA’s implementing regulations. Orphan drug designation is granted by the FDA’s Office of Orphan Products Development in order to support development of medicines for rare diseases or conditions, which generally are those that affect fewer than 200,000 people in the U.S. or, if the disease or condition affects more than 200,000 individuals annually in the U.S., if there is no reasonable expectation that the cost of developing and making the drug available in the U.S. would be recovered from sales of such drug in the U.S. Orphan drug designation does not shorten the duration of the regulatory review process or lower the approval standards, but can provide important benefits, including consultation with FDA. Orphan drug designation qualifies the sponsor of the drug for various development incentives under the ODA, including certain tax credits for qualified clinical testing and exemption from user fees.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6474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64744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ind w:left="960" w:right="1039" w:firstLine="902"/>
        <w:spacing w:after="0" w:line="259" w:lineRule="auto"/>
        <w:rPr>
          <w:sz w:val="20"/>
          <w:szCs w:val="20"/>
          <w:color w:val="auto"/>
        </w:rPr>
      </w:pPr>
      <w:r>
        <w:rPr>
          <w:rFonts w:ascii="Times New Roman" w:cs="Times New Roman" w:eastAsia="Times New Roman" w:hAnsi="Times New Roman"/>
          <w:sz w:val="14"/>
          <w:szCs w:val="14"/>
          <w:color w:val="auto"/>
        </w:rPr>
        <w:t>A drug granted approval for an orphan designated indication generally receives seven years of market exclusivity, during which time the FDA generally may not approve any other application for the same drug for the same use, with certain limited exceptions, including when the later product is shown to be clinically superior to the product with exclusivity (and thus not the same). If there is a previously-approved product that is the same drug for the same indication, orphan drug designation requires the sponsor to provide a plausible hypothesis of clinical superiority over the approved product, whereas ODE requires the sponsor to actually demonstrate clinical superiority. Clinical superiority can be established by way of greater efficacy, greater safety, or making a major contribution to patient care. Orphan drug exclusivity does not prevent the FDA from approving a different drug for the same disease or condition, or the same drug for a different use. The FDA can revoke a product’s orphan drug exclusivity under certain circumstances, including when the product sponsor is unable to assure the availability of sufficient quantities of the product to meet patient needs. A later product may also be approved during the exclusivity period if the orphan drug exclusivity holder consents to the approval of that product.</w:t>
      </w:r>
    </w:p>
    <w:p>
      <w:pPr>
        <w:spacing w:after="0" w:line="149" w:lineRule="exact"/>
        <w:rPr>
          <w:sz w:val="20"/>
          <w:szCs w:val="20"/>
          <w:color w:val="auto"/>
        </w:rPr>
      </w:pPr>
    </w:p>
    <w:p>
      <w:pPr>
        <w:ind w:left="960" w:right="1019" w:firstLine="902"/>
        <w:spacing w:after="0" w:line="178" w:lineRule="exact"/>
        <w:rPr>
          <w:sz w:val="20"/>
          <w:szCs w:val="20"/>
          <w:color w:val="auto"/>
        </w:rPr>
      </w:pPr>
      <w:r>
        <w:rPr>
          <w:rFonts w:ascii="Times New Roman" w:cs="Times New Roman" w:eastAsia="Times New Roman" w:hAnsi="Times New Roman"/>
          <w:sz w:val="14"/>
          <w:szCs w:val="14"/>
          <w:color w:val="auto"/>
        </w:rPr>
        <w:t>A marketing application for a prescription drug product that has received orphan drug designation is not subject to a prescription drug user fee unless the application includes an indication for a disease or condition other than the rare disease or condition for which the drug was granted orphan drug designation. The granting of orphan drug designation does not alter the standard regulatory requirements and process for obtaining marketing approval, including the requirement that a drug’s effectiveness be established by substantial evidence, as demonstrated through adequate and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controlled studies (and, as appropriate, confirmatory evidence).</w:t>
      </w:r>
    </w:p>
    <w:p>
      <w:pPr>
        <w:spacing w:after="0" w:line="136" w:lineRule="exact"/>
        <w:rPr>
          <w:sz w:val="20"/>
          <w:szCs w:val="20"/>
          <w:color w:val="auto"/>
        </w:rPr>
      </w:pPr>
    </w:p>
    <w:p>
      <w:pPr>
        <w:ind w:left="960" w:right="1019" w:firstLine="902"/>
        <w:spacing w:after="0" w:line="263" w:lineRule="auto"/>
        <w:rPr>
          <w:sz w:val="20"/>
          <w:szCs w:val="20"/>
          <w:color w:val="auto"/>
        </w:rPr>
      </w:pPr>
      <w:r>
        <w:rPr>
          <w:rFonts w:ascii="Times New Roman" w:cs="Times New Roman" w:eastAsia="Times New Roman" w:hAnsi="Times New Roman"/>
          <w:sz w:val="14"/>
          <w:szCs w:val="14"/>
          <w:color w:val="auto"/>
        </w:rPr>
        <w:t>In June 2015 and December 2015, the FDA granted orphan drug designation to imetelstat for the treatment of MF and MDS, respectively, and following approval of RYTELO in June 2024, the FDA listed in its Approved Drug Products with Therapeutic Equivalence Evaluations, commonly known as the Orange Book, and its database for orphan-drug designations and approvals, that RYTELO has orphan drug exclusivity, which is expected to provide orphan drug exclusivity until June 2031 for its MDS indication, subject to our continuing compliance with the requirements to maintain such orphan drug exclusivity.</w:t>
      </w:r>
    </w:p>
    <w:p>
      <w:pPr>
        <w:spacing w:after="0" w:line="144" w:lineRule="exact"/>
        <w:rPr>
          <w:sz w:val="20"/>
          <w:szCs w:val="20"/>
          <w:color w:val="auto"/>
        </w:rPr>
      </w:pPr>
    </w:p>
    <w:p>
      <w:pPr>
        <w:ind w:left="960" w:right="1019" w:firstLine="902"/>
        <w:spacing w:after="0" w:line="259" w:lineRule="auto"/>
        <w:rPr>
          <w:sz w:val="20"/>
          <w:szCs w:val="20"/>
          <w:color w:val="auto"/>
        </w:rPr>
      </w:pPr>
      <w:r>
        <w:rPr>
          <w:rFonts w:ascii="Times New Roman" w:cs="Times New Roman" w:eastAsia="Times New Roman" w:hAnsi="Times New Roman"/>
          <w:sz w:val="14"/>
          <w:szCs w:val="14"/>
          <w:color w:val="auto"/>
        </w:rPr>
        <w:t>In addition to orphan drug exclusivity, under the Hatch-Waxman Act, if a product is a “new chemical entity” or NCE, which generally means that the active moiety has never before been previously approved by the FDA, there is a period of five years from approval of the first indication during which the FDA may not accept for filing any abbreviated new drug application, or ANDA, under section 505(j) of the Federal Food, Drug, and Cosmetic Act, or an application under section 505(b)(2) of the statute for a drug with the same active moiety. An ANDA or 505(b)(2) application may be submitted after four years, however, if the sponsor of the application makes a Paragraph IV certification, which may trigger litigation and a 30-month stay of approval, as further described in the section titled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validity, scope and enforceability of any patents listed in the Orange Book that cover RYTELO or its methods of use can be challenged by third parties and may not protect us from generic or innovator competition </w:t>
      </w:r>
      <w:r>
        <w:rPr>
          <w:rFonts w:ascii="Times New Roman" w:cs="Times New Roman" w:eastAsia="Times New Roman" w:hAnsi="Times New Roman"/>
          <w:sz w:val="14"/>
          <w:szCs w:val="14"/>
          <w:color w:val="auto"/>
        </w:rPr>
        <w:t>" under “Risk Factors” in Part 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Item 1A of this Report. Our request for NCE exclusivity for RYTELO is pending review by the FDA. If the FDA were to grant NCE exclusivity for RYTELO, NCE exclusivity would continue until June 2029.</w:t>
      </w:r>
    </w:p>
    <w:p>
      <w:pPr>
        <w:spacing w:after="0" w:line="151"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The Hatch-Waxman Act also provides three years of marketing exclusivity for a product that is not an NCE but that incorporates a change(such as a new indication, dosage form or strength) from the approved product with the same moiety. Such product may qualify for a three-year period of exclusivity if the NDA contains reports of new clinical investigations (other than bioavailability studies) conducted or sponsored by the sponsor that were necessary for approval of the NDA. In that instance, the exclusivity period does not preclude filing or review of an ANDA or 505(b)(2) application; rather, the FDA is precluded from granting final approval to the ANDA or 505(b)(2) application until three years after approval of the Reference Listed Drug, or RLD. Additionally, the exclusivity applies only to the extent that any subsequent ANDA or Section 505(b)(2) product that shares the conditions of approval that required submission of the clinical data.</w:t>
      </w:r>
    </w:p>
    <w:p>
      <w:pPr>
        <w:spacing w:after="0" w:line="160"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In the US, the exclusivity periods and patent-related protections described above also may be eligible for a six-month extension of regulatory exclusivity, or pediatric exclusivity, pursuant to section 505A of the Federal Food, Drug, and Cosmetic Act, if the sponsor submits pediatric data that “fairly respond” to a written request from FDA for such data; however, we do not expect to receive pediatric exclusivity for RYTELO in the U.S.</w:t>
      </w:r>
    </w:p>
    <w:p>
      <w:pPr>
        <w:sectPr>
          <w:pgSz w:w="11900" w:h="16838" w:orient="portrait"/>
          <w:cols w:equalWidth="0" w:num="1">
            <w:col w:w="9019"/>
          </w:cols>
          <w:pgMar w:left="1440" w:top="125" w:right="1440" w:bottom="0" w:gutter="0" w:footer="0" w:header="0"/>
        </w:sectPr>
      </w:pPr>
    </w:p>
    <w:p>
      <w:pPr>
        <w:spacing w:after="0" w:line="14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i w:val="1"/>
          <w:iCs w:val="1"/>
          <w:color w:val="auto"/>
        </w:rPr>
        <w:t>Europe</w:t>
      </w:r>
    </w:p>
    <w:p>
      <w:pPr>
        <w:sectPr>
          <w:pgSz w:w="11900" w:h="16838" w:orient="portrait"/>
          <w:cols w:equalWidth="0" w:num="1">
            <w:col w:w="9019"/>
          </w:cols>
          <w:pgMar w:left="1440" w:top="125" w:right="1440" w:bottom="0" w:gutter="0" w:footer="0" w:header="0"/>
          <w:type w:val="continuous"/>
        </w:sectPr>
      </w:pPr>
    </w:p>
    <w:bookmarkStart w:id="11" w:name="page12"/>
    <w:bookmarkEnd w:id="11"/>
    <w:p>
      <w:pPr>
        <w:ind w:left="960" w:right="1039" w:firstLine="902"/>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39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739140"/>
                    </a:xfrm>
                    <a:prstGeom prst="rect">
                      <a:avLst/>
                    </a:prstGeom>
                    <a:noFill/>
                  </pic:spPr>
                </pic:pic>
              </a:graphicData>
            </a:graphic>
          </wp:anchor>
        </w:drawing>
        <w:t>In the EEA, a medicinal product containing a new active substance generally receives eight years of data exclusivity, which prevents competitors from relying on the results of pre-clinical tests and of clinical trials when applying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spacing w:after="0" w:line="260" w:lineRule="auto"/>
        <w:rPr>
          <w:sz w:val="20"/>
          <w:szCs w:val="20"/>
          <w:color w:val="auto"/>
        </w:rPr>
      </w:pPr>
      <w:r>
        <w:rPr>
          <w:rFonts w:ascii="Times New Roman" w:cs="Times New Roman" w:eastAsia="Times New Roman" w:hAnsi="Times New Roman"/>
          <w:sz w:val="14"/>
          <w:szCs w:val="14"/>
          <w:color w:val="auto"/>
        </w:rPr>
        <w:t>for a marketing authorization for a generic or biosimilar product, and an additional two years of market exclusivity, during which competitors can apply for a marketing authorization by referencing the marketing authorization holder's data but are not allowed to place their product on the market until the end of this period, conferring a total of ten years of exclusivity for the medicinal product. The ten years of exclusivity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When RYTELO was granted marketing authorization by the EC for the treatment of certain patients with lower-risk MDS on March 7, 2025, it was confirmed to contain a new active substance and so RYTELO is entitled to ten years of data exclusivity in the EEA from the time of approval.</w:t>
      </w:r>
    </w:p>
    <w:p>
      <w:pPr>
        <w:spacing w:after="0" w:line="149" w:lineRule="exact"/>
        <w:rPr>
          <w:sz w:val="20"/>
          <w:szCs w:val="20"/>
          <w:color w:val="auto"/>
        </w:rPr>
      </w:pPr>
    </w:p>
    <w:p>
      <w:pPr>
        <w:ind w:left="960" w:right="979" w:firstLine="902"/>
        <w:spacing w:after="0" w:line="173" w:lineRule="exact"/>
        <w:rPr>
          <w:sz w:val="20"/>
          <w:szCs w:val="20"/>
          <w:color w:val="auto"/>
        </w:rPr>
      </w:pPr>
      <w:r>
        <w:rPr>
          <w:rFonts w:ascii="Times New Roman" w:cs="Times New Roman" w:eastAsia="Times New Roman" w:hAnsi="Times New Roman"/>
          <w:sz w:val="14"/>
          <w:szCs w:val="14"/>
          <w:color w:val="auto"/>
        </w:rPr>
        <w:t>In addition to data exclusivity, orphan drug designation by the EC provides regulatory and financial incentives for companies to develop and market therapies that treat a life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threatening or chronically debilitating condition affecting no more than five in 10,000 persons in the EU (or if it is unlikely that marketing of the medicinal product would generate sufficient returns to justify the investment needed for its development), and where no satisfactory treatment is available, or, if such method exists, the medicine must be of significant benefit to those affected by the condition in accordance with Regulation (EC) No 141/2000 (the EU Orphan Regulation). Orphan drug designation also entitles a party to financial incentives such as reduction of fees or fee waivers, as well as protocol assistance from the EMA during the product development phase, and direct access to the centralized authorization procedure. In addition, ten years of market exclusivity is granted following receipt of marketing authorization as an orphan medicinal product, meaning that a competing similar medicinal product for the same therapeutic indication in principle may not enter the market for a period of 10 years following marketing authorization, subject to specific conditions. To benefit from market exclusivity, a medicine must maintain its orphan designation at the time of marketing authorization. Each indication with an orphan designation confers ten years' market exclusivity for the particular indication. This period may be reduced to six years if the orphan drug designation criteria are no longer met, including where it is shown that the product is sufficiently profitable to not justify maintenance of market exclusivity.</w:t>
      </w:r>
    </w:p>
    <w:p>
      <w:pPr>
        <w:spacing w:after="0" w:line="163"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In December 2015 and July 2020, the EC granted orphan drug designation to imetelstat for the treatment of MF and MDS, respectively. On March 7, 2025, the EC granted marketing authorization for RYTELO (imetelstat sodium) as an orphan medicinal product and considered that imetelstat is a new active substance. RYTELO is indicated as monotherapy for the treatment of adult patients with TD anemia due to very low, low or intermediate risk myelodysplastic syndromes (MDS) without an isolated deletion 5q cytogenetic (non-del 5q) abnormality and who had an unsatisfactory response to or are ineligible for erythropoietin-based therapy. With the grant of the marketing authorization, RYTELO in principle is currently entitled to maintain orphan market exclusivity in the EEA in the approved indication for ten years post-approval.</w:t>
      </w:r>
    </w:p>
    <w:p>
      <w:pPr>
        <w:spacing w:after="0" w:line="163" w:lineRule="exact"/>
        <w:rPr>
          <w:sz w:val="20"/>
          <w:szCs w:val="20"/>
          <w:color w:val="auto"/>
        </w:rPr>
      </w:pPr>
    </w:p>
    <w:p>
      <w:pPr>
        <w:ind w:left="960" w:right="1179" w:firstLine="902"/>
        <w:spacing w:after="0" w:line="264" w:lineRule="auto"/>
        <w:rPr>
          <w:sz w:val="20"/>
          <w:szCs w:val="20"/>
          <w:color w:val="auto"/>
        </w:rPr>
      </w:pPr>
      <w:r>
        <w:rPr>
          <w:rFonts w:ascii="Times New Roman" w:cs="Times New Roman" w:eastAsia="Times New Roman" w:hAnsi="Times New Roman"/>
          <w:sz w:val="14"/>
          <w:szCs w:val="14"/>
          <w:color w:val="auto"/>
        </w:rPr>
        <w:t>In addition, under the European Pediatric Regulation, if we fulfill our pediatric investigation plan agreed upon with the EMA, we would be eligible to receive an additional two years of market exclusivity under the European Pediatrics Regulation (Regulation (EC) No 1901/2006).</w:t>
      </w:r>
    </w:p>
    <w:p>
      <w:pPr>
        <w:spacing w:after="0" w:line="1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Prior Collaboration with Janssen Biotech, Inc.</w:t>
      </w:r>
    </w:p>
    <w:p>
      <w:pPr>
        <w:spacing w:after="0" w:line="185"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Upon the effective date of termination of the license and collaboration agreement, or the Prior Collaboration Agreement, with Janssen Biotech, Inc., or Janssen, on September 28, 2018, we regained global rights to imetelstat and are continuing the development, commercialization and marketing of imetelstat on our own. In accordance with the termination provisions of the Prior Collaboration Agreement, we have an exclusive worldwide license for intellectual property developed under the Prior Collaboration Agreement for the further development, commercialization and marketing of imetelstat, without any economic obligations to Janssen with respect to such license. Janssen has assigned to us certain intellectual property developed by it under the Prior Collaboration Agreement. We now are responsible for the costs of maintaining, prosecuting and litigating all imetelstat intellectual property that we own.</w:t>
      </w:r>
    </w:p>
    <w:p>
      <w:pPr>
        <w:spacing w:after="0" w:line="1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Licensing</w:t>
      </w:r>
    </w:p>
    <w:p>
      <w:pPr>
        <w:spacing w:after="0" w:line="185" w:lineRule="exact"/>
        <w:rPr>
          <w:sz w:val="20"/>
          <w:szCs w:val="20"/>
          <w:color w:val="auto"/>
        </w:rPr>
      </w:pPr>
    </w:p>
    <w:p>
      <w:pPr>
        <w:ind w:left="960" w:right="1219" w:firstLine="902"/>
        <w:spacing w:after="0" w:line="292" w:lineRule="auto"/>
        <w:rPr>
          <w:sz w:val="20"/>
          <w:szCs w:val="20"/>
          <w:color w:val="auto"/>
        </w:rPr>
      </w:pPr>
      <w:r>
        <w:rPr>
          <w:rFonts w:ascii="Times New Roman" w:cs="Times New Roman" w:eastAsia="Times New Roman" w:hAnsi="Times New Roman"/>
          <w:sz w:val="14"/>
          <w:szCs w:val="14"/>
          <w:color w:val="auto"/>
        </w:rPr>
        <w:t>We have no material license agreements. We have global rights to imetelstat, which was discovered and developed at Geron.</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A typical sequence of steps in the manufacture of imetelstat drug product includes the following key</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components: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2430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24307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9" w:lineRule="exact"/>
        <w:rPr>
          <w:sz w:val="20"/>
          <w:szCs w:val="20"/>
          <w:color w:val="auto"/>
        </w:rPr>
      </w:pPr>
    </w:p>
    <w:p>
      <w:pPr>
        <w:ind w:left="2760" w:right="1219" w:hanging="898"/>
        <w:spacing w:after="0" w:line="194" w:lineRule="exact"/>
        <w:tabs>
          <w:tab w:leader="none" w:pos="2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starting materials, which are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defined raw materials that are used to make bulk drug substance;</w:t>
      </w:r>
    </w:p>
    <w:p>
      <w:pPr>
        <w:spacing w:after="0" w:line="73" w:lineRule="exact"/>
        <w:rPr>
          <w:rFonts w:ascii="Times New Roman" w:cs="Times New Roman" w:eastAsia="Times New Roman" w:hAnsi="Times New Roman"/>
          <w:sz w:val="14"/>
          <w:szCs w:val="14"/>
          <w:color w:val="auto"/>
        </w:rPr>
      </w:pPr>
    </w:p>
    <w:p>
      <w:pPr>
        <w:ind w:left="2760" w:right="1179" w:hanging="898"/>
        <w:spacing w:after="0" w:line="292" w:lineRule="auto"/>
        <w:tabs>
          <w:tab w:leader="none" w:pos="2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bulk drug substance, which is the active pharmaceutical ingredient in a drug product that provides pharmacological activity or other direct effect in the treatment of disease; and</w:t>
      </w:r>
    </w:p>
    <w:p>
      <w:pPr>
        <w:spacing w:after="0" w:line="37" w:lineRule="exact"/>
        <w:rPr>
          <w:rFonts w:ascii="Times New Roman" w:cs="Times New Roman" w:eastAsia="Times New Roman" w:hAnsi="Times New Roman"/>
          <w:sz w:val="14"/>
          <w:szCs w:val="14"/>
          <w:color w:val="auto"/>
        </w:rPr>
      </w:pPr>
    </w:p>
    <w:p>
      <w:pPr>
        <w:ind w:left="2760" w:right="979" w:hanging="898"/>
        <w:spacing w:after="0" w:line="292" w:lineRule="auto"/>
        <w:tabs>
          <w:tab w:leader="none" w:pos="2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 drug product, which is the finished dosage form that contains the drug substance and is supplied for patient treatment.</w:t>
      </w:r>
    </w:p>
    <w:p>
      <w:pPr>
        <w:spacing w:after="0" w:line="92" w:lineRule="exact"/>
        <w:rPr>
          <w:sz w:val="20"/>
          <w:szCs w:val="20"/>
          <w:color w:val="auto"/>
        </w:rPr>
      </w:pPr>
    </w:p>
    <w:p>
      <w:pPr>
        <w:ind w:left="960" w:right="979" w:firstLine="902"/>
        <w:spacing w:after="0" w:line="187" w:lineRule="exact"/>
        <w:rPr>
          <w:sz w:val="20"/>
          <w:szCs w:val="20"/>
          <w:color w:val="auto"/>
        </w:rPr>
      </w:pPr>
      <w:r>
        <w:rPr>
          <w:rFonts w:ascii="Times New Roman" w:cs="Times New Roman" w:eastAsia="Times New Roman" w:hAnsi="Times New Roman"/>
          <w:sz w:val="14"/>
          <w:szCs w:val="14"/>
          <w:color w:val="auto"/>
        </w:rPr>
        <w:t>Since September 2018, we have engaged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contract manufacturers and have established a supply chain to manufacture and supply imetelstat that meets applicable regulatory standards for current and potential commercial uses and current and potential future clinical trials.</w:t>
      </w:r>
    </w:p>
    <w:p>
      <w:pPr>
        <w:spacing w:after="0" w:line="128" w:lineRule="exact"/>
        <w:rPr>
          <w:sz w:val="20"/>
          <w:szCs w:val="20"/>
          <w:color w:val="auto"/>
        </w:rPr>
      </w:pPr>
    </w:p>
    <w:p>
      <w:pPr>
        <w:ind w:left="960" w:right="979" w:firstLine="902"/>
        <w:spacing w:after="0" w:line="180" w:lineRule="exact"/>
        <w:rPr>
          <w:sz w:val="20"/>
          <w:szCs w:val="20"/>
          <w:color w:val="auto"/>
        </w:rPr>
      </w:pPr>
      <w:r>
        <w:rPr>
          <w:rFonts w:ascii="Times New Roman" w:cs="Times New Roman" w:eastAsia="Times New Roman" w:hAnsi="Times New Roman"/>
          <w:sz w:val="14"/>
          <w:szCs w:val="14"/>
          <w:color w:val="auto"/>
        </w:rPr>
        <w:t>We do not have direct control over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personnel or operations. These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contract manufacturers, and/or any other third parties that we may rely upon for the manufacture and/or supply of imetelstat, typically complete their services on a proposal by proposal basis under master supply agreements and may need to make substantial investments to enable sufficient capacity increases and cost reductions, and to implement those regulatory and compliance standards necessary for commercial production and successful Phase 3 clinical trials. These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contract manufacturers, and/or any other third parties that we may rely upon for the manufacture and/or supply of imetelstat, may</w:t>
      </w:r>
    </w:p>
    <w:p>
      <w:pPr>
        <w:sectPr>
          <w:pgSz w:w="11900" w:h="16838" w:orient="portrait"/>
          <w:cols w:equalWidth="0" w:num="1">
            <w:col w:w="9019"/>
          </w:cols>
          <w:pgMar w:left="1440" w:top="189" w:right="1440" w:bottom="0" w:gutter="0" w:footer="0" w:header="0"/>
        </w:sectPr>
      </w:pPr>
    </w:p>
    <w:bookmarkStart w:id="12" w:name="page13"/>
    <w:bookmarkEnd w:id="12"/>
    <w:p>
      <w:pPr>
        <w:ind w:left="960" w:right="979"/>
        <w:spacing w:after="0" w:line="135" w:lineRule="exact"/>
        <w:rPr>
          <w:sz w:val="20"/>
          <w:szCs w:val="20"/>
          <w:color w:val="auto"/>
        </w:rPr>
      </w:pPr>
      <w:r>
        <w:rPr>
          <w:rFonts w:ascii="Times New Roman" w:cs="Times New Roman" w:eastAsia="Times New Roman" w:hAnsi="Times New Roman"/>
          <w:sz w:val="14"/>
          <w:szCs w:val="14"/>
          <w:color w:val="auto"/>
        </w:rPr>
        <w:t>not be able to achieve such capacity increases, cost reductions, or regulatory and compliance standards, and even if they do, such achievements may not be at a commercially reasonable cost. We are responsible for establishing any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-153035</wp:posOffset>
            </wp:positionV>
            <wp:extent cx="5584190" cy="4783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4783455"/>
                    </a:xfrm>
                    <a:prstGeom prst="rect">
                      <a:avLst/>
                    </a:prstGeom>
                    <a:noFill/>
                  </pic:spPr>
                </pic:pic>
              </a:graphicData>
            </a:graphic>
          </wp:anchor>
        </w:drawing>
      </w:r>
    </w:p>
    <w:p>
      <w:pPr>
        <w:ind w:left="960" w:right="1319"/>
        <w:spacing w:after="0" w:line="154" w:lineRule="exact"/>
        <w:rPr>
          <w:sz w:val="20"/>
          <w:szCs w:val="20"/>
          <w:color w:val="auto"/>
        </w:rPr>
      </w:pPr>
      <w:r>
        <w:rPr>
          <w:rFonts w:ascii="Times New Roman" w:cs="Times New Roman" w:eastAsia="Times New Roman" w:hAnsi="Times New Roman"/>
          <w:sz w:val="14"/>
          <w:szCs w:val="14"/>
          <w:color w:val="auto"/>
        </w:rPr>
        <w:t>commitments or commercial supply agreements with any of the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contract manufacturers for imetelstat. The information provided in this section should be reviewed in the context of the section entitled “Risks Related to Manufacturing RYTELO (Imetelstat)” under Part I, Item 1A, “Risk Factors” of this Report.</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5" w:lineRule="exact"/>
        <w:rPr>
          <w:sz w:val="20"/>
          <w:szCs w:val="20"/>
          <w:color w:val="auto"/>
        </w:rPr>
      </w:pPr>
    </w:p>
    <w:p>
      <w:pPr>
        <w:ind w:left="960" w:right="1039" w:firstLine="902"/>
        <w:spacing w:after="0" w:line="260" w:lineRule="auto"/>
        <w:rPr>
          <w:sz w:val="20"/>
          <w:szCs w:val="20"/>
          <w:color w:val="auto"/>
        </w:rPr>
      </w:pPr>
      <w:r>
        <w:rPr>
          <w:rFonts w:ascii="Times New Roman" w:cs="Times New Roman" w:eastAsia="Times New Roman" w:hAnsi="Times New Roman"/>
          <w:sz w:val="14"/>
          <w:szCs w:val="14"/>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RYTELO is competing with other products and therapies that currently exist, are being developed or will in the future be developed, some of which we may not currently be aware of.</w:t>
      </w:r>
    </w:p>
    <w:p>
      <w:pPr>
        <w:spacing w:after="0" w:line="1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Competition in Lower-Risk MDS</w:t>
      </w:r>
    </w:p>
    <w:p>
      <w:pPr>
        <w:spacing w:after="0" w:line="187" w:lineRule="exact"/>
        <w:rPr>
          <w:sz w:val="20"/>
          <w:szCs w:val="20"/>
          <w:color w:val="auto"/>
        </w:rPr>
      </w:pPr>
    </w:p>
    <w:p>
      <w:pPr>
        <w:ind w:left="960" w:right="1019" w:firstLine="516"/>
        <w:spacing w:after="0" w:line="247" w:lineRule="auto"/>
        <w:rPr>
          <w:sz w:val="20"/>
          <w:szCs w:val="20"/>
          <w:color w:val="auto"/>
        </w:rPr>
      </w:pPr>
      <w:r>
        <w:rPr>
          <w:rFonts w:ascii="Times New Roman" w:cs="Times New Roman" w:eastAsia="Times New Roman" w:hAnsi="Times New Roman"/>
          <w:sz w:val="14"/>
          <w:szCs w:val="14"/>
          <w:color w:val="auto"/>
        </w:rPr>
        <w:t>The current standard of care for the treatment of lower-risk MDS is the use of ESAs as supportive care, and more recently luspatercept to improve upon disease-associated chronic anemia. Historically, ESAs have been used as a mainstay of treatment; once no longer effective, serial blood transfusions are often administered, which can cause organ damage due to iron overload and result in poor outcomes and shorter survival. In recent years, considerable advancements have been made in the treatment of LR-MDS with the approval of new therapies, expanding indications, and ongoing clinical investigation of novel agents.</w:t>
      </w:r>
    </w:p>
    <w:p>
      <w:pPr>
        <w:spacing w:after="0" w:line="134" w:lineRule="exact"/>
        <w:rPr>
          <w:sz w:val="20"/>
          <w:szCs w:val="20"/>
          <w:color w:val="auto"/>
        </w:rPr>
      </w:pPr>
    </w:p>
    <w:p>
      <w:pPr>
        <w:ind w:left="960" w:right="1099" w:firstLine="516"/>
        <w:spacing w:after="0" w:line="265" w:lineRule="auto"/>
        <w:rPr>
          <w:sz w:val="20"/>
          <w:szCs w:val="20"/>
          <w:color w:val="auto"/>
        </w:rPr>
      </w:pPr>
      <w:r>
        <w:rPr>
          <w:rFonts w:ascii="Times New Roman" w:cs="Times New Roman" w:eastAsia="Times New Roman" w:hAnsi="Times New Roman"/>
          <w:sz w:val="14"/>
          <w:szCs w:val="14"/>
          <w:color w:val="auto"/>
        </w:rPr>
        <w:t>In lower-risk MDS, data from the IMerge Phase 3 clinical trial resulted in FDA approval of RYTELO in June 2024 and EC approval in March 2025 for the treatment of certain patients with lower-risk MDS. IMerge showed meaningful and durable transfusion independence, activity across MDS patient subtypes, and potential disease-modifying activity achievable with RYTELO treatment. We believe that these key features are differentiators compared to currently approved products as well as investigational drugs currently in clinical development.</w:t>
      </w:r>
    </w:p>
    <w:p>
      <w:pPr>
        <w:spacing w:after="0" w:line="142" w:lineRule="exact"/>
        <w:rPr>
          <w:sz w:val="20"/>
          <w:szCs w:val="20"/>
          <w:color w:val="auto"/>
        </w:rPr>
      </w:pPr>
    </w:p>
    <w:p>
      <w:pPr>
        <w:ind w:left="960" w:right="979" w:firstLine="516"/>
        <w:spacing w:after="0" w:line="243" w:lineRule="auto"/>
        <w:rPr>
          <w:sz w:val="20"/>
          <w:szCs w:val="20"/>
          <w:color w:val="auto"/>
        </w:rPr>
      </w:pPr>
      <w:r>
        <w:rPr>
          <w:rFonts w:ascii="Times New Roman" w:cs="Times New Roman" w:eastAsia="Times New Roman" w:hAnsi="Times New Roman"/>
          <w:sz w:val="14"/>
          <w:szCs w:val="14"/>
          <w:color w:val="auto"/>
        </w:rPr>
        <w:t>In lower-risk MDS, RYTELO competes against a number of currently existing therapies, including ESAs (Epoetin alfa, Procrit; Darbepoetin alfa, Aranesp-Amgen) that are indicated for anemia; immunomodulators, such as Revlimid (lenalidomide) by Celgene Corporation, or Celgene, a Bristol Myers Squibb, or BMS, company; hypomethylating agents, such as Vidaza (azacitidine) by BMS and Dacogen (decitabine) by Otsuka America Pharmaceutical, Inc. and other manufacturers in the U.S. and Janssen in the EU; Inqovi (oral combination of decitabine and cedazuridine) by Astex Pharmaceuticals, Inc., or Astex, and Taiho Oncology; Tibsovo (ivosidenib), an IDH1 inhibitor, by Servier Pharmaceuticals, LLC; and Reblozyl (luspatercept), a TGF-beta ligand trap, by BMS. In August 2023, luspatercept was approved for the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669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56699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179"/>
        <w:spacing w:after="0" w:line="252" w:lineRule="auto"/>
        <w:rPr>
          <w:sz w:val="20"/>
          <w:szCs w:val="20"/>
          <w:color w:val="auto"/>
        </w:rPr>
      </w:pPr>
      <w:r>
        <w:rPr>
          <w:rFonts w:ascii="Times New Roman" w:cs="Times New Roman" w:eastAsia="Times New Roman" w:hAnsi="Times New Roman"/>
          <w:sz w:val="14"/>
          <w:szCs w:val="14"/>
          <w:color w:val="auto"/>
        </w:rPr>
        <w:t>treatment of anemia in ESA-naive adult patients with very low-to intermediate-risk MDS who may require regular RBC transfusions.</w:t>
      </w:r>
    </w:p>
    <w:p>
      <w:pPr>
        <w:ind w:left="960" w:right="979" w:firstLine="902"/>
        <w:spacing w:after="0" w:line="262" w:lineRule="auto"/>
        <w:rPr>
          <w:sz w:val="20"/>
          <w:szCs w:val="20"/>
          <w:color w:val="auto"/>
        </w:rPr>
      </w:pPr>
      <w:r>
        <w:rPr>
          <w:rFonts w:ascii="Times New Roman" w:cs="Times New Roman" w:eastAsia="Times New Roman" w:hAnsi="Times New Roman"/>
          <w:sz w:val="14"/>
          <w:szCs w:val="14"/>
          <w:color w:val="auto"/>
        </w:rPr>
        <w:t>Other therapies currently in Phase 3 development in lower-risk MDS include elritercept (KER-050), a TGF-beta inhibitor, by Keros Therapeutics, Inc.; and Reblozyl (luspatercept) in non-transfusion-dependent lower-risk MDS patients, by BMS.</w:t>
      </w:r>
    </w:p>
    <w:p>
      <w:pPr>
        <w:spacing w:after="0" w:line="144" w:lineRule="exact"/>
        <w:rPr>
          <w:sz w:val="20"/>
          <w:szCs w:val="20"/>
          <w:color w:val="auto"/>
        </w:rPr>
      </w:pPr>
    </w:p>
    <w:p>
      <w:pPr>
        <w:ind w:left="960" w:right="999" w:firstLine="902"/>
        <w:spacing w:after="0" w:line="174" w:lineRule="exact"/>
        <w:rPr>
          <w:sz w:val="20"/>
          <w:szCs w:val="20"/>
          <w:color w:val="auto"/>
        </w:rPr>
      </w:pPr>
      <w:r>
        <w:rPr>
          <w:rFonts w:ascii="Times New Roman" w:cs="Times New Roman" w:eastAsia="Times New Roman" w:hAnsi="Times New Roman"/>
          <w:sz w:val="14"/>
          <w:szCs w:val="14"/>
          <w:color w:val="auto"/>
        </w:rPr>
        <w:t>In addition, there are multiple Phase 1 and Phase 2 clinical trials of other agents being developed for lower-risk MDS, including but not limited to: LB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100, a PP2A inhibitor by Lixte Biotechnology Holdings, Inc., and bemcentinib, an AXL inhibitor by BerGenBio. Also, a lower dose of ASTX727, an oral formulation of decitabine and cedazuridine, referred to as ASTX727 LD, by Astex; ASTX030, an oral formulation of azacitidine and cedazuridine, by Astex; R289, a dual oral inhibitor of interleukin receptor-associated kinases 1 and 4, or IRAK1/4, by Rigel Pharmaceuticals, Inc.; and a combination regimen of luspatercept and ESA.</w:t>
      </w:r>
    </w:p>
    <w:p>
      <w:pPr>
        <w:spacing w:after="0" w:line="15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Competition in Relapsed/Refractory MF</w:t>
      </w:r>
    </w:p>
    <w:p>
      <w:pPr>
        <w:spacing w:after="0" w:line="187" w:lineRule="exact"/>
        <w:rPr>
          <w:sz w:val="20"/>
          <w:szCs w:val="20"/>
          <w:color w:val="auto"/>
        </w:rPr>
      </w:pPr>
    </w:p>
    <w:p>
      <w:pPr>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The current standard of care for the treatment of Intermediate-2 or High-risk MF is the use of JAK inhibitors to address the patient’s symptoms. Once JAK inhibitors fail or are no longer effective, a variety of best available therapies are used since there are no approved treatments for this patient population and median OS is limited.</w:t>
      </w:r>
    </w:p>
    <w:p>
      <w:pPr>
        <w:spacing w:after="0" w:line="136" w:lineRule="exact"/>
        <w:rPr>
          <w:sz w:val="20"/>
          <w:szCs w:val="20"/>
          <w:color w:val="auto"/>
        </w:rPr>
      </w:pPr>
    </w:p>
    <w:p>
      <w:pPr>
        <w:ind w:left="960" w:right="1399" w:firstLine="902"/>
        <w:spacing w:after="0" w:line="274" w:lineRule="auto"/>
        <w:rPr>
          <w:sz w:val="20"/>
          <w:szCs w:val="20"/>
          <w:color w:val="auto"/>
        </w:rPr>
      </w:pPr>
      <w:r>
        <w:rPr>
          <w:rFonts w:ascii="Times New Roman" w:cs="Times New Roman" w:eastAsia="Times New Roman" w:hAnsi="Times New Roman"/>
          <w:sz w:val="14"/>
          <w:szCs w:val="14"/>
          <w:color w:val="auto"/>
        </w:rPr>
        <w:t>In Intermediate-2 or High-risk relapsed/refractory MF, data from IMbark suggest potential disease-modifying activity with RYTELO treatment and a potential meaningful improvement in OS, which is supported in a comparison to real-world data.</w:t>
      </w:r>
    </w:p>
    <w:p>
      <w:pPr>
        <w:spacing w:after="0" w:line="136"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If approved for commercial sale for the treatment of relapsed/refractory MF, RYTELO would compete against currently approved JAK inhibitors: Jakafi (ruxolitinib) by Incyte Corporation, or Incyte, Inrebic (fedratinib) by BMS, and OJJAARA (momelotinib) by GlaxoSmithKline plc, or GSK, which was approved in September 2023 for the treatment of intermediate or high-risk MF, including primary MF or secondary MF (postpolycythemia vera and post-essential thrombocytopenia), in adults with anemia; and Vonjo (pacritinib), by Sobi, Inc., which was approved in February 2022 for the treatment of adults with intermediate or high-risk primary or secondary MF with a platelet count below 50 × 109/L. Other treatment modalities for MF include hydroxyurea for the management of splenomegaly, leukocytosis, thrombocytosis and constitutional symptoms; splenectomy and splenic irradiation for the management of splenomegaly and co-existing cytopenias; chemotherapy; and pegylated interferon. Drugs for the treatment of MF-associated anemia include ESAs, androgens, danazol, corticosteroids, thalidomide and lenalidomide. In addition, luspatercept has been used to treat MF-associated anemia, although the Phase 3 trial did not meet its primary endpoint for RBC-TI.</w:t>
      </w:r>
    </w:p>
    <w:p>
      <w:pPr>
        <w:spacing w:after="0" w:line="151" w:lineRule="exact"/>
        <w:rPr>
          <w:sz w:val="20"/>
          <w:szCs w:val="20"/>
          <w:color w:val="auto"/>
        </w:rPr>
      </w:pPr>
    </w:p>
    <w:p>
      <w:pPr>
        <w:ind w:left="960" w:right="1059" w:firstLine="516"/>
        <w:spacing w:after="0" w:line="242" w:lineRule="auto"/>
        <w:rPr>
          <w:sz w:val="20"/>
          <w:szCs w:val="20"/>
          <w:color w:val="auto"/>
        </w:rPr>
      </w:pPr>
      <w:r>
        <w:rPr>
          <w:rFonts w:ascii="Times New Roman" w:cs="Times New Roman" w:eastAsia="Times New Roman" w:hAnsi="Times New Roman"/>
          <w:sz w:val="14"/>
          <w:szCs w:val="14"/>
          <w:color w:val="auto"/>
        </w:rPr>
        <w:t>Other therapies currently in Phase 3 development in MF, some of which may obtain regulatory approval earlier than RYTELO for MF, include pelabresib (CPI-0610), a BET inhibitor, by Novartis AG; and navtemadlin, an MDM2-inhibitor, by Kartos Therapeutics, Inc. Other approaches for MF currently under investigation that could compete with RYTELO in the future include luspatercept; zinpentraxin alfa (RG6354, formerly PRM-151), an anti-fibrosis antibody, by F. Hoffmann-La Roche, Ltd.; INCB160058, a JAK2 inhibitor, by Incyte; AJ1-11095, a JAK2 inhibitor, by Ajax Therapeutics, Inc.; SLT-5505, a pan-LOX inhibitor, by Syntara Limited; tasquinimod, an S100A9 inhibitor, by Active Biotech AB; XPOVIO (selinexor), a nuclear export inhibitor, by Karyopharm Therapeutics, Inc.; TL-895, an oral tyrosine kinase inhibitor, by Telios Pharma, Inc.; pelcitoclax (APG-1252), a dual BCL-2/BCL-XL inhibitor, by Ascentage Pharma; DISC-0974, a monoclonal antibody against hemojuvelin (HJV) by DISC Management Inc.; elritercept (KER-050) in combination with ruxolitinib, by Keros Therapeutics; CK0804, an allogeneic T-regulatory cell agent, by Cellenkos, Inc. in collaboration with Incyte; nuvisertib (TP-3654), an oral PIM kinase inhibitor by Sumitomo Pharma Co., Ltd.; and a mutated-CALR peptide vaccine, from the Icahn School of Medicine at Mount Sinai.</w:t>
      </w:r>
    </w:p>
    <w:p>
      <w:pPr>
        <w:sectPr>
          <w:pgSz w:w="11900" w:h="16838" w:orient="portrait"/>
          <w:cols w:equalWidth="0" w:num="1">
            <w:col w:w="9019"/>
          </w:cols>
          <w:pgMar w:left="1440" w:top="114" w:right="1440" w:bottom="0" w:gutter="0" w:footer="0" w:header="0"/>
        </w:sectPr>
      </w:pPr>
    </w:p>
    <w:bookmarkStart w:id="13" w:name="page14"/>
    <w:bookmarkEnd w:id="13"/>
    <w:p>
      <w:pPr>
        <w:spacing w:after="0" w:line="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-83820</wp:posOffset>
            </wp:positionV>
            <wp:extent cx="5584190" cy="154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1544320"/>
                    </a:xfrm>
                    <a:prstGeom prst="rect">
                      <a:avLst/>
                    </a:prstGeom>
                    <a:noFill/>
                  </pic:spPr>
                </pic:pic>
              </a:graphicData>
            </a:graphic>
          </wp:anchor>
        </w:drawing>
      </w:r>
    </w:p>
    <w:p>
      <w:pPr>
        <w:spacing w:after="0" w:line="144"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Regulation by governmental authorities in the U.S. and other countries is a significant factor in the development, manufacture, distribution and marketing of RYTELO (imetelstat). Imetelstat will require regulatory approval by regulatory authorities prior to commercialization in any jurisdictions where it is not yet approved. In particular, potential human therapeutic products, such as imetelstat, are subject to rigorous preclinical testing, clinical testing and quality standards by the FDA and similar regulatory authorities in European and other countries. Various statutes and regulations at the federal and state level—as well as regulations and guidance at the international level—also govern or influence the testing, manufacturing, safety reporting, labeling, storage, import, export, distribution, sale and recordkeeping related to such products and their marketing. The process of obtaining these approvals and the subsequent compliance with</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79"/>
        <w:spacing w:after="0" w:line="264" w:lineRule="auto"/>
        <w:rPr>
          <w:sz w:val="20"/>
          <w:szCs w:val="20"/>
          <w:color w:val="auto"/>
        </w:rPr>
      </w:pPr>
      <w:r>
        <w:rPr>
          <w:rFonts w:ascii="Times New Roman" w:cs="Times New Roman" w:eastAsia="Times New Roman" w:hAnsi="Times New Roman"/>
          <w:sz w:val="14"/>
          <w:szCs w:val="14"/>
          <w:color w:val="auto"/>
        </w:rPr>
        <w:t>appropriate statutes and regulations require the expenditure of substantial time and money, and there can be no guarantee that approvals will be granted. Moreover, compliance with government regulations governing personal data and information security requires the expenditure of substantial time and financial resources. The information provided in this section should be reviewed in the context of the sections entitled “Risks Related to the Further Development of RYTELO (Imetelstat)” and “Risks Related to Regulatory Approval of RYTELO” under Part I, Item 1A, “Risk Factors” of this Report.</w:t>
      </w:r>
    </w:p>
    <w:p>
      <w:pPr>
        <w:spacing w:after="0" w:line="3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United States Food and Drug Administration Regulatory Approval Process</w:t>
      </w:r>
    </w:p>
    <w:p>
      <w:pPr>
        <w:spacing w:after="0" w:line="187"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Prior to commencement of clinical trials of new pharmaceutical products in humans, government authorities generally require the completion of laboratory studies as well as certain preclinical testing in animals to evaluate the potential efficacy and safety of a product candidate, though, under the 2022 FDA Modernization Act 2.0, FDA has begun to phase out the requirement for animal testing by incorporating new approval methodologies such as AI-based computational models, organ-on-a-chip systems, and advanced in vitro assays. The results of animal testing or alternative models are submitted to the FDA as part of an Investigational New Drug Application, or IND, which must become effective before clinical testing in humans can begin. The FDA can place an IND on clinical hold at any time, which can prevent the conduct of a clinical trial or all trials under an IND or it may be a partial hold (e.g., a hold on further enrollment) until safety concerns or questions are addressed by the IND sponsor to the FDA’s satisfaction.</w:t>
      </w:r>
    </w:p>
    <w:p>
      <w:pPr>
        <w:spacing w:after="0" w:line="149" w:lineRule="exact"/>
        <w:rPr>
          <w:sz w:val="20"/>
          <w:szCs w:val="20"/>
          <w:color w:val="auto"/>
        </w:rPr>
      </w:pPr>
    </w:p>
    <w:p>
      <w:pPr>
        <w:ind w:left="960" w:right="979" w:firstLine="902"/>
        <w:spacing w:after="0" w:line="173" w:lineRule="exact"/>
        <w:rPr>
          <w:sz w:val="20"/>
          <w:szCs w:val="20"/>
          <w:color w:val="auto"/>
        </w:rPr>
      </w:pPr>
      <w:r>
        <w:rPr>
          <w:rFonts w:ascii="Times New Roman" w:cs="Times New Roman" w:eastAsia="Times New Roman" w:hAnsi="Times New Roman"/>
          <w:sz w:val="14"/>
          <w:szCs w:val="14"/>
          <w:color w:val="auto"/>
        </w:rPr>
        <w:t>Typically, a clinical development program is lengthy and involves three phases. In Phase 1, clinical trials are conducted with a small number of healthy volunteers or patients afflicted with a specific disease to assess safety and to evaluate the metabolism, pharmacokinetics, and pharmacologic action of the drug in humans, and, if possible, to gain early evidence on effectiveness. In Phase 2, clinical trials are typically well controlled, closely monitored, and conducted in a relatively small number of patients, usually involving no more than several hundred subjects to evaluate the effectiveness of the drug in patients to determine the common short-term side effects and risks associated with the drug. Phase 2 trials can be conducted comparing the investigational treatment to a comparator arm, or not. If used, a comparator arm often includes standard of care therapy. Safety and efficacy data from Phase 2 clinical trials, even if favorable, may not provide sufficient rationale for proceeding to a Phase 3 clinical trial. In Phase 3, clinical trials are typically large scale,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center, comparative trials conducted with patients with the disease or condition under study and are intended to gather sufficient data to demonstrate the efficacy and safety required by the FDA. The FDA closely monitors the progress of each of the three phases of clinical testing and may, at its discretion,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evaluate, alter, suspend, or terminate the trials. Human clinical trials must be conducted in compliance with Good Clinical Practice, or GCP, regulations and applicable laws, with informed consent from patients and the oversight of Institutional Review Boards for the protection of human subjects. Drugs used in clinical trials must be manufactured, packaged and labeled in conformity with current Good Manufacturing Practices, or cGMP, and applicable laws.</w:t>
      </w:r>
    </w:p>
    <w:p>
      <w:pPr>
        <w:spacing w:after="0" w:line="163" w:lineRule="exact"/>
        <w:rPr>
          <w:sz w:val="20"/>
          <w:szCs w:val="20"/>
          <w:color w:val="auto"/>
        </w:rPr>
      </w:pPr>
    </w:p>
    <w:p>
      <w:pPr>
        <w:ind w:left="960" w:right="959" w:firstLine="902"/>
        <w:spacing w:after="0" w:line="262" w:lineRule="auto"/>
        <w:rPr>
          <w:sz w:val="20"/>
          <w:szCs w:val="20"/>
          <w:color w:val="auto"/>
        </w:rPr>
      </w:pPr>
      <w:r>
        <w:rPr>
          <w:rFonts w:ascii="Times New Roman" w:cs="Times New Roman" w:eastAsia="Times New Roman" w:hAnsi="Times New Roman"/>
          <w:sz w:val="14"/>
          <w:szCs w:val="14"/>
          <w:color w:val="auto"/>
        </w:rPr>
        <w:t>The results of the preclinical and clinical testing of drugs and complete manufacturing information are submitted to the FDA in the form of an NDA for review and approval prior to commencement of commercial sales. Submission of an NDA requires the payment of a substantial user fee to the FDA, which may be waived in certain cases. In responding to an NDA submission, the FDA may approve the drug for commercialization, impose limitations on its indications for use and labeling, including in the form of Risk Evaluation and Mitigation Strategies or may issue a complete response letter explaining the reason the NDA cannot be approved in its present form. Even if an NDA is approved, its sponsor and drug will continue to be subject to ongoing and pervasive regulatory compliance requirements.</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European Union and Other Regulatory Approval Process</w:t>
      </w:r>
    </w:p>
    <w:p>
      <w:pPr>
        <w:spacing w:after="0" w:line="187"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Prior to initiating clinical trials in a region outside of the U.S., a clinical trial application must be submitted and reviewed by the appropriate regulatory authority governing clinical trials in the country in which the trial will be conducted. Whether or not FDA clearance or approval has been obtained, approval or authorization of a product by comparable regulatory authorities in the EU and other countries is necessary prior to marketing the product in such countries. The competent regulatory authorities may impose their own requirements and may refuse to grant an approval, or may require additional data before granting it, even though the relevant product has been cleared or approved by the FDA or another authority. As with the FDA, the regulatory authorities in the EU and other developed countries have lengthy approval processes for pharmaceutical products. The process for gaining approval in particular countries varies, but it generally follows a similar sequence to that described for FDA approval. In Europe, the EMA and the CHMP provide a mechanism for EU member states to exchange information on all aspects of product licensing. The EU has established the EMA for the evaluation of medical products, with a centralized procedure which is mandatory for orphan and oncology products and which grants a single marketing authorization valid in all EU member states.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626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16262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Fraud and Abuse, and Transparency Laws and Regulations</w:t>
      </w:r>
    </w:p>
    <w:p>
      <w:pPr>
        <w:spacing w:after="0" w:line="187" w:lineRule="exact"/>
        <w:rPr>
          <w:sz w:val="20"/>
          <w:szCs w:val="20"/>
          <w:color w:val="auto"/>
        </w:rPr>
      </w:pPr>
    </w:p>
    <w:p>
      <w:pPr>
        <w:ind w:left="960" w:right="979" w:firstLine="902"/>
        <w:spacing w:after="0" w:line="175" w:lineRule="exact"/>
        <w:rPr>
          <w:sz w:val="20"/>
          <w:szCs w:val="20"/>
          <w:color w:val="auto"/>
        </w:rPr>
      </w:pPr>
      <w:r>
        <w:rPr>
          <w:rFonts w:ascii="Times New Roman" w:cs="Times New Roman" w:eastAsia="Times New Roman" w:hAnsi="Times New Roman"/>
          <w:sz w:val="14"/>
          <w:szCs w:val="14"/>
          <w:color w:val="auto"/>
        </w:rPr>
        <w:t>We may also be subject to additional regulation and enforcement by the federal government and by authorities in the states and foreign jurisdictions in which we conduct our business. These additional regulations could affect our current and future arrangements with healthcare professionals, principal investigators, consultants, customers and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Such laws include, without limitation, state and federal bribery/anti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kickback, the False Claims Act, privacy and data security laws, and healthcare professionals payment transparency laws.</w:t>
      </w:r>
    </w:p>
    <w:p>
      <w:pPr>
        <w:spacing w:after="0" w:line="128" w:lineRule="exact"/>
        <w:rPr>
          <w:sz w:val="20"/>
          <w:szCs w:val="20"/>
          <w:color w:val="auto"/>
        </w:rPr>
      </w:pPr>
    </w:p>
    <w:p>
      <w:pPr>
        <w:ind w:left="960" w:right="1019" w:firstLine="902"/>
        <w:spacing w:after="0" w:line="187" w:lineRule="exact"/>
        <w:rPr>
          <w:sz w:val="20"/>
          <w:szCs w:val="20"/>
          <w:color w:val="auto"/>
        </w:rPr>
      </w:pPr>
      <w:r>
        <w:rPr>
          <w:rFonts w:ascii="Times New Roman" w:cs="Times New Roman" w:eastAsia="Times New Roman" w:hAnsi="Times New Roman"/>
          <w:sz w:val="14"/>
          <w:szCs w:val="14"/>
          <w:color w:val="auto"/>
        </w:rPr>
        <w:t>The federal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or lease of any good,</w:t>
      </w:r>
    </w:p>
    <w:p>
      <w:pPr>
        <w:sectPr>
          <w:pgSz w:w="11900" w:h="16876" w:orient="portrait"/>
          <w:cols w:equalWidth="0" w:num="1">
            <w:col w:w="9019"/>
          </w:cols>
          <w:pgMar w:left="1440" w:top="112" w:right="1440" w:bottom="0" w:gutter="0" w:footer="0" w:header="0"/>
        </w:sectPr>
      </w:pPr>
    </w:p>
    <w:bookmarkStart w:id="14" w:name="page15"/>
    <w:bookmarkEnd w:id="14"/>
    <w:p>
      <w:pPr>
        <w:ind w:left="960" w:right="1119"/>
        <w:spacing w:after="0" w:line="250" w:lineRule="auto"/>
        <w:rPr>
          <w:sz w:val="20"/>
          <w:szCs w:val="20"/>
          <w:color w:val="auto"/>
        </w:rPr>
      </w:pPr>
      <w:r>
        <w:rPr>
          <w:rFonts w:ascii="Times New Roman" w:cs="Times New Roman" w:eastAsia="Times New Roman" w:hAnsi="Times New Roman"/>
          <w:sz w:val="14"/>
          <w:szCs w:val="14"/>
          <w:color w:val="auto"/>
        </w:rPr>
        <w:t>facility, item or service for which payment may be made under a federal healthcare program, such as Medicare, Medicaid TRICARE, and the Veterans Health Care Program. The term “remuneration” has been broadly interpreted to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5588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5588000"/>
                    </a:xfrm>
                    <a:prstGeom prst="rect">
                      <a:avLst/>
                    </a:prstGeom>
                    <a:noFill/>
                  </pic:spPr>
                </pic:pic>
              </a:graphicData>
            </a:graphic>
          </wp:anchor>
        </w:drawing>
      </w:r>
    </w:p>
    <w:p>
      <w:pPr>
        <w:ind w:left="960" w:right="1219"/>
        <w:spacing w:after="0" w:line="153" w:lineRule="exact"/>
        <w:rPr>
          <w:sz w:val="20"/>
          <w:szCs w:val="20"/>
          <w:color w:val="auto"/>
        </w:rPr>
      </w:pPr>
      <w:r>
        <w:rPr>
          <w:rFonts w:ascii="Times New Roman" w:cs="Times New Roman" w:eastAsia="Times New Roman" w:hAnsi="Times New Roman"/>
          <w:sz w:val="14"/>
          <w:szCs w:val="14"/>
          <w:color w:val="auto"/>
        </w:rPr>
        <w:t>anything of value. Several courts have interpreted the statute’s intent requirement to mean that if any one purpose of an arrangement involving remuneration is to induce referrals, the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Kickback Statute has been violated. In addition, a person or entity does not need to have actual knowledge of the statute or specific intent to violate, in order to commit a violation.</w:t>
      </w:r>
    </w:p>
    <w:p>
      <w:pPr>
        <w:ind w:left="960" w:right="959" w:firstLine="902"/>
        <w:spacing w:after="0" w:line="172" w:lineRule="exact"/>
        <w:rPr>
          <w:sz w:val="20"/>
          <w:szCs w:val="20"/>
          <w:color w:val="auto"/>
        </w:rPr>
      </w:pPr>
      <w:r>
        <w:rPr>
          <w:rFonts w:ascii="Times New Roman" w:cs="Times New Roman" w:eastAsia="Times New Roman" w:hAnsi="Times New Roman"/>
          <w:sz w:val="14"/>
          <w:szCs w:val="14"/>
          <w:color w:val="auto"/>
        </w:rPr>
        <w:t xml:space="preserve">Federal civil and criminal false claims and false statement laws, including the federal civil False Claims Act and its whistleblower or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4"/>
          <w:szCs w:val="14"/>
          <w:color w:val="auto"/>
        </w:rPr>
        <w:t xml:space="preserve"> provisions (which permit private individuals to bring an action on behalf of the government to enforce the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label, or for providing medically unnecessary services or items. In addition, a claim including items or services resulting from a violation of the federal Anti-Kickback Statute constitutes a false or fraudulent claim for purposes of the federal civil False Claims Act. Criminal prosecution is also possible for making or presenting a false, fictitious or fraudulent claim to the federal government.</w:t>
      </w:r>
    </w:p>
    <w:p>
      <w:pPr>
        <w:spacing w:after="0" w:line="159" w:lineRule="exact"/>
        <w:rPr>
          <w:sz w:val="20"/>
          <w:szCs w:val="20"/>
          <w:color w:val="auto"/>
        </w:rPr>
      </w:pPr>
    </w:p>
    <w:p>
      <w:pPr>
        <w:ind w:left="960" w:right="979" w:firstLine="902"/>
        <w:spacing w:after="0" w:line="174" w:lineRule="exact"/>
        <w:rPr>
          <w:sz w:val="20"/>
          <w:szCs w:val="20"/>
          <w:color w:val="auto"/>
        </w:rPr>
      </w:pPr>
      <w:r>
        <w:rPr>
          <w:rFonts w:ascii="Times New Roman" w:cs="Times New Roman" w:eastAsia="Times New Roman" w:hAnsi="Times New Roman"/>
          <w:sz w:val="14"/>
          <w:szCs w:val="14"/>
          <w:color w:val="auto"/>
        </w:rPr>
        <w:t>The federal Health Insurance Portability and Accountability Act of 1996, or HIPAA, created criminal and civil liability for, among other things, knowingly and willfully executing, or attempting to execute, a scheme to defraud any healthcare benefit program, including private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60" w:lineRule="exact"/>
        <w:rPr>
          <w:sz w:val="20"/>
          <w:szCs w:val="20"/>
          <w:color w:val="auto"/>
        </w:rPr>
      </w:pPr>
    </w:p>
    <w:p>
      <w:pPr>
        <w:ind w:left="960" w:right="1039" w:firstLine="902"/>
        <w:spacing w:after="0" w:line="263" w:lineRule="auto"/>
        <w:rPr>
          <w:sz w:val="20"/>
          <w:szCs w:val="20"/>
          <w:color w:val="auto"/>
        </w:rPr>
      </w:pPr>
      <w:r>
        <w:rPr>
          <w:rFonts w:ascii="Times New Roman" w:cs="Times New Roman" w:eastAsia="Times New Roman" w:hAnsi="Times New Roman"/>
          <w:sz w:val="14"/>
          <w:szCs w:val="14"/>
          <w:color w:val="auto"/>
        </w:rPr>
        <w:t>HIPAA, as amended by the Health Information Technology for Economic and Clinical Health Act, or HITECH, and their implementing regulations, impose obligations, including mandatory contractual terms, with respect to safeguarding the privacy, security, transmission and breach reporting of individually identifiable health information, upon entities subject to the law, such as health plans, healthcare clearinghouses and certain healthcare providers and their respective business associates and their subcontractors that perform services for them that involve individually identifiable health information.</w:t>
      </w:r>
    </w:p>
    <w:p>
      <w:pPr>
        <w:spacing w:after="0" w:line="144"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The federal Physician Payments Sunshine Act requires certain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(defined to include doctors, dentists, optometrists, podiatrists, and chiropractors), other healthcare professionals (such as physicians assistants and nurse practitioners), and teaching hospitals, and information related to ownership and investment interests held by physicians and their immediate family members.</w:t>
      </w:r>
    </w:p>
    <w:p>
      <w:pPr>
        <w:spacing w:after="0" w:line="113" w:lineRule="exact"/>
        <w:rPr>
          <w:sz w:val="20"/>
          <w:szCs w:val="20"/>
          <w:color w:val="auto"/>
        </w:rPr>
      </w:pPr>
    </w:p>
    <w:p>
      <w:pPr>
        <w:ind w:left="1860"/>
        <w:spacing w:after="0" w:line="161" w:lineRule="exact"/>
        <w:rPr>
          <w:sz w:val="20"/>
          <w:szCs w:val="20"/>
          <w:color w:val="auto"/>
        </w:rPr>
      </w:pPr>
      <w:r>
        <w:rPr>
          <w:rFonts w:ascii="Times New Roman" w:cs="Times New Roman" w:eastAsia="Times New Roman" w:hAnsi="Times New Roman"/>
          <w:sz w:val="14"/>
          <w:szCs w:val="14"/>
          <w:color w:val="auto"/>
        </w:rPr>
        <w:t>Analogous state and foreign laws and regulations, such as state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kickback and false claims laws, may</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apply to sales or marketing arrangements and claims involving healthcare items or services reimbursed by</w:t>
      </w:r>
    </w:p>
    <w:p>
      <w:pPr>
        <w:spacing w:after="0" w:line="9" w:lineRule="exact"/>
        <w:rPr>
          <w:sz w:val="20"/>
          <w:szCs w:val="20"/>
          <w:color w:val="auto"/>
        </w:rPr>
      </w:pPr>
    </w:p>
    <w:p>
      <w:pPr>
        <w:ind w:left="96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governmental third-party payors, including private insurers. Additionally, we may be subject to state and foreign laws</w:t>
      </w:r>
    </w:p>
    <w:p>
      <w:pPr>
        <w:spacing w:after="0" w:line="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that require pharmaceutical companies to comply with the pharmaceutical industry’s otherwise voluntary compliance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guidelines and certain industry compliance guidance documents. Further, we may be subject to state and foreign laws that</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require drug manufacturers or other pharmaceutical companies to report information related to payments and other</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transfers of value to physicians, other healthcare providers and healthcare entities, or marketing expenditures, as well as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state, foreign and local laws that require the registration of pharmaceutical sales representatives; state and foreign laws that</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require the reporting of information related to drug pricing; and state, federal and foreign laws governing the privacy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865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48653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39"/>
        <w:spacing w:after="0" w:line="274" w:lineRule="auto"/>
        <w:rPr>
          <w:sz w:val="20"/>
          <w:szCs w:val="20"/>
          <w:color w:val="auto"/>
        </w:rPr>
      </w:pPr>
      <w:r>
        <w:rPr>
          <w:rFonts w:ascii="Times New Roman" w:cs="Times New Roman" w:eastAsia="Times New Roman" w:hAnsi="Times New Roman"/>
          <w:sz w:val="14"/>
          <w:szCs w:val="14"/>
          <w:color w:val="auto"/>
        </w:rPr>
        <w:t>security of personal data (including key-coded data and health information), including the European Union’s General Data Protection Regulation, or EU GDPR, many of which differ from each other in significant ways, thus complicating compliance efforts.</w:t>
      </w:r>
    </w:p>
    <w:p>
      <w:pPr>
        <w:spacing w:after="0" w:line="136"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If our operations are found to be in violation of any of these or any other healthcare regulatory laws that may apply to us, we may be subject to significant penalties, including the imposition of significant civil, criminal and administrative penalties, damages, monetary fines, disgorgement, imprisonment, possible exclusion from participation in Medicare, Medicaid and other federal healthcare programs,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3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Data Privacy and Security</w:t>
      </w:r>
    </w:p>
    <w:p>
      <w:pPr>
        <w:spacing w:after="0" w:line="187" w:lineRule="exact"/>
        <w:rPr>
          <w:sz w:val="20"/>
          <w:szCs w:val="20"/>
          <w:color w:val="auto"/>
        </w:rPr>
      </w:pPr>
    </w:p>
    <w:p>
      <w:pPr>
        <w:ind w:left="960" w:right="1019" w:firstLine="902"/>
        <w:spacing w:after="0" w:line="257" w:lineRule="auto"/>
        <w:rPr>
          <w:sz w:val="20"/>
          <w:szCs w:val="20"/>
          <w:color w:val="auto"/>
        </w:rPr>
      </w:pPr>
      <w:r>
        <w:rPr>
          <w:rFonts w:ascii="Times New Roman" w:cs="Times New Roman" w:eastAsia="Times New Roman" w:hAnsi="Times New Roman"/>
          <w:sz w:val="14"/>
          <w:szCs w:val="14"/>
          <w:color w:val="auto"/>
        </w:rPr>
        <w:t>In the ordinary course of our business, we process personal or sensitive data. Accordingly, we are, or may become, subject to numerous data privacy and security obligations, including federal, state, local, and foreign laws, regulations, guidance, and industry standards related to data privacy and security. Efforts to ensure that our current and future business arrangements will comply with applicable data privacy and data security laws and regulations will involve substantial costs. For example, foreign data privacy and security laws (including but not limited to the EU GDPR and UK GDPR) impose strict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in the EU and UK include limiting the collection and processing of personal data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duration for which personal data may be retained; increasing rights for data subjects formalizing a heightened and codified standard for data subject consent, requiring the implementation and maintenance of technical and organizational safeguards for personal data, mandating data breach notifications to relevant supervisory authority(ies), and mandating the appointment of representatives in the UK and/or the EU in certain circumstances. Moreover, there have recently been, and we expect that there will continue to be, new data privacy and security laws, regulations and industry standards in the U.S. As one example, the California Consumer Privacy Act of 2018, or CCPA, imposes numerous obligations on covered business. Although the CCPA exempts certain data (such as some data processed in the context of clinical trials), the CCPA, to the extent applicable to our business and operations, may increase our compliance costs and potential liability with respect to the personal data we maintain about California residents. The CCPA provides for civil penalties and a private right of action for data breaches which may include an award of statutory damages. Failure, or perceived failure, to comply with all applicable obligations could result in enforcement actions, fines, litigation, and other</w:t>
      </w:r>
    </w:p>
    <w:p>
      <w:pPr>
        <w:sectPr>
          <w:pgSz w:w="11900" w:h="16838" w:orient="portrait"/>
          <w:cols w:equalWidth="0" w:num="1">
            <w:col w:w="9019"/>
          </w:cols>
          <w:pgMar w:left="1440" w:top="114" w:right="1440" w:bottom="0" w:gutter="0" w:footer="0" w:header="0"/>
        </w:sectPr>
      </w:pPr>
    </w:p>
    <w:bookmarkStart w:id="15" w:name="page16"/>
    <w:bookmarkEnd w:id="15"/>
    <w:p>
      <w:pPr>
        <w:ind w:left="960" w:right="1119"/>
        <w:spacing w:after="0" w:line="279" w:lineRule="auto"/>
        <w:rPr>
          <w:sz w:val="20"/>
          <w:szCs w:val="20"/>
          <w:color w:val="auto"/>
        </w:rPr>
      </w:pPr>
      <w:r>
        <w:rPr>
          <w:rFonts w:ascii="Times New Roman" w:cs="Times New Roman" w:eastAsia="Times New Roman" w:hAnsi="Times New Roman"/>
          <w:sz w:val="19"/>
          <w:szCs w:val="19"/>
          <w:color w:val="auto"/>
          <w:vertAlign w:val="superscript"/>
        </w:rPr>
        <w:t>consequences</w:t>
      </w:r>
      <w:r>
        <w:rPr>
          <w:rFonts w:ascii="Times New Roman" w:cs="Times New Roman" w:eastAsia="Times New Roman" w:hAnsi="Times New Roman"/>
          <w:sz w:val="11"/>
          <w:szCs w:val="11"/>
          <w:color w:val="auto"/>
        </w:rPr>
        <w:t>andforeignlaws,</w:t>
      </w:r>
      <w:r>
        <w:rPr>
          <w:rFonts w:ascii="Times New Roman" w:cs="Times New Roman" w:eastAsia="Times New Roman" w:hAnsi="Times New Roman"/>
          <w:sz w:val="19"/>
          <w:szCs w:val="19"/>
          <w:color w:val="auto"/>
          <w:vertAlign w:val="superscript"/>
        </w:rPr>
        <w:t>.See</w:t>
      </w:r>
      <w:r>
        <w:rPr>
          <w:rFonts w:ascii="Times New Roman" w:cs="Times New Roman" w:eastAsia="Times New Roman" w:hAnsi="Times New Roman"/>
          <w:sz w:val="11"/>
          <w:szCs w:val="11"/>
          <w:color w:val="auto"/>
        </w:rPr>
        <w:t>regulations,</w:t>
      </w:r>
      <w:r>
        <w:rPr>
          <w:rFonts w:ascii="Times New Roman" w:cs="Times New Roman" w:eastAsia="Times New Roman" w:hAnsi="Times New Roman"/>
          <w:sz w:val="19"/>
          <w:szCs w:val="19"/>
          <w:color w:val="auto"/>
          <w:vertAlign w:val="superscript"/>
        </w:rPr>
        <w:t>thesection</w:t>
      </w:r>
      <w:r>
        <w:rPr>
          <w:rFonts w:ascii="Times New Roman" w:cs="Times New Roman" w:eastAsia="Times New Roman" w:hAnsi="Times New Roman"/>
          <w:sz w:val="11"/>
          <w:szCs w:val="11"/>
          <w:color w:val="auto"/>
        </w:rPr>
        <w:t xml:space="preserve"> rules,</w:t>
      </w:r>
      <w:r>
        <w:rPr>
          <w:rFonts w:ascii="Times New Roman" w:cs="Times New Roman" w:eastAsia="Times New Roman" w:hAnsi="Times New Roman"/>
          <w:sz w:val="19"/>
          <w:szCs w:val="19"/>
          <w:color w:val="auto"/>
          <w:vertAlign w:val="superscript"/>
        </w:rPr>
        <w:t>titled “We</w:t>
      </w:r>
      <w:r>
        <w:rPr>
          <w:rFonts w:ascii="Times New Roman" w:cs="Times New Roman" w:eastAsia="Times New Roman" w:hAnsi="Times New Roman"/>
          <w:sz w:val="11"/>
          <w:szCs w:val="11"/>
          <w:color w:val="auto"/>
        </w:rPr>
        <w:t>contra</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1"/>
          <w:szCs w:val="11"/>
          <w:color w:val="auto"/>
        </w:rPr>
        <w:t>ctual</w:t>
      </w:r>
      <w:r>
        <w:rPr>
          <w:rFonts w:ascii="Times New Roman" w:cs="Times New Roman" w:eastAsia="Times New Roman" w:hAnsi="Times New Roman"/>
          <w:sz w:val="19"/>
          <w:szCs w:val="19"/>
          <w:color w:val="auto"/>
          <w:vertAlign w:val="superscript"/>
        </w:rPr>
        <w:t>third</w:t>
      </w:r>
      <w:r>
        <w:rPr>
          <w:rFonts w:ascii="Times New Roman" w:cs="Times New Roman" w:eastAsia="Times New Roman" w:hAnsi="Times New Roman"/>
          <w:sz w:val="11"/>
          <w:szCs w:val="11"/>
          <w:color w:val="auto"/>
        </w:rPr>
        <w:t>obligations,</w:t>
      </w:r>
      <w:r>
        <w:rPr>
          <w:rFonts w:ascii="Times New Roman" w:cs="Times New Roman" w:eastAsia="Times New Roman" w:hAnsi="Times New Roman"/>
          <w:sz w:val="19"/>
          <w:szCs w:val="19"/>
          <w:color w:val="auto"/>
          <w:vertAlign w:val="superscript"/>
        </w:rPr>
        <w:t>partieswith</w:t>
      </w:r>
      <w:r>
        <w:rPr>
          <w:rFonts w:ascii="Times New Roman" w:cs="Times New Roman" w:eastAsia="Times New Roman" w:hAnsi="Times New Roman"/>
          <w:sz w:val="11"/>
          <w:szCs w:val="11"/>
          <w:color w:val="auto"/>
        </w:rPr>
        <w:t>industry</w:t>
      </w:r>
      <w:r>
        <w:rPr>
          <w:rFonts w:ascii="Times New Roman" w:cs="Times New Roman" w:eastAsia="Times New Roman" w:hAnsi="Times New Roman"/>
          <w:sz w:val="19"/>
          <w:szCs w:val="19"/>
          <w:color w:val="auto"/>
          <w:vertAlign w:val="superscript"/>
        </w:rPr>
        <w:t>whom</w:t>
      </w:r>
      <w:r>
        <w:rPr>
          <w:rFonts w:ascii="Times New Roman" w:cs="Times New Roman" w:eastAsia="Times New Roman" w:hAnsi="Times New Roman"/>
          <w:sz w:val="11"/>
          <w:szCs w:val="11"/>
          <w:color w:val="auto"/>
        </w:rPr>
        <w:t>standards,</w:t>
      </w:r>
      <w:r>
        <w:rPr>
          <w:rFonts w:ascii="Times New Roman" w:cs="Times New Roman" w:eastAsia="Times New Roman" w:hAnsi="Times New Roman"/>
          <w:sz w:val="19"/>
          <w:szCs w:val="19"/>
          <w:color w:val="auto"/>
          <w:vertAlign w:val="superscript"/>
        </w:rPr>
        <w:t>wework are</w:t>
      </w:r>
      <w:r>
        <w:rPr>
          <w:rFonts w:ascii="Times New Roman" w:cs="Times New Roman" w:eastAsia="Times New Roman" w:hAnsi="Times New Roman"/>
          <w:sz w:val="11"/>
          <w:szCs w:val="11"/>
          <w:color w:val="auto"/>
        </w:rPr>
        <w:t>policies</w:t>
      </w:r>
      <w:r>
        <w:rPr>
          <w:rFonts w:ascii="Times New Roman" w:cs="Times New Roman" w:eastAsia="Times New Roman" w:hAnsi="Times New Roman"/>
          <w:sz w:val="19"/>
          <w:szCs w:val="19"/>
          <w:color w:val="auto"/>
          <w:vertAlign w:val="superscript"/>
        </w:rPr>
        <w:t>subject</w:t>
      </w:r>
      <w:r>
        <w:rPr>
          <w:rFonts w:ascii="Times New Roman" w:cs="Times New Roman" w:eastAsia="Times New Roman" w:hAnsi="Times New Roman"/>
          <w:sz w:val="11"/>
          <w:szCs w:val="11"/>
          <w:color w:val="auto"/>
        </w:rPr>
        <w:t>and</w:t>
      </w:r>
      <w:r>
        <w:rPr>
          <w:rFonts w:ascii="Times New Roman" w:cs="Times New Roman" w:eastAsia="Times New Roman" w:hAnsi="Times New Roman"/>
          <w:sz w:val="19"/>
          <w:szCs w:val="19"/>
          <w:color w:val="auto"/>
          <w:vertAlign w:val="superscript"/>
        </w:rPr>
        <w:t>to</w:t>
      </w:r>
      <w:r>
        <w:rPr>
          <w:rFonts w:ascii="Times New Roman" w:cs="Times New Roman" w:eastAsia="Times New Roman" w:hAnsi="Times New Roman"/>
          <w:sz w:val="11"/>
          <w:szCs w:val="11"/>
          <w:color w:val="auto"/>
        </w:rPr>
        <w:t>other</w:t>
      </w:r>
      <w:r>
        <w:rPr>
          <w:rFonts w:ascii="Times New Roman" w:cs="Times New Roman" w:eastAsia="Times New Roman" w:hAnsi="Times New Roman"/>
          <w:sz w:val="19"/>
          <w:szCs w:val="19"/>
          <w:color w:val="auto"/>
          <w:vertAlign w:val="superscript"/>
        </w:rPr>
        <w:t>stringent</w:t>
      </w:r>
      <w:r>
        <w:rPr>
          <w:rFonts w:ascii="Times New Roman" w:cs="Times New Roman" w:eastAsia="Times New Roman" w:hAnsi="Times New Roman"/>
          <w:sz w:val="11"/>
          <w:szCs w:val="11"/>
          <w:color w:val="auto"/>
        </w:rPr>
        <w:t>obligations</w:t>
      </w:r>
      <w:r>
        <w:rPr>
          <w:rFonts w:ascii="Times New Roman" w:cs="Times New Roman" w:eastAsia="Times New Roman" w:hAnsi="Times New Roman"/>
          <w:sz w:val="19"/>
          <w:szCs w:val="19"/>
          <w:color w:val="auto"/>
          <w:vertAlign w:val="superscript"/>
        </w:rPr>
        <w:t>andchanging</w:t>
      </w:r>
      <w:r>
        <w:rPr>
          <w:rFonts w:ascii="Times New Roman" w:cs="Times New Roman" w:eastAsia="Times New Roman" w:hAnsi="Times New Roman"/>
          <w:sz w:val="11"/>
          <w:szCs w:val="11"/>
          <w:color w:val="auto"/>
        </w:rPr>
        <w:t>related</w:t>
      </w:r>
      <w:r>
        <w:rPr>
          <w:rFonts w:ascii="Times New Roman" w:cs="Times New Roman" w:eastAsia="Times New Roman" w:hAnsi="Times New Roman"/>
          <w:sz w:val="19"/>
          <w:szCs w:val="19"/>
          <w:color w:val="auto"/>
          <w:vertAlign w:val="superscript"/>
        </w:rPr>
        <w:t>U</w:t>
      </w:r>
      <w:r>
        <w:rPr>
          <w:rFonts w:ascii="Times New Roman" w:cs="Times New Roman" w:eastAsia="Times New Roman" w:hAnsi="Times New Roman"/>
          <w:sz w:val="11"/>
          <w:szCs w:val="11"/>
          <w:color w:val="auto"/>
        </w:rPr>
        <w:t>to</w:t>
      </w:r>
      <w:r>
        <w:rPr>
          <w:rFonts w:ascii="Times New Roman" w:cs="Times New Roman" w:eastAsia="Times New Roman" w:hAnsi="Times New Roman"/>
          <w:sz w:val="19"/>
          <w:szCs w:val="19"/>
          <w:color w:val="auto"/>
          <w:vertAlign w:val="superscript"/>
        </w:rPr>
        <w:t>.S.</w:t>
      </w:r>
      <w:r>
        <w:rPr>
          <w:rFonts w:ascii="Times New Roman" w:cs="Times New Roman" w:eastAsia="Times New Roman" w:hAnsi="Times New Roman"/>
          <w:sz w:val="11"/>
          <w:szCs w:val="11"/>
          <w:color w:val="auto"/>
        </w:rPr>
        <w:t xml:space="preserve"> data privacy and security. Our (or the third parties with whom we work) actual or perceived failure to comply with such obligations could lead to regulatory investigations or actions; litigation; fines and penalties; disruptions of our business operations; reputational harm; loss of revenue and profits; and other adverse business impacts,” under “Risk Factors” in Part I, Item 1A of this Report for additional information about the laws and regulations to which we may become subject and about the risks to our business associated with such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-678815</wp:posOffset>
            </wp:positionV>
            <wp:extent cx="5584190" cy="2348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2348865"/>
                    </a:xfrm>
                    <a:prstGeom prst="rect">
                      <a:avLst/>
                    </a:prstGeom>
                    <a:noFill/>
                  </pic:spPr>
                </pic:pic>
              </a:graphicData>
            </a:graphic>
          </wp:anchor>
        </w:drawing>
      </w:r>
    </w:p>
    <w:p>
      <w:pPr>
        <w:spacing w:after="0" w:line="2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187" w:lineRule="exact"/>
        <w:rPr>
          <w:sz w:val="20"/>
          <w:szCs w:val="20"/>
          <w:color w:val="auto"/>
        </w:rPr>
      </w:pPr>
    </w:p>
    <w:p>
      <w:pPr>
        <w:ind w:left="960" w:right="1219" w:firstLine="902"/>
        <w:spacing w:after="0" w:line="184" w:lineRule="exact"/>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product candidate that receives regulatory approval. In the U.S. and markets in other countries, sales of RYTELO will depend, in part, on the extent to which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provide coverage and establish adequate reimbursement levels.</w:t>
      </w:r>
    </w:p>
    <w:p>
      <w:pPr>
        <w:spacing w:after="0" w:line="105" w:lineRule="exact"/>
        <w:rPr>
          <w:sz w:val="20"/>
          <w:szCs w:val="20"/>
          <w:color w:val="auto"/>
        </w:rPr>
      </w:pPr>
    </w:p>
    <w:p>
      <w:pPr>
        <w:ind w:left="960" w:right="1359" w:firstLine="902"/>
        <w:spacing w:after="0" w:line="187" w:lineRule="exact"/>
        <w:rPr>
          <w:sz w:val="20"/>
          <w:szCs w:val="20"/>
          <w:color w:val="auto"/>
        </w:rPr>
      </w:pPr>
      <w:r>
        <w:rPr>
          <w:rFonts w:ascii="Times New Roman" w:cs="Times New Roman" w:eastAsia="Times New Roman" w:hAnsi="Times New Roman"/>
          <w:sz w:val="14"/>
          <w:szCs w:val="14"/>
          <w:color w:val="auto"/>
        </w:rPr>
        <w:t>In the U.S.,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include federal and state healthcare programs, government authorities, private managed care providers, private health insurers, employer health plans, and other organizations. Decisions regarding the extent of coverage and amount of reimbursement to be provided are made on a plan-by-plan basis.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spacing w:after="0" w:line="172" w:lineRule="exact"/>
        <w:rPr>
          <w:sz w:val="20"/>
          <w:szCs w:val="20"/>
          <w:color w:val="auto"/>
        </w:rPr>
      </w:pPr>
      <w:r>
        <w:rPr>
          <w:rFonts w:ascii="Times New Roman" w:cs="Times New Roman" w:eastAsia="Times New Roman" w:hAnsi="Times New Roman"/>
          <w:sz w:val="14"/>
          <w:szCs w:val="14"/>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A third-party payor could also require that certain lines of therapy be completed or failed prior to reimbursing our therapy. The principal decisions about reimbursement for new medicines are typically made by CMS. CMS decides whether and to what extent products will be covered and reimbursed under Medicare and private payors tend to follow CMS to a substantial degree. Third-party payors determine which products and procedures they will cover and establish reimbursement levels.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payors are increasingly challenging the price, examining the medical necessity and reviewing the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effectiveness of medical drug products and medical services, in addition to questioning their safety and efficacy. Such payors may limit coverage to specific drug products on an approved list, also known as a formulary, which might not include all of the FDA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approved drugs for a particular indication. We may need to conduct expensive pharmacoeconomic studies in order to demonstrate the medical necessity and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effectiveness of RYTELO, in addition to the costs required to obtain the FDA approvals. Nonetheless, RYTELO may not be considered medically necessary or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 Moreover, the process for determining whether a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as there is no uniform coverage and reimbursement policy among third-party payors in the U.S. Adequate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reimbursement may not be available to enable us to maintain price levels sufficient to realize an appropriate return on our investment in RYTELO. Even if a third-party payor covers a particular product or procedure, the resulting reimbursement payment rates may not be adequate. Coverage policies and third-party payor reimbursement rates may change. Thus, even if favorable coverage and reimbursement status is attained, less favorable coverage policies and reimbursement rates may be implemented in the future.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demand for the product and also have a material adverse effect on future sales.</w:t>
      </w:r>
    </w:p>
    <w:p>
      <w:pPr>
        <w:spacing w:after="0" w:line="1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187" w:lineRule="exact"/>
        <w:rPr>
          <w:sz w:val="20"/>
          <w:szCs w:val="20"/>
          <w:color w:val="auto"/>
        </w:rPr>
      </w:pPr>
    </w:p>
    <w:p>
      <w:pPr>
        <w:ind w:left="960" w:right="979" w:firstLine="902"/>
        <w:spacing w:after="0" w:line="257" w:lineRule="auto"/>
        <w:rPr>
          <w:sz w:val="20"/>
          <w:szCs w:val="20"/>
          <w:color w:val="auto"/>
        </w:rPr>
      </w:pPr>
      <w:r>
        <w:rPr>
          <w:rFonts w:ascii="Times New Roman" w:cs="Times New Roman" w:eastAsia="Times New Roman" w:hAnsi="Times New Roman"/>
          <w:sz w:val="14"/>
          <w:szCs w:val="14"/>
          <w:color w:val="auto"/>
        </w:rPr>
        <w:t>There has been increasing legislative and enforcement interest in the U.S. with respect to specialty drug pricing practices. Specifically, there have been several recent U.S. Congressional inquiries, Presidential executive orders, and federal and state legislative activity designed to, among other things, bring more transparency to drug pricing, review the relationship between pricing and manufacturer patient programs, reduce the cost of drugs under Medicare, and reform government program reimbursement methodologies for drugs. For example, the Inflation Reduction Act of 2022, or IRA, which, among other things, (i) directs the Department of Health and Human Services, or HHS, to negotiate the price of certain high-expenditure, single-source drugs and biologics covered under Medicare that have been on the market for at least seven years (the “Medicare Drug Price Negotiation Program”),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in fiscal year 2023. The agreed upon prices of the first ten drugs that were subject to price negotiations took effect on January 1, 2026, although the Medicare Drug Price Negotiation Program is currently subject to legal challenges. In2025, HHS selected fifteen additional products covered under Part D for price negotiation and announced “maximum fair prices” that will go into effect on January 1, 2027. Each subsequent year, more Part B and Part D products will become subject to the Medicare Drug Price Negotiation Program. Further, on December 7, 2023, an initiative was announced to evaluate whether the use of march-in authorities under the Bayh-Dole Act could impact the price of or promote equitable access to prescription drugs. On December 8, 2023, the National Institute of Standards and Technology published for comment a Draft Interagency Guidance Framework for Considering the Exercise of March-In Rights, or the Draft Framework, which contemplated the price of a product as one of several factors an agency could use when deciding to exercise march-in rights. The Bayh-Dole Act does not include product pricing as an express basis for exercising march-in rights, and prior rulemaking initiatives have not adopted proposed regulatory revisions that would have permitted the exercise of march-in rights on the basis of product pricing. While march-in rights have not previously been exercised, it is uncertain if that will continue if the Draft Framework ultimately is adopted. Additionally, at the state level,</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821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8210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79"/>
        <w:spacing w:after="0" w:line="274" w:lineRule="auto"/>
        <w:rPr>
          <w:sz w:val="20"/>
          <w:szCs w:val="20"/>
          <w:color w:val="auto"/>
        </w:rPr>
      </w:pPr>
      <w:r>
        <w:rPr>
          <w:rFonts w:ascii="Times New Roman" w:cs="Times New Roman" w:eastAsia="Times New Roman" w:hAnsi="Times New Roman"/>
          <w:sz w:val="14"/>
          <w:szCs w:val="14"/>
          <w:color w:val="auto"/>
        </w:rPr>
        <w:t>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w:t>
      </w:r>
    </w:p>
    <w:p>
      <w:pPr>
        <w:sectPr>
          <w:pgSz w:w="11900" w:h="16838" w:orient="portrait"/>
          <w:cols w:equalWidth="0" w:num="1">
            <w:col w:w="9019"/>
          </w:cols>
          <w:pgMar w:left="1440" w:top="114" w:right="1440" w:bottom="0" w:gutter="0" w:footer="0" w:header="0"/>
        </w:sectPr>
      </w:pPr>
    </w:p>
    <w:bookmarkStart w:id="16" w:name="page17"/>
    <w:bookmarkEnd w:id="16"/>
    <w:p>
      <w:pPr>
        <w:ind w:left="960"/>
        <w:spacing w:after="0"/>
        <w:rPr>
          <w:sz w:val="20"/>
          <w:szCs w:val="20"/>
          <w:color w:val="auto"/>
        </w:rPr>
      </w:pPr>
      <w:r>
        <w:rPr>
          <w:rFonts w:ascii="Times New Roman" w:cs="Times New Roman" w:eastAsia="Times New Roman" w:hAnsi="Times New Roman"/>
          <w:sz w:val="14"/>
          <w:szCs w:val="14"/>
          <w:color w:val="auto"/>
        </w:rPr>
        <w:t>countries and bulk purchasing.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639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6392545"/>
                    </a:xfrm>
                    <a:prstGeom prst="rect">
                      <a:avLst/>
                    </a:prstGeom>
                    <a:noFill/>
                  </pic:spPr>
                </pic:pic>
              </a:graphicData>
            </a:graphic>
          </wp:anchor>
        </w:drawing>
      </w:r>
    </w:p>
    <w:p>
      <w:pPr>
        <w:spacing w:after="0" w:line="34"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The U.S. and some foreign jurisdictions are considering or have enacted legislative and regulatory proposals to contain healthcare costs, as well as to improve quality and expand access. For example, the IRA also eliminated the “donut hole” under the Medicare Part D program by significantly lowering the beneficiary maximum out-of-pocket cost and creating a new manufacturer discount program. It is possible that the IRA will be subject to additional judicial or Congressional challenges in the future. We expect that other healthcare reform measures that may be adopted in the future may result in more rigorous coverage criteria and lower reimbursement, and additional downward pressure on the price that may be charged for RYTELO. It is unclear how any such healthcare reform measures will impact the pharmaceutical industry.</w:t>
      </w:r>
    </w:p>
    <w:p>
      <w:pPr>
        <w:spacing w:after="0" w:line="163" w:lineRule="exact"/>
        <w:rPr>
          <w:sz w:val="20"/>
          <w:szCs w:val="20"/>
          <w:color w:val="auto"/>
        </w:rPr>
      </w:pPr>
    </w:p>
    <w:p>
      <w:pPr>
        <w:ind w:left="960" w:right="1059" w:firstLine="902"/>
        <w:spacing w:after="0" w:line="264" w:lineRule="auto"/>
        <w:rPr>
          <w:sz w:val="20"/>
          <w:szCs w:val="20"/>
          <w:color w:val="auto"/>
        </w:rPr>
      </w:pPr>
      <w:r>
        <w:rPr>
          <w:rFonts w:ascii="Times New Roman" w:cs="Times New Roman" w:eastAsia="Times New Roman" w:hAnsi="Times New Roman"/>
          <w:sz w:val="14"/>
          <w:szCs w:val="14"/>
          <w:color w:val="auto"/>
        </w:rPr>
        <w:t>In addition, aggregate reductions to Medicare payments to providers of up to 2% per fiscal year, which went into effect beginning on April 1, 2013 under provisions of the Budget Control Act of 2011 will stay in effect through 2032 unless additional Congressional action is taken.</w:t>
      </w:r>
    </w:p>
    <w:p>
      <w:pPr>
        <w:spacing w:after="0" w:line="3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185" w:lineRule="exact"/>
        <w:rPr>
          <w:sz w:val="20"/>
          <w:szCs w:val="20"/>
          <w:color w:val="auto"/>
        </w:rPr>
      </w:pPr>
    </w:p>
    <w:p>
      <w:pPr>
        <w:ind w:left="960" w:right="1039" w:firstLine="902"/>
        <w:spacing w:after="0" w:line="292" w:lineRule="auto"/>
        <w:rPr>
          <w:sz w:val="20"/>
          <w:szCs w:val="20"/>
          <w:color w:val="auto"/>
        </w:rPr>
      </w:pPr>
      <w:r>
        <w:rPr>
          <w:rFonts w:ascii="Times New Roman" w:cs="Times New Roman" w:eastAsia="Times New Roman" w:hAnsi="Times New Roman"/>
          <w:sz w:val="14"/>
          <w:szCs w:val="14"/>
          <w:color w:val="auto"/>
        </w:rPr>
        <w:t>The following table sets forth certain information with respect to our executive officers and other members of management as of January 31, 2026:</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67"/>
        </w:trPr>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40" w:type="dxa"/>
            <w:vAlign w:val="bottom"/>
            <w:tcBorders>
              <w:bottom w:val="single" w:sz="8" w:color="CCEEFF"/>
            </w:tcBorders>
          </w:tcPr>
          <w:p>
            <w:pPr>
              <w:spacing w:after="0"/>
              <w:rPr>
                <w:sz w:val="14"/>
                <w:szCs w:val="14"/>
                <w:color w:val="auto"/>
              </w:rPr>
            </w:pPr>
          </w:p>
        </w:tc>
        <w:tc>
          <w:tcPr>
            <w:tcW w:w="45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64"/>
        </w:trPr>
        <w:tc>
          <w:tcPr>
            <w:tcW w:w="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920" w:type="dxa"/>
            <w:vAlign w:val="bottom"/>
            <w:tcBorders>
              <w:bottom w:val="single" w:sz="8" w:color="CCEEFF"/>
            </w:tcBorders>
            <w:gridSpan w:val="2"/>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560" w:type="dxa"/>
            <w:vAlign w:val="bottom"/>
            <w:tcBorders>
              <w:bottom w:val="single" w:sz="8" w:color="CCEEFF"/>
            </w:tcBorders>
            <w:shd w:val="clear" w:color="auto" w:fill="CCEEFF"/>
          </w:tcPr>
          <w:p>
            <w:pPr>
              <w:spacing w:after="0"/>
              <w:rPr>
                <w:sz w:val="14"/>
                <w:szCs w:val="14"/>
                <w:color w:val="auto"/>
              </w:rPr>
            </w:pPr>
          </w:p>
        </w:tc>
      </w:tr>
      <w:tr>
        <w:trPr>
          <w:trHeight w:val="215"/>
        </w:trPr>
        <w:tc>
          <w:tcPr>
            <w:tcW w:w="4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Harout Semerjian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Chief Executive Officer and Board member</w:t>
            </w:r>
          </w:p>
        </w:tc>
      </w:tr>
      <w:tr>
        <w:trPr>
          <w:trHeight w:val="215"/>
        </w:trPr>
        <w:tc>
          <w:tcPr>
            <w:tcW w:w="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Michelle Robertson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shd w:val="clear" w:color="auto" w:fill="CCEEFF"/>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Executive Vice President, Finance, Chief Financial Officer and Treasurer</w:t>
            </w:r>
          </w:p>
        </w:tc>
      </w:tr>
      <w:tr>
        <w:trPr>
          <w:trHeight w:val="215"/>
        </w:trPr>
        <w:tc>
          <w:tcPr>
            <w:tcW w:w="4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Joseph Eid, M.D.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Vice President, Research and Development</w:t>
            </w:r>
          </w:p>
        </w:tc>
      </w:tr>
      <w:tr>
        <w:trPr>
          <w:trHeight w:val="215"/>
        </w:trPr>
        <w:tc>
          <w:tcPr>
            <w:tcW w:w="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Ahmed ElNawawi</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Executive Vice President, Chief Commercial Officer</w:t>
            </w:r>
          </w:p>
        </w:tc>
      </w:tr>
    </w:tbl>
    <w:p>
      <w:pPr>
        <w:spacing w:after="0" w:line="187"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Harout Semerjian </w:t>
      </w:r>
      <w:r>
        <w:rPr>
          <w:rFonts w:ascii="Times New Roman" w:cs="Times New Roman" w:eastAsia="Times New Roman" w:hAnsi="Times New Roman"/>
          <w:sz w:val="14"/>
          <w:szCs w:val="14"/>
          <w:color w:val="auto"/>
        </w:rPr>
        <w:t>has served as our President and Chief Executive Officer and member of our Board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since August, 2025. Prior to joining the Company, Mr. Semerjian served as President and Chief Executive Officer of GlycoMimetics, Inc., a late-stage clinical biotechnology company subsequently combined with Crescent Biopharma, Inc., from August 2021 until February 2025. He also previously served on the board of directors of GlycoMimetics until February 2025. Since October 2023, Mr. Semerjian has also served as a member of the board of directors at the Biotechnology Innovation Organization. From June 2020 to July 2021, Mr. Semerjian served as an independent healthcare consultant at Emerge Bio Consulting, advising private equity firms on healthcare investment projects. Mr. Semerjian served as President and Chief Executive Officer of Immunomedics Inc., a biotechnology company specializing in antibody-drug conjugates for cancer treatment, from April 2020 to May 2020, prior to its acquisition by Gilead Sciences, Inc. From March 2018 to April 2020, Mr. Semerjian served as Executive Vice President, Chief Commercial Officer of Ipsen Pharma, a global, pharmaceutical company focusing on areas of high unmet medical need, leading and executing Ipsen’s global commercial strategy and functions across oncology, neurosciences and rare diseases. From February 2017 to February 2018, he served as President and Head of Ipsen’s Specialty Care International Region &amp; Global Franchises. From 1994 to January 2017, Mr. Semerjian held several commercial, marketing and sales positions of increasing responsibility within Novartis Pharmaceuticals, a global pharmaceutical company, including serving as Senior Vice President and Global Launch Leader for KISQALI®, in regional vice president hematology and oncology roles in the U.S., MENA and the Nordics, and as global brand director for Gleevec®, as well as for Merck, a global pharmaceutical company, and Solvay, a multinational chemical and materials company. Mr. Semerjian holds an MBA from Cornell University and Queen's University in Canada, and a B.S. in Biology from Lebanese American University.</w:t>
      </w:r>
    </w:p>
    <w:p>
      <w:pPr>
        <w:spacing w:after="0" w:line="148" w:lineRule="exact"/>
        <w:rPr>
          <w:sz w:val="20"/>
          <w:szCs w:val="20"/>
          <w:color w:val="auto"/>
        </w:rPr>
      </w:pPr>
    </w:p>
    <w:p>
      <w:pPr>
        <w:ind w:left="960" w:right="979" w:firstLine="90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Michelle Robertson </w:t>
      </w:r>
      <w:r>
        <w:rPr>
          <w:rFonts w:ascii="Times New Roman" w:cs="Times New Roman" w:eastAsia="Times New Roman" w:hAnsi="Times New Roman"/>
          <w:sz w:val="14"/>
          <w:szCs w:val="14"/>
          <w:color w:val="auto"/>
        </w:rPr>
        <w:t>has served as our Executive Vice President, Chief Financial Officer and Treasurer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since September 2023. Prior to joining Geron, she served as the Chief Financial Officer and Treasurer of Editas Medicine, Inc., a CRISPR genome editing company, from January 2020 to May 2023. Before that, she served as Chief Financial Officer of Momenta Pharmaceuticals, Inc. from 2018 until 2020, when Momenta was acquired by Johnson &amp; Johnson. Prior to joining Momenta, Ms. Robertson held multiple commercial finance roles of increasing responsibility, including Vice President, Oncology Finance for Baxalta Incorporated following its spin-off from Baxter International Inc., from 2015 to 2016; Head of Financial Planning and Analysis and Operations Excellence at Ironwood Pharmaceuticals, Inc. from 2012</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060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40608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319"/>
        <w:spacing w:after="0" w:line="268" w:lineRule="auto"/>
        <w:rPr>
          <w:sz w:val="20"/>
          <w:szCs w:val="20"/>
          <w:color w:val="auto"/>
        </w:rPr>
      </w:pPr>
      <w:r>
        <w:rPr>
          <w:rFonts w:ascii="Times New Roman" w:cs="Times New Roman" w:eastAsia="Times New Roman" w:hAnsi="Times New Roman"/>
          <w:sz w:val="14"/>
          <w:szCs w:val="14"/>
          <w:color w:val="auto"/>
        </w:rPr>
        <w:t>to 2015; and various finance and commercial operations roles at Genzyme Corporation (acquired by Sanofi). She also currently serves as a member of the board of directors and as the chair of the audit committee for Verastem, Inc., a publicly-traded biopharmaceutical company. Ms. Robertson received her B.S. in Finance and A.S. in Accounting and Management from Bentley University.</w:t>
      </w:r>
    </w:p>
    <w:p>
      <w:pPr>
        <w:spacing w:after="0" w:line="138"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Joseph Eid, M.D., </w:t>
      </w:r>
      <w:r>
        <w:rPr>
          <w:rFonts w:ascii="Times New Roman" w:cs="Times New Roman" w:eastAsia="Times New Roman" w:hAnsi="Times New Roman"/>
          <w:sz w:val="14"/>
          <w:szCs w:val="14"/>
          <w:color w:val="auto"/>
        </w:rPr>
        <w:t>has served as our Executive Vice President Research and Development since November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Prior to joining Geron, Dr. Eid served as President, Research and Development for Dragonfly Therapeutics, Inc., a clinical stage biopharmaceutical company, with overall responsibilities for Dragonfly's discovery and clinical research strategy and execution, from February 2023 to March 2024. Before joining Dragonfly Dr. Eid served as Executive Vice President, Chief Medical Officer at Luzsana Biotechnology, Inc., a pharmaceutical company and a subsidiary of Hengrui Pharmaceuticals, from October 2021 to September 2022. Prior to his biotechnology leadership roles, Dr. Eid served as Senior Vice President and Head, Global Medical Affairs for Bristol Myers Squibb, or BMS, from 2017 to 2021, where he led global medical affairs across four therapeutic franchises. Prior to BMS, Dr. Eid spent nine years at Merck, first at Merck Research Labs, where he led the first-in-human strategy of their global KEYTRUDA® program, and then at Merck Global Human Health, where he built Merck's global oncology medical affairs team. Dr. Eid started his pharmaceutical career at Hoffmann La Roche, where he was responsible for both early- and late-stage assets and led several clinical teams. Prior to entering the biopharmaceutical industry, Dr. Eid was an Assistant Professor in the hematology department of Robert Wood Johnson Medical School in New Jersey from 1999 to 2004 and as a volunteer, through 2019. Dr. Eid received his M.D. from Saint Joseph University, Faculty of Medicine, and serves on ALSAC/St Jude Children’s Research Hospital board, and on the board of Angle PLC, a liquid biopsy company.</w:t>
      </w:r>
    </w:p>
    <w:p>
      <w:pPr>
        <w:spacing w:after="0" w:line="153" w:lineRule="exact"/>
        <w:rPr>
          <w:sz w:val="20"/>
          <w:szCs w:val="20"/>
          <w:color w:val="auto"/>
        </w:rPr>
      </w:pPr>
    </w:p>
    <w:p>
      <w:pPr>
        <w:ind w:left="960" w:right="1079" w:firstLine="902"/>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Ahmed ElNawawi </w:t>
      </w:r>
      <w:r>
        <w:rPr>
          <w:rFonts w:ascii="Times New Roman" w:cs="Times New Roman" w:eastAsia="Times New Roman" w:hAnsi="Times New Roman"/>
          <w:sz w:val="14"/>
          <w:szCs w:val="14"/>
          <w:color w:val="auto"/>
        </w:rPr>
        <w:t>has served as our Executive Vice President, Chief Commercial Officer since October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2025. Prior to joining the Company, Mr. ElNawawi most recently served as Senior Vice President and U.S. Commercial Head at Stemline Therapeutics, a wholly-owned subsidiary of the Menarini Group, from April 2022 until October 2025, where he led the U.S. commercial organization spanning the sales, marketing, market access, commercial excellence, and data analytics functions. Before joining Stemline, Mr. ElNawawi spent nearly two decades at Novartis Oncology, from April 2004 until April 2022, in roles of increasing responsibility, including Oncology General Manager for Romania and the Gulf region, Executive Director for U.S. Melanoma, and Global Indication Lead for both breast and lung cancer. Earlier in his career, he held commercial and marketing positions in Egypt, the UAE, and Saudi Arabia with Merck and Schering-Plough. He received an MBA from the University of Leicester and a B.S. in Clinical Pharmacy from Ain Shams University in Cairo, Egypt.</w:t>
      </w:r>
    </w:p>
    <w:p>
      <w:pPr>
        <w:spacing w:after="0" w:line="1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Human Capital</w:t>
      </w:r>
    </w:p>
    <w:p>
      <w:pPr>
        <w:sectPr>
          <w:pgSz w:w="11900" w:h="16838" w:orient="portrait"/>
          <w:cols w:equalWidth="0" w:num="1">
            <w:col w:w="9019"/>
          </w:cols>
          <w:pgMar w:left="1440" w:top="114" w:right="1440" w:bottom="0" w:gutter="0" w:footer="0" w:header="0"/>
        </w:sectPr>
      </w:pPr>
    </w:p>
    <w:bookmarkStart w:id="17" w:name="page18"/>
    <w:bookmarkEnd w:id="17"/>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153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3153410"/>
                    </a:xfrm>
                    <a:prstGeom prst="rect">
                      <a:avLst/>
                    </a:prstGeom>
                    <a:noFill/>
                  </pic:spPr>
                </pic:pic>
              </a:graphicData>
            </a:graphic>
          </wp:anchor>
        </w:drawing>
        <w:t>Corporate Values</w:t>
      </w:r>
    </w:p>
    <w:p>
      <w:pPr>
        <w:spacing w:after="0" w:line="187" w:lineRule="exact"/>
        <w:rPr>
          <w:sz w:val="20"/>
          <w:szCs w:val="20"/>
          <w:color w:val="auto"/>
        </w:rPr>
      </w:pPr>
    </w:p>
    <w:p>
      <w:pPr>
        <w:ind w:left="960" w:right="1239" w:firstLine="902"/>
        <w:spacing w:after="0" w:line="292" w:lineRule="auto"/>
        <w:rPr>
          <w:sz w:val="20"/>
          <w:szCs w:val="20"/>
          <w:color w:val="auto"/>
        </w:rPr>
      </w:pPr>
      <w:r>
        <w:rPr>
          <w:rFonts w:ascii="Times New Roman" w:cs="Times New Roman" w:eastAsia="Times New Roman" w:hAnsi="Times New Roman"/>
          <w:sz w:val="14"/>
          <w:szCs w:val="14"/>
          <w:color w:val="auto"/>
        </w:rPr>
        <w:t>Fostering and maintaining a strong, healthy culture is a key strategic focus. We recognize and value the unique strengths of each of our team members, and the impact and contributions of every employee.</w:t>
      </w:r>
    </w:p>
    <w:p>
      <w:pPr>
        <w:spacing w:after="0" w:line="124" w:lineRule="exact"/>
        <w:rPr>
          <w:sz w:val="20"/>
          <w:szCs w:val="20"/>
          <w:color w:val="auto"/>
        </w:rPr>
      </w:pPr>
    </w:p>
    <w:p>
      <w:pPr>
        <w:jc w:val="both"/>
        <w:ind w:left="960" w:right="1079" w:firstLine="902"/>
        <w:spacing w:after="0" w:line="274" w:lineRule="auto"/>
        <w:rPr>
          <w:sz w:val="20"/>
          <w:szCs w:val="20"/>
          <w:color w:val="auto"/>
        </w:rPr>
      </w:pPr>
      <w:r>
        <w:rPr>
          <w:rFonts w:ascii="Times New Roman" w:cs="Times New Roman" w:eastAsia="Times New Roman" w:hAnsi="Times New Roman"/>
          <w:sz w:val="14"/>
          <w:szCs w:val="14"/>
          <w:color w:val="auto"/>
        </w:rPr>
        <w:t>Our core values are the foundational principles of our organization. These values reflect who we are, how we work and the way our employees interact with one another, our partners, our communities, and our shareholders. They are the essential tenets that guide our business decisions, govern our relationships, both internally and externally,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99"/>
        <w:spacing w:after="0" w:line="292" w:lineRule="auto"/>
        <w:rPr>
          <w:sz w:val="20"/>
          <w:szCs w:val="20"/>
          <w:color w:val="auto"/>
        </w:rPr>
      </w:pPr>
      <w:r>
        <w:rPr>
          <w:rFonts w:ascii="Times New Roman" w:cs="Times New Roman" w:eastAsia="Times New Roman" w:hAnsi="Times New Roman"/>
          <w:sz w:val="14"/>
          <w:szCs w:val="14"/>
          <w:color w:val="auto"/>
        </w:rPr>
        <w:t>articulate what we stand for and who we are. These values dictate the ways in which we interact, work and communicate, how we resolve conflicts and ultimately, how we strive to make Geron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60" w:right="979" w:firstLine="902"/>
        <w:spacing w:after="0" w:line="176" w:lineRule="exact"/>
        <w:rPr>
          <w:sz w:val="20"/>
          <w:szCs w:val="20"/>
          <w:color w:val="auto"/>
        </w:rPr>
      </w:pPr>
      <w:r>
        <w:rPr>
          <w:rFonts w:ascii="Times New Roman" w:cs="Times New Roman" w:eastAsia="Times New Roman" w:hAnsi="Times New Roman"/>
          <w:sz w:val="14"/>
          <w:szCs w:val="14"/>
          <w:color w:val="auto"/>
        </w:rPr>
        <w:t>Our team of talented professionals is the foundation of our company and fuels our historical and prospective achievements for patients. We consider the intellectual capital of our employees to be an essential driver of our business and key to our future opportunities. As of December 31, 2025, we had 258 full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employees. However, in December 2025, we announced a strategic restructuring plan that is intended to position us for long-term value creation and improve our financial discipline. The restructuring plan will result in a reduction in headcount of approximately one-third of our workforce. We anticipate that the restructuring plan will be substantially completed in the first quarter of 2026. See Note 16 on Restructuring in Notes to Consolidated Financial Statements of this Report for additional information. Every employee plays a vital role in furthering our business goals and advancing the development and delivery of our novel medicine to patients.</w:t>
      </w:r>
    </w:p>
    <w:p>
      <w:pPr>
        <w:spacing w:after="0" w:line="318" w:lineRule="exact"/>
        <w:rPr>
          <w:sz w:val="20"/>
          <w:szCs w:val="20"/>
          <w:color w:val="auto"/>
        </w:rPr>
      </w:pPr>
    </w:p>
    <w:p>
      <w:pPr>
        <w:ind w:left="960" w:right="1019" w:firstLine="902"/>
        <w:spacing w:after="0" w:line="268" w:lineRule="auto"/>
        <w:rPr>
          <w:sz w:val="20"/>
          <w:szCs w:val="20"/>
          <w:color w:val="auto"/>
        </w:rPr>
      </w:pPr>
      <w:r>
        <w:rPr>
          <w:rFonts w:ascii="Times New Roman" w:cs="Times New Roman" w:eastAsia="Times New Roman" w:hAnsi="Times New Roman"/>
          <w:sz w:val="14"/>
          <w:szCs w:val="14"/>
          <w:color w:val="auto"/>
        </w:rPr>
        <w:t>In addition to our employee base, we have established, and expect to continue to establish, consulting agreements with drug development professionals, clinicians, attorneys and regulatory experts with experience in numerous fields, including clinical science, biostatistics, clinical operations, pharmacovigilance, quality, manufacturing and regulatory affairs.</w:t>
      </w:r>
    </w:p>
    <w:p>
      <w:pPr>
        <w:spacing w:after="0" w:line="140" w:lineRule="exact"/>
        <w:rPr>
          <w:sz w:val="20"/>
          <w:szCs w:val="20"/>
          <w:color w:val="auto"/>
        </w:rPr>
      </w:pPr>
    </w:p>
    <w:p>
      <w:pPr>
        <w:ind w:left="960" w:right="1059" w:firstLine="902"/>
        <w:spacing w:after="0" w:line="262" w:lineRule="auto"/>
        <w:rPr>
          <w:sz w:val="20"/>
          <w:szCs w:val="20"/>
          <w:color w:val="auto"/>
        </w:rPr>
      </w:pPr>
      <w:r>
        <w:rPr>
          <w:rFonts w:ascii="Times New Roman" w:cs="Times New Roman" w:eastAsia="Times New Roman" w:hAnsi="Times New Roman"/>
          <w:sz w:val="14"/>
          <w:szCs w:val="14"/>
          <w:color w:val="auto"/>
        </w:rPr>
        <w:t>To succeed in our mission, we must attract, recruit, retain, develop and motivate qualified clinical, nonclinical, commercial, scientific, manufacturing, regulatory, management and other personnel needed to support our business and operations. As a biotechnology company with office locations in the San Francisco Bay Area and northern New Jersey, and with remote employees throughout the U.S., we operate in a highly competitive industry and geographies for employee talent. We maintain a comprehensive dashboard of measurements, including recruitment productivity, employee engagement scores, total rewards benchmarking, participation rates and satisfaction scores for internal training, turnover rates and exit interview results, to guide our human capital management efforts.</w:t>
      </w:r>
    </w:p>
    <w:p>
      <w:pPr>
        <w:spacing w:after="0" w:line="144" w:lineRule="exact"/>
        <w:rPr>
          <w:sz w:val="20"/>
          <w:szCs w:val="20"/>
          <w:color w:val="auto"/>
        </w:rPr>
      </w:pPr>
    </w:p>
    <w:p>
      <w:pPr>
        <w:ind w:left="960" w:right="1059" w:firstLine="902"/>
        <w:spacing w:after="0" w:line="263" w:lineRule="auto"/>
        <w:rPr>
          <w:sz w:val="20"/>
          <w:szCs w:val="20"/>
          <w:color w:val="auto"/>
        </w:rPr>
      </w:pPr>
      <w:r>
        <w:rPr>
          <w:rFonts w:ascii="Times New Roman" w:cs="Times New Roman" w:eastAsia="Times New Roman" w:hAnsi="Times New Roman"/>
          <w:sz w:val="14"/>
          <w:szCs w:val="14"/>
          <w:color w:val="auto"/>
        </w:rPr>
        <w:t>We believe that our ability to attract highly skilled and talented employees in a competitive labor market is enhanced by nurturing our workplace culture, providing competitive compensation and benefits programs and supporting employee career development and related management training. To that end, we continue to invest resources and energy into being an employer of choice – attracting and engaging individuals who are innovative, curious, driven, diligent, collaborative and of the highest integrity and ethics. Some of our key efforts in this area and management of our human capital assets generally are described here.</w:t>
      </w:r>
    </w:p>
    <w:p>
      <w:pPr>
        <w:sectPr>
          <w:pgSz w:w="11900" w:h="16838" w:orient="portrait"/>
          <w:cols w:equalWidth="0" w:num="1">
            <w:col w:w="9019"/>
          </w:cols>
          <w:pgMar w:left="1440" w:top="20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16510"/>
                    </a:xfrm>
                    <a:prstGeom prst="rect">
                      <a:avLst/>
                    </a:prstGeom>
                    <a:noFill/>
                  </pic:spPr>
                </pic:pic>
              </a:graphicData>
            </a:graphic>
          </wp:anchor>
        </w:drawing>
      </w:r>
    </w:p>
    <w:p>
      <w:pPr>
        <w:sectPr>
          <w:pgSz w:w="11900" w:h="16838" w:orient="portrait"/>
          <w:cols w:equalWidth="0" w:num="1">
            <w:col w:w="9019"/>
          </w:cols>
          <w:pgMar w:left="1440" w:top="207" w:right="1440" w:bottom="0" w:gutter="0" w:footer="0" w:header="0"/>
          <w:type w:val="continuous"/>
        </w:sectPr>
      </w:pPr>
    </w:p>
    <w:bookmarkStart w:id="18" w:name="page19"/>
    <w:bookmarkEnd w:id="18"/>
    <w:p>
      <w:pPr>
        <w:ind w:left="9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97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7197725"/>
                    </a:xfrm>
                    <a:prstGeom prst="rect">
                      <a:avLst/>
                    </a:prstGeom>
                    <a:noFill/>
                  </pic:spPr>
                </pic:pic>
              </a:graphicData>
            </a:graphic>
          </wp:anchor>
        </w:drawing>
        <w:t>Table of Contents</w:t>
      </w: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Benefits</w:t>
      </w:r>
    </w:p>
    <w:p>
      <w:pPr>
        <w:spacing w:after="0" w:line="187"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Our compensation philosophy is to provide pay and benefits that are competitive in the biotechnology and pharmaceutical industry where we compete for talent. We monitor our compensation programs closely and review them annually to provide what we consider a competitive mix of compensation and health, welfare and retirement benefits for all our employees. Our compensation package for all employees includes market-competitive base salaries, eligibility for annual performance bonuses or incentive compensation for field- based roles, and equity grants. Annual cash bonus opportunity and equity compensation increase as a percentage of total compensation based on level of responsibility. Actual bonus payouts for annual performance bonus are generally based on a combination of achievement of our annual corporate goals and individual performance, with our CEO’s annual performance bonus being based entirely on the level of achievement of our annual corporate goals. All regular-status, full-time employees are eligible to participate in our comprehensive benefit program, pursuant to plan terms and conditions. Plan choices include medical, dental, vision, life insurance, flexible spending accounts, short and long-term disability insurance, a 401(k) retirement savings plan with a discretionary matching employer contribution, and an employee stock purchase plan. We also provide regular-status, full-time employees with a generous time off program that includes vacation, sick, holiday, and paid leave for certain life events.</w:t>
      </w:r>
    </w:p>
    <w:p>
      <w:pPr>
        <w:spacing w:after="0" w:line="319" w:lineRule="exact"/>
        <w:rPr>
          <w:sz w:val="20"/>
          <w:szCs w:val="20"/>
          <w:color w:val="auto"/>
        </w:rPr>
      </w:pPr>
    </w:p>
    <w:p>
      <w:pPr>
        <w:ind w:left="960" w:right="1179" w:firstLine="902"/>
        <w:spacing w:after="0" w:line="274" w:lineRule="auto"/>
        <w:rPr>
          <w:sz w:val="20"/>
          <w:szCs w:val="20"/>
          <w:color w:val="auto"/>
        </w:rPr>
      </w:pPr>
      <w:r>
        <w:rPr>
          <w:rFonts w:ascii="Times New Roman" w:cs="Times New Roman" w:eastAsia="Times New Roman" w:hAnsi="Times New Roman"/>
          <w:sz w:val="14"/>
          <w:szCs w:val="14"/>
          <w:color w:val="auto"/>
        </w:rPr>
        <w:t>Every year, we undertake a detailed review of our compensation by position and level and make adjustments necessary to ensure that we continue to provide competitive compensation. We publish pay ranges in all job postings for jobs as required by various states’ pay disclosure requirements.</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Corporate Culture</w:t>
      </w:r>
    </w:p>
    <w:p>
      <w:pPr>
        <w:spacing w:after="0" w:line="187" w:lineRule="exact"/>
        <w:rPr>
          <w:sz w:val="20"/>
          <w:szCs w:val="20"/>
          <w:color w:val="auto"/>
        </w:rPr>
      </w:pPr>
    </w:p>
    <w:p>
      <w:pPr>
        <w:ind w:left="960" w:right="1039" w:firstLine="902"/>
        <w:spacing w:after="0" w:line="262" w:lineRule="auto"/>
        <w:rPr>
          <w:sz w:val="20"/>
          <w:szCs w:val="20"/>
          <w:color w:val="auto"/>
        </w:rPr>
      </w:pPr>
      <w:r>
        <w:rPr>
          <w:rFonts w:ascii="Times New Roman" w:cs="Times New Roman" w:eastAsia="Times New Roman" w:hAnsi="Times New Roman"/>
          <w:sz w:val="14"/>
          <w:szCs w:val="14"/>
          <w:color w:val="auto"/>
        </w:rPr>
        <w:t>We pride ourselves on an open culture that respects co-workers, values employees’ health and well-being and fosters professional development. We support employee growth and development in a variety of ways, including with group training, individual mentoring and coaching, conference attendance and tuition reimbursement. Our management conducts annual employee engagement surveys and reports to our board of directors on human capital management topics, including corporate culture, employee development and retention, and compensation and benefits. Similarly, our board of directors regularly provides input on important decisions relating to these matters, including with respect to employee compensation and benefits, talent retention and development.</w:t>
      </w:r>
    </w:p>
    <w:p>
      <w:pPr>
        <w:spacing w:after="0" w:line="144" w:lineRule="exact"/>
        <w:rPr>
          <w:sz w:val="20"/>
          <w:szCs w:val="20"/>
          <w:color w:val="auto"/>
        </w:rPr>
      </w:pPr>
    </w:p>
    <w:p>
      <w:pPr>
        <w:ind w:left="960" w:right="1059" w:firstLine="902"/>
        <w:spacing w:after="0" w:line="265" w:lineRule="auto"/>
        <w:rPr>
          <w:sz w:val="20"/>
          <w:szCs w:val="20"/>
          <w:color w:val="auto"/>
        </w:rPr>
      </w:pPr>
      <w:r>
        <w:rPr>
          <w:rFonts w:ascii="Times New Roman" w:cs="Times New Roman" w:eastAsia="Times New Roman" w:hAnsi="Times New Roman"/>
          <w:sz w:val="14"/>
          <w:szCs w:val="14"/>
          <w:color w:val="auto"/>
        </w:rPr>
        <w:t>During 2025, we furthered the development of our hybrid workforce program that provides a variety of virtual and in-person collaboration opportunities, such as leadership training and coaching resources. Since 2021, we have utilized a peer-centric employee recognition program to empower employees to champion our workplace culture and values, and promote direct praise to peers. In addition, we have implemented a reward program that enables managers to recognize employees who have demonstrated exceptional performance.</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Corporate Responsibility Efforts</w:t>
      </w:r>
    </w:p>
    <w:p>
      <w:pPr>
        <w:spacing w:after="0" w:line="187" w:lineRule="exact"/>
        <w:rPr>
          <w:sz w:val="20"/>
          <w:szCs w:val="20"/>
          <w:color w:val="auto"/>
        </w:rPr>
      </w:pPr>
    </w:p>
    <w:p>
      <w:pPr>
        <w:ind w:left="960" w:right="1099" w:firstLine="902"/>
        <w:spacing w:after="0" w:line="262" w:lineRule="auto"/>
        <w:rPr>
          <w:sz w:val="20"/>
          <w:szCs w:val="20"/>
          <w:color w:val="auto"/>
        </w:rPr>
      </w:pPr>
      <w:r>
        <w:rPr>
          <w:rFonts w:ascii="Times New Roman" w:cs="Times New Roman" w:eastAsia="Times New Roman" w:hAnsi="Times New Roman"/>
          <w:sz w:val="14"/>
          <w:szCs w:val="14"/>
          <w:color w:val="auto"/>
        </w:rPr>
        <w:t>Our commitment to corporate responsibility is integrated throughout our business and informed by our values and ambition to change lives by changing the course of blood cancer. To support lower-risk MDS patients eligible for RYTELO, we have a patient support program called REACH4RYTELO that can help patients navigate access and coverage. Our corporate responsibility initiatives reflect our commitment to making a difference for blood cancer patients and health care providers who care for them through RYTELO. Our corporate responsibility priorities also reflect our commitment to fostering a strong culture for employees and governing with integrity to advance our mission and create value for stockholders. We review our corporate responsibility practices and disclosures on an ongoing basis.</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Communication and Engagement</w:t>
      </w:r>
    </w:p>
    <w:p>
      <w:pPr>
        <w:spacing w:after="0" w:line="219" w:lineRule="exact"/>
        <w:rPr>
          <w:sz w:val="20"/>
          <w:szCs w:val="20"/>
          <w:color w:val="auto"/>
        </w:rPr>
      </w:pPr>
    </w:p>
    <w:p>
      <w:pPr>
        <w:ind w:left="960" w:right="1099" w:firstLine="902"/>
        <w:spacing w:after="0" w:line="260" w:lineRule="auto"/>
        <w:rPr>
          <w:sz w:val="20"/>
          <w:szCs w:val="20"/>
          <w:color w:val="auto"/>
        </w:rPr>
      </w:pPr>
      <w:r>
        <w:rPr>
          <w:rFonts w:ascii="Times New Roman" w:cs="Times New Roman" w:eastAsia="Times New Roman" w:hAnsi="Times New Roman"/>
          <w:sz w:val="14"/>
          <w:szCs w:val="14"/>
          <w:color w:val="auto"/>
        </w:rPr>
        <w:t>We believe that part of what sets us apart from other companies is our culture and, in particular, our focus on providing timely and transparent communications and creating a strong sense of belonging and inclusiveness. We engage in periodic in-office and in-person meetings and interactions, as well as in-office and in-person training and development opportunities, to encourage cross-functional team-building and collaboration, in conjunction with which many of our teams engage in group lunches and dinners. We held a summer contest that encouraged our employees to share summer travel experiences and special events, building rapport and strengthening employee relationships, and we conduct organizational and team-specific holiday events to promote connectivity among our employees. We share information and news with employees through quarterly all-hands meetings, monthly newsletters to employees, social media posts on our intranet and outward facing social media sites, such as LinkedIn, and regular employee chats with our</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255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32556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19"/>
        <w:spacing w:after="0" w:line="268" w:lineRule="auto"/>
        <w:rPr>
          <w:sz w:val="20"/>
          <w:szCs w:val="20"/>
          <w:color w:val="auto"/>
        </w:rPr>
      </w:pPr>
      <w:r>
        <w:rPr>
          <w:rFonts w:ascii="Times New Roman" w:cs="Times New Roman" w:eastAsia="Times New Roman" w:hAnsi="Times New Roman"/>
          <w:sz w:val="14"/>
          <w:szCs w:val="14"/>
          <w:color w:val="auto"/>
        </w:rPr>
        <w:t>Chief Executive Officer and other members of senior management. We survey our employees each year to measure their level of engagement at the Company. Our employee engagement scores have remained relatively steady over the past three years. These surveys provide rich feedback each year that helps us to continue to grow our culture and make Geron a great place to work.</w:t>
      </w:r>
    </w:p>
    <w:p>
      <w:pPr>
        <w:spacing w:after="0" w:line="1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Health, Wellness and Safety</w:t>
      </w:r>
    </w:p>
    <w:p>
      <w:pPr>
        <w:spacing w:after="0" w:line="208"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We offer benefits that promote our employees’ whole health and wellness, including reimbursement for certain wellness costs, external support from our employee assistance programs and mental wellness services, which covers therapy and/or coaching for our employees and their dependents, including high school and college-aged children.</w:t>
      </w:r>
    </w:p>
    <w:p>
      <w:pPr>
        <w:spacing w:after="0" w:line="168" w:lineRule="exact"/>
        <w:rPr>
          <w:sz w:val="20"/>
          <w:szCs w:val="20"/>
          <w:color w:val="auto"/>
        </w:rPr>
      </w:pPr>
    </w:p>
    <w:p>
      <w:pPr>
        <w:ind w:left="960" w:right="1199" w:firstLine="902"/>
        <w:spacing w:after="0" w:line="292" w:lineRule="auto"/>
        <w:rPr>
          <w:sz w:val="20"/>
          <w:szCs w:val="20"/>
          <w:color w:val="auto"/>
        </w:rPr>
      </w:pPr>
      <w:r>
        <w:rPr>
          <w:rFonts w:ascii="Times New Roman" w:cs="Times New Roman" w:eastAsia="Times New Roman" w:hAnsi="Times New Roman"/>
          <w:sz w:val="14"/>
          <w:szCs w:val="14"/>
          <w:color w:val="auto"/>
        </w:rPr>
        <w:t>None of our employees is subject to a collective bargaining agreement or represented by a trade or labor union. We consider our relations with our employees to be good.</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Corporate and Available Information</w:t>
      </w:r>
    </w:p>
    <w:p>
      <w:pPr>
        <w:spacing w:after="0" w:line="185" w:lineRule="exact"/>
        <w:rPr>
          <w:sz w:val="20"/>
          <w:szCs w:val="20"/>
          <w:color w:val="auto"/>
        </w:rPr>
      </w:pPr>
    </w:p>
    <w:p>
      <w:pPr>
        <w:ind w:left="960" w:right="1099" w:firstLine="902"/>
        <w:spacing w:after="0" w:line="268" w:lineRule="auto"/>
        <w:rPr>
          <w:sz w:val="20"/>
          <w:szCs w:val="20"/>
          <w:color w:val="auto"/>
        </w:rPr>
      </w:pPr>
      <w:r>
        <w:rPr>
          <w:rFonts w:ascii="Times New Roman" w:cs="Times New Roman" w:eastAsia="Times New Roman" w:hAnsi="Times New Roman"/>
          <w:sz w:val="14"/>
          <w:szCs w:val="14"/>
          <w:color w:val="auto"/>
        </w:rPr>
        <w:t>Geron Corporation was incorporated in the State of Delaware on November 28, 1990. Geron UK Limited was incorporated in the United Kingdom on September 29, 2021. Geron Netherlands B.V. was incorporated in the Netherlands on February 17, 2023. Our principal executive offices are located at 919 E. Hillsdale Blvd., Suite 250, Foster City, CA 94404, and our telephone number is 650-473-7700. Our website address is http://www.geron.com.</w:t>
      </w:r>
    </w:p>
    <w:p>
      <w:pPr>
        <w:spacing w:after="0" w:line="140" w:lineRule="exact"/>
        <w:rPr>
          <w:sz w:val="20"/>
          <w:szCs w:val="20"/>
          <w:color w:val="auto"/>
        </w:rPr>
      </w:pPr>
    </w:p>
    <w:p>
      <w:pPr>
        <w:ind w:left="960" w:right="1019" w:firstLine="902"/>
        <w:spacing w:after="0" w:line="274" w:lineRule="auto"/>
        <w:rPr>
          <w:sz w:val="20"/>
          <w:szCs w:val="20"/>
          <w:color w:val="auto"/>
        </w:rPr>
      </w:pPr>
      <w:r>
        <w:rPr>
          <w:rFonts w:ascii="Times New Roman" w:cs="Times New Roman" w:eastAsia="Times New Roman" w:hAnsi="Times New Roman"/>
          <w:sz w:val="14"/>
          <w:szCs w:val="14"/>
          <w:color w:val="auto"/>
        </w:rPr>
        <w:t>We file or furnish electronically with the U.S. Securities and Exchange Commission, or the SEC, annual reports on Form 10-K, quarterly reports on Form 10-Q, current reports on Form 8-K and amendments to those reports filed or furnished pursuant to Section 13(a) or 15(d) of the Securities Exchange Act of 1934, as amended, or the Exchange Act.</w:t>
      </w:r>
    </w:p>
    <w:p>
      <w:pPr>
        <w:sectPr>
          <w:pgSz w:w="11900" w:h="16838" w:orient="portrait"/>
          <w:cols w:equalWidth="0" w:num="1">
            <w:col w:w="9019"/>
          </w:cols>
          <w:pgMar w:left="1440" w:top="286" w:right="1440" w:bottom="0" w:gutter="0" w:footer="0" w:header="0"/>
        </w:sectPr>
      </w:pPr>
    </w:p>
    <w:bookmarkStart w:id="19" w:name="page20"/>
    <w:bookmarkEnd w:id="19"/>
    <w:p>
      <w:pPr>
        <w:ind w:left="960" w:right="999" w:firstLine="902"/>
        <w:spacing w:after="0" w:line="194" w:lineRule="auto"/>
        <w:rPr>
          <w:sz w:val="20"/>
          <w:szCs w:val="20"/>
          <w:color w:val="auto"/>
        </w:rPr>
      </w:pPr>
      <w:r>
        <w:rPr>
          <w:rFonts w:ascii="Times New Roman" w:cs="Times New Roman" w:eastAsia="Times New Roman" w:hAnsi="Times New Roman"/>
          <w:sz w:val="14"/>
          <w:szCs w:val="14"/>
          <w:color w:val="auto"/>
        </w:rPr>
        <w:t>We make copies of these reports available free of charge through the “SEC Filings” tab on the “Investors &amp; Media” page of our website as soon as reasonably practicable after we file or furnish them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-147955</wp:posOffset>
            </wp:positionV>
            <wp:extent cx="5584190" cy="3957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3957955"/>
                    </a:xfrm>
                    <a:prstGeom prst="rect">
                      <a:avLst/>
                    </a:prstGeom>
                    <a:noFill/>
                  </pic:spPr>
                </pic:pic>
              </a:graphicData>
            </a:graphic>
          </wp:anchor>
        </w:drawing>
      </w:r>
    </w:p>
    <w:p>
      <w:pPr>
        <w:spacing w:after="0" w:line="139" w:lineRule="exact"/>
        <w:rPr>
          <w:sz w:val="20"/>
          <w:szCs w:val="20"/>
          <w:color w:val="auto"/>
        </w:rPr>
      </w:pPr>
    </w:p>
    <w:p>
      <w:pPr>
        <w:ind w:left="960" w:right="1019" w:firstLine="902"/>
        <w:spacing w:after="0" w:line="274" w:lineRule="auto"/>
        <w:rPr>
          <w:sz w:val="20"/>
          <w:szCs w:val="20"/>
          <w:color w:val="auto"/>
        </w:rPr>
      </w:pPr>
      <w:r>
        <w:rPr>
          <w:rFonts w:ascii="Times New Roman" w:cs="Times New Roman" w:eastAsia="Times New Roman" w:hAnsi="Times New Roman"/>
          <w:sz w:val="14"/>
          <w:szCs w:val="14"/>
          <w:color w:val="auto"/>
        </w:rPr>
        <w:t>Information contained on or accessible through our website is not incorporated into, and does not form a part of, this Report or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278" w:lineRule="exact"/>
        <w:rPr>
          <w:sz w:val="20"/>
          <w:szCs w:val="20"/>
          <w:color w:val="auto"/>
        </w:rPr>
      </w:pPr>
    </w:p>
    <w:p>
      <w:pPr>
        <w:ind w:left="96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183"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i w:val="1"/>
          <w:iCs w:val="1"/>
          <w:color w:val="auto"/>
        </w:rPr>
        <w:t>We operate in a dynamic and rapidly changing environment involving numerous risks and uncertainties that may have a material adverse effect on our business, financial condition or results of operations. You should carefully consider the risks and uncertainties described below, together with all of the other information included in this Report.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RISKS RELATED TO THE COMMERCIALIZATION OF RYTELO</w:t>
      </w:r>
    </w:p>
    <w:p>
      <w:pPr>
        <w:spacing w:after="0" w:line="181" w:lineRule="exact"/>
        <w:rPr>
          <w:sz w:val="20"/>
          <w:szCs w:val="20"/>
          <w:color w:val="auto"/>
        </w:rPr>
      </w:pPr>
    </w:p>
    <w:p>
      <w:pPr>
        <w:ind w:left="960" w:right="10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spacing w:after="0" w:line="139"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In June 2024, we received FDA approval to commercialize RYTELO in the U.S. for certain patients with lower-risk MDS, and we initiated a commercial launch of RYTELO in the U.S. in that indication. While we have generated revenue from U.S. sales of RYTELO since mid-2024, the commercialization of RYTELO marks our first effort to commercially launch a product candidate, and our ability to grow revenue on a sustained basis has not yet been proven. RYTELO is our only product approved for marketing by the FDA, and our ability to generate meaningful revenue from product sales and achieve profitability is wholly dependent on our ability to successfully commercialize RYTELO in the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6494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64947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99"/>
        <w:spacing w:after="0" w:line="292" w:lineRule="auto"/>
        <w:rPr>
          <w:sz w:val="20"/>
          <w:szCs w:val="20"/>
          <w:color w:val="auto"/>
        </w:rPr>
      </w:pPr>
      <w:r>
        <w:rPr>
          <w:rFonts w:ascii="Times New Roman" w:cs="Times New Roman" w:eastAsia="Times New Roman" w:hAnsi="Times New Roman"/>
          <w:sz w:val="14"/>
          <w:szCs w:val="14"/>
          <w:color w:val="auto"/>
        </w:rPr>
        <w:t>U.S. for lower-risk MDS or to expand its indications of use. We may not be able to successfully commercialize RYTELO for a number of reasons, including:</w:t>
      </w:r>
    </w:p>
    <w:p>
      <w:pPr>
        <w:spacing w:after="0" w:line="124" w:lineRule="exact"/>
        <w:rPr>
          <w:sz w:val="20"/>
          <w:szCs w:val="20"/>
          <w:color w:val="auto"/>
        </w:rPr>
      </w:pPr>
    </w:p>
    <w:p>
      <w:pPr>
        <w:ind w:left="2760" w:right="1199" w:hanging="898"/>
        <w:spacing w:after="0" w:line="274"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establish or demonstrate in the medical community the safety and efficacy of RYTELO and its potential advantages over, and side effects compared to, existing treatments;</w:t>
      </w:r>
    </w:p>
    <w:p>
      <w:pPr>
        <w:spacing w:after="0" w:line="50" w:lineRule="exact"/>
        <w:rPr>
          <w:rFonts w:ascii="Times New Roman" w:cs="Times New Roman" w:eastAsia="Times New Roman" w:hAnsi="Times New Roman"/>
          <w:sz w:val="14"/>
          <w:szCs w:val="14"/>
          <w:color w:val="auto"/>
        </w:rPr>
      </w:pPr>
    </w:p>
    <w:p>
      <w:pPr>
        <w:ind w:left="2760" w:right="1239" w:hanging="898"/>
        <w:spacing w:after="0" w:line="292"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physicians may be reluctant to prescribe RYTELO until longer-term efficacy and safety data exists;</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historical experience in marketing, selling and distributing RYTELO;</w:t>
      </w:r>
    </w:p>
    <w:p>
      <w:pPr>
        <w:spacing w:after="0" w:line="96" w:lineRule="exact"/>
        <w:rPr>
          <w:rFonts w:ascii="Times New Roman" w:cs="Times New Roman" w:eastAsia="Times New Roman" w:hAnsi="Times New Roman"/>
          <w:sz w:val="14"/>
          <w:szCs w:val="14"/>
          <w:color w:val="auto"/>
        </w:rPr>
      </w:pPr>
    </w:p>
    <w:p>
      <w:pPr>
        <w:ind w:left="2760" w:right="1099" w:hanging="898"/>
        <w:spacing w:after="0" w:line="274"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increase physician adoption of RYTELO through our commercialization strategy and plans, including any potential amendments or adjustments to those plans;</w:t>
      </w:r>
    </w:p>
    <w:p>
      <w:pPr>
        <w:spacing w:after="0" w:line="50" w:lineRule="exact"/>
        <w:rPr>
          <w:rFonts w:ascii="Times New Roman" w:cs="Times New Roman" w:eastAsia="Times New Roman" w:hAnsi="Times New Roman"/>
          <w:sz w:val="14"/>
          <w:szCs w:val="14"/>
          <w:color w:val="auto"/>
        </w:rPr>
      </w:pPr>
    </w:p>
    <w:p>
      <w:pPr>
        <w:jc w:val="both"/>
        <w:ind w:left="2760" w:right="1119" w:hanging="898"/>
        <w:spacing w:after="0" w:line="274"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achieve and maintain revenue growth in the near future under our current commercialization strategy and plans or any potential further amendments or adjustments thereto;</w:t>
      </w:r>
    </w:p>
    <w:p>
      <w:pPr>
        <w:spacing w:after="0" w:line="50" w:lineRule="exact"/>
        <w:rPr>
          <w:rFonts w:ascii="Times New Roman" w:cs="Times New Roman" w:eastAsia="Times New Roman" w:hAnsi="Times New Roman"/>
          <w:sz w:val="14"/>
          <w:szCs w:val="14"/>
          <w:color w:val="auto"/>
        </w:rPr>
      </w:pPr>
    </w:p>
    <w:p>
      <w:pPr>
        <w:ind w:left="2760" w:right="1239" w:hanging="898"/>
        <w:spacing w:after="0" w:line="274"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future changes in the reimbursement and coverage policies of government and private payors such as Medicare, Medicaid, insurance companies, health maintenance organizations and other plan administrators;</w:t>
      </w:r>
    </w:p>
    <w:p>
      <w:pPr>
        <w:spacing w:after="0" w:line="50" w:lineRule="exact"/>
        <w:rPr>
          <w:rFonts w:ascii="Times New Roman" w:cs="Times New Roman" w:eastAsia="Times New Roman" w:hAnsi="Times New Roman"/>
          <w:sz w:val="14"/>
          <w:szCs w:val="14"/>
          <w:color w:val="auto"/>
        </w:rPr>
      </w:pPr>
    </w:p>
    <w:p>
      <w:pPr>
        <w:ind w:left="2760" w:right="1019" w:hanging="898"/>
        <w:spacing w:after="0" w:line="274"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position of RYTELO as compared to alternative treatment options in healthcare guidelines and recommendations, such as those developed the National Comprehensive Cancer Network, or NCCN, and similar guidelines and recommendations outside the U.S.;</w:t>
      </w:r>
    </w:p>
    <w:p>
      <w:pPr>
        <w:spacing w:after="0" w:line="50"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price of RYTELO as compared to alternative treatment options;</w:t>
      </w:r>
    </w:p>
    <w:p>
      <w:pPr>
        <w:spacing w:after="0" w:line="96" w:lineRule="exact"/>
        <w:rPr>
          <w:rFonts w:ascii="Times New Roman" w:cs="Times New Roman" w:eastAsia="Times New Roman" w:hAnsi="Times New Roman"/>
          <w:sz w:val="14"/>
          <w:szCs w:val="14"/>
          <w:color w:val="auto"/>
        </w:rPr>
      </w:pPr>
    </w:p>
    <w:p>
      <w:pPr>
        <w:ind w:left="2760" w:right="1079" w:hanging="898"/>
        <w:spacing w:after="0" w:line="292"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relatively low incidence and prevalence of patients in RYTELO’s approved indication, including the reliability of our market and sales estimates;</w:t>
      </w:r>
    </w:p>
    <w:p>
      <w:pPr>
        <w:spacing w:after="0" w:line="37" w:lineRule="exact"/>
        <w:rPr>
          <w:rFonts w:ascii="Times New Roman" w:cs="Times New Roman" w:eastAsia="Times New Roman" w:hAnsi="Times New Roman"/>
          <w:sz w:val="14"/>
          <w:szCs w:val="14"/>
          <w:color w:val="auto"/>
        </w:rPr>
      </w:pPr>
    </w:p>
    <w:p>
      <w:pPr>
        <w:ind w:left="2760" w:right="1139" w:hanging="898"/>
        <w:spacing w:after="0" w:line="292"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penetration rate of RYTELO across the breadth of eligible patient segments in its approved indication may continue to be lower than our expectations;</w:t>
      </w:r>
    </w:p>
    <w:p>
      <w:pPr>
        <w:spacing w:after="0" w:line="37" w:lineRule="exact"/>
        <w:rPr>
          <w:rFonts w:ascii="Times New Roman" w:cs="Times New Roman" w:eastAsia="Times New Roman" w:hAnsi="Times New Roman"/>
          <w:sz w:val="14"/>
          <w:szCs w:val="14"/>
          <w:color w:val="auto"/>
        </w:rPr>
      </w:pPr>
    </w:p>
    <w:p>
      <w:pPr>
        <w:ind w:left="2760" w:right="1119" w:hanging="898"/>
        <w:spacing w:after="0" w:line="292"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projections regarding the market opportunities for RYTELO may not be accurate, and the actual market for RYTELO may be smaller than we estimate;</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competitive or other market factors may adversely affect the commercial potential of</w:t>
      </w:r>
    </w:p>
    <w:p>
      <w:pPr>
        <w:spacing w:after="0" w:line="24" w:lineRule="exact"/>
        <w:rPr>
          <w:rFonts w:ascii="Times New Roman" w:cs="Times New Roman" w:eastAsia="Times New Roman" w:hAnsi="Times New Roman"/>
          <w:sz w:val="14"/>
          <w:szCs w:val="14"/>
          <w:color w:val="auto"/>
        </w:rPr>
      </w:pPr>
    </w:p>
    <w:p>
      <w:pPr>
        <w:ind w:left="2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RYTELO;</w:t>
      </w:r>
    </w:p>
    <w:p>
      <w:pPr>
        <w:spacing w:after="0" w:line="83" w:lineRule="exact"/>
        <w:rPr>
          <w:rFonts w:ascii="Times New Roman" w:cs="Times New Roman" w:eastAsia="Times New Roman" w:hAnsi="Times New Roman"/>
          <w:sz w:val="14"/>
          <w:szCs w:val="14"/>
          <w:color w:val="auto"/>
        </w:rPr>
      </w:pPr>
    </w:p>
    <w:p>
      <w:pPr>
        <w:jc w:val="both"/>
        <w:ind w:left="2760" w:right="1059" w:hanging="898"/>
        <w:spacing w:after="0" w:line="274"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obtain and maintain regulatory approvals for RYTELO in any other jurisdictions for lower-risk MDS or for any other indications, including relapsed/refractory MF;</w:t>
      </w:r>
    </w:p>
    <w:p>
      <w:pPr>
        <w:spacing w:after="0" w:line="50"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changed or increased regulatory restrictions;</w:t>
      </w:r>
    </w:p>
    <w:p>
      <w:pPr>
        <w:spacing w:after="0" w:line="96" w:lineRule="exact"/>
        <w:rPr>
          <w:rFonts w:ascii="Times New Roman" w:cs="Times New Roman" w:eastAsia="Times New Roman" w:hAnsi="Times New Roman"/>
          <w:sz w:val="14"/>
          <w:szCs w:val="14"/>
          <w:color w:val="auto"/>
        </w:rPr>
      </w:pPr>
    </w:p>
    <w:p>
      <w:pPr>
        <w:ind w:left="2760" w:right="1119" w:hanging="898"/>
        <w:spacing w:after="0" w:line="274"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label for RYTELO that further restrict how we market and sell RYTELO, including adverse events observed in ongoing and future studies of imetelstat, such as our Phase 3 IMpactMF clinical trial;</w:t>
      </w:r>
    </w:p>
    <w:p>
      <w:pPr>
        <w:spacing w:after="0" w:line="50" w:lineRule="exact"/>
        <w:rPr>
          <w:rFonts w:ascii="Times New Roman" w:cs="Times New Roman" w:eastAsia="Times New Roman" w:hAnsi="Times New Roman"/>
          <w:sz w:val="14"/>
          <w:szCs w:val="14"/>
          <w:color w:val="auto"/>
        </w:rPr>
      </w:pPr>
    </w:p>
    <w:p>
      <w:pPr>
        <w:ind w:left="2760" w:right="1459" w:hanging="898"/>
        <w:spacing w:after="0" w:line="292"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capabilities of third party manufacturers may adversely affect the success of our commercialization of RYTELO;</w:t>
      </w:r>
    </w:p>
    <w:p>
      <w:pPr>
        <w:spacing w:after="0" w:line="37" w:lineRule="exact"/>
        <w:rPr>
          <w:rFonts w:ascii="Times New Roman" w:cs="Times New Roman" w:eastAsia="Times New Roman" w:hAnsi="Times New Roman"/>
          <w:sz w:val="14"/>
          <w:szCs w:val="14"/>
          <w:color w:val="auto"/>
        </w:rPr>
      </w:pPr>
    </w:p>
    <w:p>
      <w:pPr>
        <w:ind w:left="2760" w:right="1279" w:hanging="898"/>
        <w:spacing w:after="0" w:line="292"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additional financial or other resources that might not be available to us to successfully commercialize RYTELO; and</w:t>
      </w:r>
    </w:p>
    <w:p>
      <w:pPr>
        <w:spacing w:after="0" w:line="37" w:lineRule="exact"/>
        <w:rPr>
          <w:rFonts w:ascii="Times New Roman" w:cs="Times New Roman" w:eastAsia="Times New Roman" w:hAnsi="Times New Roman"/>
          <w:sz w:val="14"/>
          <w:szCs w:val="14"/>
          <w:color w:val="auto"/>
        </w:rPr>
      </w:pPr>
    </w:p>
    <w:p>
      <w:pPr>
        <w:ind w:left="2760" w:right="999" w:hanging="898"/>
        <w:spacing w:after="0" w:line="292" w:lineRule="auto"/>
        <w:tabs>
          <w:tab w:leader="none" w:pos="2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maintain adequate commercial supplies of RYTELO to meet demand or at an acceptable cost or at all.</w:t>
      </w:r>
    </w:p>
    <w:p>
      <w:pPr>
        <w:spacing w:after="0" w:line="38" w:lineRule="exact"/>
        <w:rPr>
          <w:sz w:val="20"/>
          <w:szCs w:val="20"/>
          <w:color w:val="auto"/>
        </w:rPr>
      </w:pPr>
    </w:p>
    <w:p>
      <w:pPr>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Moreover, commercialization of RYTELO may not generate sufficient revenue from product sales, and we may not become profitable in the near term, or at all. In any event, if we are unable to successfully commercialize RYTELO in the U.S. for lower-risk MDS, or to expand its indications of use, our ability to generate meaningful revenue</w:t>
      </w:r>
    </w:p>
    <w:p>
      <w:pPr>
        <w:sectPr>
          <w:pgSz w:w="11900" w:h="16838" w:orient="portrait"/>
          <w:cols w:equalWidth="0" w:num="1">
            <w:col w:w="9019"/>
          </w:cols>
          <w:pgMar w:left="1440" w:top="114" w:right="1440" w:bottom="0" w:gutter="0" w:footer="0" w:header="0"/>
        </w:sectPr>
      </w:pPr>
    </w:p>
    <w:bookmarkStart w:id="20" w:name="page21"/>
    <w:bookmarkEnd w:id="20"/>
    <w:p>
      <w:pPr>
        <w:ind w:left="960" w:right="1219"/>
        <w:spacing w:after="0" w:line="183" w:lineRule="auto"/>
        <w:rPr>
          <w:sz w:val="20"/>
          <w:szCs w:val="20"/>
          <w:color w:val="auto"/>
        </w:rPr>
      </w:pPr>
      <w:r>
        <w:rPr>
          <w:rFonts w:ascii="Times New Roman" w:cs="Times New Roman" w:eastAsia="Times New Roman" w:hAnsi="Times New Roman"/>
          <w:sz w:val="10"/>
          <w:szCs w:val="10"/>
          <w:color w:val="auto"/>
        </w:rPr>
        <w:t>from product sales and achieve profitabil</w:t>
      </w:r>
      <w:r>
        <w:rPr>
          <w:rFonts w:ascii="Times New Roman" w:cs="Times New Roman" w:eastAsia="Times New Roman" w:hAnsi="Times New Roman"/>
          <w:sz w:val="16"/>
          <w:szCs w:val="16"/>
          <w:color w:val="auto"/>
          <w:vertAlign w:val="superscript"/>
        </w:rPr>
        <w:t>i</w:t>
      </w:r>
      <w:r>
        <w:rPr>
          <w:rFonts w:ascii="Times New Roman" w:cs="Times New Roman" w:eastAsia="Times New Roman" w:hAnsi="Times New Roman"/>
          <w:sz w:val="10"/>
          <w:szCs w:val="10"/>
          <w:color w:val="auto"/>
        </w:rPr>
        <w:t>ty will be materially and adversely affected, which in turn would severely and adversely affect our financial results, bus ness and business prospects, and might cause us to cease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-127635</wp:posOffset>
            </wp:positionV>
            <wp:extent cx="5584190" cy="718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71882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right="10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Although we have established commercial operations and sales, marketing and distribution infrastructure for RYTELO in the U.S., our commercialization strategy may ultimately be unsuccessful or less successful than anticipated</w:t>
      </w:r>
    </w:p>
    <w:p>
      <w:pPr>
        <w:spacing w:after="0" w:line="120" w:lineRule="exact"/>
        <w:rPr>
          <w:sz w:val="20"/>
          <w:szCs w:val="20"/>
          <w:color w:val="auto"/>
        </w:rPr>
      </w:pPr>
    </w:p>
    <w:p>
      <w:pPr>
        <w:ind w:left="960" w:right="979" w:firstLine="902"/>
        <w:spacing w:after="0" w:line="257" w:lineRule="auto"/>
        <w:rPr>
          <w:sz w:val="20"/>
          <w:szCs w:val="20"/>
          <w:color w:val="auto"/>
        </w:rPr>
      </w:pPr>
      <w:r>
        <w:rPr>
          <w:rFonts w:ascii="Times New Roman" w:cs="Times New Roman" w:eastAsia="Times New Roman" w:hAnsi="Times New Roman"/>
          <w:sz w:val="14"/>
          <w:szCs w:val="14"/>
          <w:color w:val="auto"/>
        </w:rPr>
        <w:t>As a company, we have limited prior experience in selling and marketing or commercializing an approved drug product in the U.S., and we have no experience selling, marketing or commercializing an approved drug outside of the U.S. The success of our commercialization efforts is subject to, among other things, managing our internal sales, marketing, and distribution capabilities and our ability to navigate the significant expenses and risks involved with the management of such capabilities. Our initial commercialization efforts in the U.S. have not to date achieved meaningful sales growth. Our RYTELO sales trends and resulting revenue have been and may continue to be variable. Net product revenue was approximately $48.0 million in the fourth quarter of 2025, $47.2 million in the third quarter of 2025, and $49.0 million in the second quarter of 2025. In an effort to better execute on our plans to commercialize RYTELO and generate more meaningful product revenue, we decided to focus our commercial execution on targeted engagement with high-volume accounts that treat earlier-line patients, and invest in non-personal promotion and third-party education to reach the full breath of the eligible patient population, while cross-functionally collaborating for effective account management. However, our revised strategy to drive RYTELO commercial growth may still not achieve meaningful sales growth, which may require us to, among other things, further adjust or amend our commercialization strategy and plans and incur significant expenses, and there can be no assurance that we will be able to meet or grow projected RYTELO net product revenue in future periods. In particular, our strategy may not drive new patient starts in lower-risk MDS U.S. patients, particularly in second-line lower-risk MDS, in a timely manner or at all, or the duration of therapy could be shorter than we expect, each of which would limit RYTELO's growth potential and could preclude or delay our ability to generate meaningful revenue from product sales and to achieve profitability. If we are unsuccessful in accomplishing our objectives from our commercialization efforts and strategy, we may not be able to generate meaningful revenue from the commercialization of RYTELO in lower-risk MDS, or may require significant additional capital and financial resources to do make further investment in our commercial operations. Any of these outcomes would severely and adversely affect our financial results, business and business prospects, and might cause us to cease operations.</w:t>
      </w:r>
    </w:p>
    <w:p>
      <w:pPr>
        <w:spacing w:after="0" w:line="159"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In December 2025, we announced a strategic restructuring plan designed to position us for long-term value creation and improve our financial discipline. However, there can be no assurance that our recent restructuring will result in long-term value creation or that our commercialization strategy will result in meaningful improvement in our sales performance. Additionally, we may determine that we need further changes in the future that require additional hiring or other organizational changes to adequately support our strategy, which could further increase our costs. As such, we continue to compete with many companies that currently have extensive, experienced and well-funded sales, distribution and marketing operations to recruit, hire, train and retain marketing and sales personnel. If we are unable to recruit, retain and effectively train marketing, sales and medical personnel as needed and equip them with compliant and effective materials, our efforts to successfully commercialize RYTELO could be adversely affected.</w:t>
      </w:r>
    </w:p>
    <w:p>
      <w:pPr>
        <w:spacing w:after="0" w:line="149"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Further, although we received marketing authorization for RYTELO in the EU for the treatment of certain adult patients with TD anemia due to lower-risk MDS in March 2025, we currently have no marketing or sales organization outside of the U.S., and as a company, we have no experience selling and marketing approved drugs outside of the U.S. To successfully commercialize RYTELO in the EU or in any other regions outside the U.S. where we might seek marketing authorization in the future, we will need to develop these capabilities, which we plan to do at this time by working with experienced third-party contractors or commercialization partners. Doing so will require additional investment of capital and time. We currently intend to seek contractual arrangements, strategic partnerships, collaborations, alliances or licensing arrangements with third parties to assist us in the commercialization of RYTELO in the EU and in any other regions outside of the U.S. Any failure or delay in entering into and conducting such contractual arrangements, strategic partnerships, collaborations, alliances or licensing arrangements with third parties would adversely impact the commercialization of RYTELO in the EU or in any other regions outside the U.S. where RYTELO may be approved for marketing in the future.</w:t>
      </w:r>
    </w:p>
    <w:p>
      <w:pPr>
        <w:spacing w:after="0" w:line="319" w:lineRule="exact"/>
        <w:rPr>
          <w:sz w:val="20"/>
          <w:szCs w:val="20"/>
          <w:color w:val="auto"/>
        </w:rPr>
      </w:pPr>
    </w:p>
    <w:p>
      <w:pPr>
        <w:ind w:left="960" w:right="10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do not maintain acceptable prices or adequate reimbursement for RYTELO, the use of RYTELO could be severely limited.</w:t>
      </w:r>
    </w:p>
    <w:p>
      <w:pPr>
        <w:spacing w:after="0" w:line="120" w:lineRule="exact"/>
        <w:rPr>
          <w:sz w:val="20"/>
          <w:szCs w:val="20"/>
          <w:color w:val="auto"/>
        </w:rPr>
      </w:pPr>
    </w:p>
    <w:p>
      <w:pPr>
        <w:ind w:left="960" w:right="1059" w:firstLine="902"/>
        <w:spacing w:after="0" w:line="263" w:lineRule="auto"/>
        <w:rPr>
          <w:sz w:val="20"/>
          <w:szCs w:val="20"/>
          <w:color w:val="auto"/>
        </w:rPr>
      </w:pPr>
      <w:r>
        <w:rPr>
          <w:rFonts w:ascii="Times New Roman" w:cs="Times New Roman" w:eastAsia="Times New Roman" w:hAnsi="Times New Roman"/>
          <w:sz w:val="14"/>
          <w:szCs w:val="14"/>
          <w:color w:val="auto"/>
        </w:rPr>
        <w:t>Our ability to successfully commercialize RYTELO will depend significantly on maintaining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The resulting reimbursement payment rates may not be adequate or may require significant restrictions on use or increased co-payments from commercially insured patients that patients may find unacceptably high. Patients are unlikely to use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2451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24511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RYTELO unless coverage is provided, and reimbursement is adequate to cover all or a significant portion of its cost.</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Therefore, coverage and adequate reimbursement are critical to market acceptance of RYTELO.</w:t>
      </w:r>
    </w:p>
    <w:p>
      <w:pPr>
        <w:spacing w:after="0" w:line="169"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 this Report.</w:t>
      </w:r>
    </w:p>
    <w:p>
      <w:pPr>
        <w:spacing w:after="0" w:line="149"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w:t>
      </w:r>
    </w:p>
    <w:p>
      <w:pPr>
        <w:sectPr>
          <w:pgSz w:w="11900" w:h="16838" w:orient="portrait"/>
          <w:cols w:equalWidth="0" w:num="1">
            <w:col w:w="9019"/>
          </w:cols>
          <w:pgMar w:left="1440" w:top="114" w:right="1440" w:bottom="0" w:gutter="0" w:footer="0" w:header="0"/>
        </w:sectPr>
      </w:pPr>
    </w:p>
    <w:bookmarkStart w:id="21" w:name="page22"/>
    <w:bookmarkEnd w:id="21"/>
    <w:p>
      <w:pPr>
        <w:ind w:left="960" w:right="1059"/>
        <w:spacing w:after="0" w:line="192" w:lineRule="auto"/>
        <w:rPr>
          <w:sz w:val="20"/>
          <w:szCs w:val="20"/>
          <w:color w:val="auto"/>
        </w:rPr>
      </w:pPr>
      <w:r>
        <w:rPr>
          <w:rFonts w:ascii="Times New Roman" w:cs="Times New Roman" w:eastAsia="Times New Roman" w:hAnsi="Times New Roman"/>
          <w:sz w:val="13"/>
          <w:szCs w:val="13"/>
          <w:color w:val="auto"/>
        </w:rPr>
        <w:t>products. The Inflation Reduction Act of 2022 includes several provisions to lower prescription drug costs for people with Medicare and reduce drug spending by the federal government, including the Medicare Drug Price Negotiation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-134620</wp:posOffset>
            </wp:positionV>
            <wp:extent cx="5584190" cy="4763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4763135"/>
                    </a:xfrm>
                    <a:prstGeom prst="rect">
                      <a:avLst/>
                    </a:prstGeom>
                    <a:noFill/>
                  </pic:spPr>
                </pic:pic>
              </a:graphicData>
            </a:graphic>
          </wp:anchor>
        </w:drawing>
      </w:r>
    </w:p>
    <w:p>
      <w:pPr>
        <w:ind w:left="960" w:right="959"/>
        <w:spacing w:after="0" w:line="258" w:lineRule="auto"/>
        <w:rPr>
          <w:sz w:val="20"/>
          <w:szCs w:val="20"/>
          <w:color w:val="auto"/>
        </w:rPr>
      </w:pPr>
      <w:r>
        <w:rPr>
          <w:rFonts w:ascii="Times New Roman" w:cs="Times New Roman" w:eastAsia="Times New Roman" w:hAnsi="Times New Roman"/>
          <w:sz w:val="14"/>
          <w:szCs w:val="14"/>
          <w:color w:val="auto"/>
        </w:rPr>
        <w:t>which may ultimately have a negative effect on the pricing for RYTELO. However, the Medicare Drug Pricing Negotiation Program provisions of the law are currently subject to legal challenges. Further, the final CY 2026 Medicare Physician Fee Schedule rule, issued by the Centers for Medicare &amp; Medicaid Services, among other things, increases bona fide service fee documentation requirements, defines “bundled arrangement,” to require “unbundling” of both contingent and non-contingent discounts and includes sales of Part B units at the Maximum Fair Price in average sales price calculations. These changes could lower reimbursement for Medicare Part B utilization and require manufacturers to comply with new, uncertain or complex reporting obligations and drug pricing documentation practices.</w:t>
      </w:r>
    </w:p>
    <w:p>
      <w:pPr>
        <w:spacing w:after="0" w:line="149"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Further, no uniform policy requirement for coverage and reimbursement for drug products exists among third-party payors in the U.S. As a result, the coverage determination process is often time-consuming and costly, and it will require us to provide scientific and clinical support for the use of RYTELO to each payor separately, with no assurance that coverage and adequate reimbursement will be applied consistently or obtained in the first instance.</w:t>
      </w:r>
    </w:p>
    <w:p>
      <w:pPr>
        <w:spacing w:after="0" w:line="140" w:lineRule="exact"/>
        <w:rPr>
          <w:sz w:val="20"/>
          <w:szCs w:val="20"/>
          <w:color w:val="auto"/>
        </w:rPr>
      </w:pPr>
    </w:p>
    <w:p>
      <w:pPr>
        <w:ind w:left="960" w:right="1039" w:firstLine="902"/>
        <w:spacing w:after="0" w:line="260" w:lineRule="auto"/>
        <w:rPr>
          <w:sz w:val="20"/>
          <w:szCs w:val="20"/>
          <w:color w:val="auto"/>
        </w:rPr>
      </w:pPr>
      <w:r>
        <w:rPr>
          <w:rFonts w:ascii="Times New Roman" w:cs="Times New Roman" w:eastAsia="Times New Roman" w:hAnsi="Times New Roman"/>
          <w:sz w:val="14"/>
          <w:szCs w:val="14"/>
          <w:color w:val="auto"/>
        </w:rPr>
        <w:t>Although we have received a permanent and product-specific J-Code (J0870) for RYTELO which became effective on January 1, 2025, coverage may significantly change or may be more limited than the indications for which the drug is approved by the FDA or similar international regulatory authorities. Coverage and reimbursement may impact the demand for, or the price of RYTELO, and reimbursement policies in the U.S., the EU, and other jurisdictions may evolve which may adversely impact our ability to successfully commercialize RYTELO. Even if favorable coverage and reimbursement status is attained for one or more products for which we receive regulatory approval, less favorable coverage policies and reimbursement rates may be implemented in the future. If coverage and reimbursement are not available or the reimbursement amount is inadequate, we may not be able to successfully commercialize RYTELO, which would negatively impact our business and business prospects.</w:t>
      </w:r>
    </w:p>
    <w:p>
      <w:pPr>
        <w:spacing w:after="0" w:line="149"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If future legislation were to impose direct governmental price controls and access restrictions, it could have a significant adverse impact on our business and financial results. Managed care organizations, as well as Medicaid and other government authorities,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sales of RYTELO in the U.S., the EU, and in any other jurisdictions where we may seek approval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690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56902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right="10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To be commercially successful, RYTELO must be accepted by the healthcare community, which can be slow to adopt or unreceptive to new technologies and products.</w:t>
      </w:r>
    </w:p>
    <w:p>
      <w:pPr>
        <w:spacing w:after="0" w:line="120" w:lineRule="exact"/>
        <w:rPr>
          <w:sz w:val="20"/>
          <w:szCs w:val="20"/>
          <w:color w:val="auto"/>
        </w:rPr>
      </w:pPr>
    </w:p>
    <w:p>
      <w:pPr>
        <w:ind w:left="960" w:right="1019" w:firstLine="902"/>
        <w:spacing w:after="0" w:line="260" w:lineRule="auto"/>
        <w:rPr>
          <w:sz w:val="20"/>
          <w:szCs w:val="20"/>
          <w:color w:val="auto"/>
        </w:rPr>
      </w:pPr>
      <w:r>
        <w:rPr>
          <w:rFonts w:ascii="Times New Roman" w:cs="Times New Roman" w:eastAsia="Times New Roman" w:hAnsi="Times New Roman"/>
          <w:sz w:val="14"/>
          <w:szCs w:val="14"/>
          <w:color w:val="auto"/>
        </w:rPr>
        <w:t>Our strategy to drive sales growth and our ongoing commercialization efforts has not to date achieved and may not in the future achieve the rate of market acceptance by the healthcare community or breadth of eligible patient segments that we expect, which may require us to, among others, further adjust or amend our commercialization strategy and plans and incur significant expenses, and there can be no assurance that we will be able to grow RYTELO net product revenue in future periods. While our current priority is to drive new patient starts across appropriate second-line patients in RYTELO's approved indication, we may be unable to do so in a timely manner or at all, which would limit RYTELO's growth potential and which could delay or preclude our ability to generate meaningful revenue from product sales and to achieve profitability. Furthermore, RYTELO competes with a number of conventional and widely accepted drugs and therapies manufactured and marketed by major pharmaceutical companies. The degree of market acceptance of RYTELO depends on a number of factors, including:</w:t>
      </w:r>
    </w:p>
    <w:p>
      <w:pPr>
        <w:spacing w:after="0" w:line="146" w:lineRule="exact"/>
        <w:rPr>
          <w:sz w:val="20"/>
          <w:szCs w:val="20"/>
          <w:color w:val="auto"/>
        </w:rPr>
      </w:pPr>
    </w:p>
    <w:p>
      <w:pPr>
        <w:ind w:left="2760" w:hanging="898"/>
        <w:spacing w:after="0"/>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RYTELO is or may in the future be approved;</w:t>
      </w:r>
    </w:p>
    <w:p>
      <w:pPr>
        <w:spacing w:after="0" w:line="96" w:lineRule="exact"/>
        <w:rPr>
          <w:rFonts w:ascii="Times New Roman" w:cs="Times New Roman" w:eastAsia="Times New Roman" w:hAnsi="Times New Roman"/>
          <w:sz w:val="14"/>
          <w:szCs w:val="14"/>
          <w:color w:val="auto"/>
        </w:rPr>
      </w:pPr>
    </w:p>
    <w:p>
      <w:pPr>
        <w:ind w:left="2760" w:right="1059" w:hanging="898"/>
        <w:spacing w:after="0" w:line="292"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and demonstration to the medical community of the clinical efficacy and safety of RYTELO;</w:t>
      </w:r>
    </w:p>
    <w:p>
      <w:pPr>
        <w:spacing w:after="0" w:line="37" w:lineRule="exact"/>
        <w:rPr>
          <w:rFonts w:ascii="Times New Roman" w:cs="Times New Roman" w:eastAsia="Times New Roman" w:hAnsi="Times New Roman"/>
          <w:sz w:val="14"/>
          <w:szCs w:val="14"/>
          <w:color w:val="auto"/>
        </w:rPr>
      </w:pPr>
    </w:p>
    <w:p>
      <w:pPr>
        <w:ind w:left="2760" w:right="979" w:hanging="898"/>
        <w:spacing w:after="0" w:line="292"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demonstrate that RYTELO is superior to alternatives on the market at the time, including with respect to efficacy, safety, cost or route of administration;</w:t>
      </w:r>
    </w:p>
    <w:p>
      <w:pPr>
        <w:spacing w:after="0" w:line="37" w:lineRule="exact"/>
        <w:rPr>
          <w:rFonts w:ascii="Times New Roman" w:cs="Times New Roman" w:eastAsia="Times New Roman" w:hAnsi="Times New Roman"/>
          <w:sz w:val="14"/>
          <w:szCs w:val="14"/>
          <w:color w:val="auto"/>
        </w:rPr>
      </w:pPr>
    </w:p>
    <w:p>
      <w:pPr>
        <w:ind w:left="2760" w:right="1159" w:hanging="898"/>
        <w:spacing w:after="0" w:line="292"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medical professionals to prescribe, and patients to use, RYTELO, or to continue to use RYTELO;</w:t>
      </w:r>
    </w:p>
    <w:p>
      <w:pPr>
        <w:spacing w:after="0" w:line="37" w:lineRule="exact"/>
        <w:rPr>
          <w:rFonts w:ascii="Times New Roman" w:cs="Times New Roman" w:eastAsia="Times New Roman" w:hAnsi="Times New Roman"/>
          <w:sz w:val="14"/>
          <w:szCs w:val="14"/>
          <w:color w:val="auto"/>
        </w:rPr>
      </w:pPr>
    </w:p>
    <w:p>
      <w:pPr>
        <w:ind w:left="2760" w:right="1039" w:hanging="898"/>
        <w:spacing w:after="0" w:line="292"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publication of favorable safety or efficacy data concerning RYTELO by third parties or us;</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use of RYTELO alone or in combination with other products;</w:t>
      </w:r>
    </w:p>
    <w:p>
      <w:pPr>
        <w:spacing w:after="0" w:line="96" w:lineRule="exact"/>
        <w:rPr>
          <w:rFonts w:ascii="Times New Roman" w:cs="Times New Roman" w:eastAsia="Times New Roman" w:hAnsi="Times New Roman"/>
          <w:sz w:val="14"/>
          <w:szCs w:val="14"/>
          <w:color w:val="auto"/>
        </w:rPr>
      </w:pPr>
    </w:p>
    <w:p>
      <w:pPr>
        <w:ind w:left="2760" w:right="979" w:hanging="898"/>
        <w:spacing w:after="0" w:line="268"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label and promotional claims allowed by the FDA for RYTELO, as well as any such claims allowed by similar international regulatory authorities for RYTELO, including usage for only certain indications and any limitations or warnings about the prevalence or severity of any side effects;</w:t>
      </w:r>
    </w:p>
    <w:p>
      <w:pPr>
        <w:spacing w:after="0" w:line="54"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RYTELO for new indications;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sales, marketing and distribution infrastructure for RYTELO;</w:t>
      </w:r>
    </w:p>
    <w:p>
      <w:pPr>
        <w:spacing w:after="0" w:line="96" w:lineRule="exact"/>
        <w:rPr>
          <w:rFonts w:ascii="Times New Roman" w:cs="Times New Roman" w:eastAsia="Times New Roman" w:hAnsi="Times New Roman"/>
          <w:sz w:val="14"/>
          <w:szCs w:val="14"/>
          <w:color w:val="auto"/>
        </w:rPr>
      </w:pPr>
    </w:p>
    <w:p>
      <w:pPr>
        <w:ind w:left="2760" w:right="1259" w:hanging="898"/>
        <w:spacing w:after="0" w:line="274"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third-party distributors and specialty pharmacies we contract with to process prescriptions and dispense RYTELO and the processes required to place orders with such distributors and specialty pharmacies;</w:t>
      </w:r>
    </w:p>
    <w:p>
      <w:pPr>
        <w:spacing w:after="0" w:line="50" w:lineRule="exact"/>
        <w:rPr>
          <w:rFonts w:ascii="Times New Roman" w:cs="Times New Roman" w:eastAsia="Times New Roman" w:hAnsi="Times New Roman"/>
          <w:sz w:val="14"/>
          <w:szCs w:val="14"/>
          <w:color w:val="auto"/>
        </w:rPr>
      </w:pPr>
    </w:p>
    <w:p>
      <w:pPr>
        <w:ind w:left="2760" w:right="1299" w:hanging="898"/>
        <w:spacing w:after="0" w:line="292"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RYTELO is approved for inclusion on formularies in hospitals and managed care organizations;</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of RYTELO, both in absolute terms and relative to alternative treatments;</w:t>
      </w:r>
    </w:p>
    <w:p>
      <w:pPr>
        <w:spacing w:after="0" w:line="96" w:lineRule="exact"/>
        <w:rPr>
          <w:rFonts w:ascii="Times New Roman" w:cs="Times New Roman" w:eastAsia="Times New Roman" w:hAnsi="Times New Roman"/>
          <w:sz w:val="14"/>
          <w:szCs w:val="14"/>
          <w:color w:val="auto"/>
        </w:rPr>
      </w:pPr>
    </w:p>
    <w:p>
      <w:pPr>
        <w:ind w:left="2760" w:right="1219" w:hanging="898"/>
        <w:spacing w:after="0" w:line="292"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coverage and adequate reimbursement by government and third-party payors; and</w:t>
      </w:r>
    </w:p>
    <w:p>
      <w:pPr>
        <w:spacing w:after="0" w:line="37" w:lineRule="exact"/>
        <w:rPr>
          <w:rFonts w:ascii="Times New Roman" w:cs="Times New Roman" w:eastAsia="Times New Roman" w:hAnsi="Times New Roman"/>
          <w:sz w:val="14"/>
          <w:szCs w:val="14"/>
          <w:color w:val="auto"/>
        </w:rPr>
      </w:pPr>
    </w:p>
    <w:p>
      <w:pPr>
        <w:ind w:left="2760" w:right="1179" w:hanging="898"/>
        <w:spacing w:after="0" w:line="292" w:lineRule="auto"/>
        <w:tabs>
          <w:tab w:leader="none" w:pos="2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out-of-pocket in the absence of coverage by third-party payors, including governmental authorities.</w:t>
      </w:r>
    </w:p>
    <w:p>
      <w:pPr>
        <w:spacing w:after="0" w:line="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We may be unable to demonstrate any therapeutic or economic advantage for RYTELO compared to</w:t>
      </w:r>
    </w:p>
    <w:p>
      <w:pPr>
        <w:sectPr>
          <w:pgSz w:w="11900" w:h="16838" w:orient="portrait"/>
          <w:cols w:equalWidth="0" w:num="1">
            <w:col w:w="9019"/>
          </w:cols>
          <w:pgMar w:left="1440" w:top="114" w:right="1440" w:bottom="0" w:gutter="0" w:footer="0" w:header="0"/>
        </w:sectPr>
      </w:pPr>
    </w:p>
    <w:bookmarkStart w:id="22" w:name="page23"/>
    <w:bookmarkEnd w:id="22"/>
    <w:p>
      <w:pPr>
        <w:spacing w:after="0" w:line="31" w:lineRule="exact"/>
        <w:rPr>
          <w:sz w:val="20"/>
          <w:szCs w:val="20"/>
          <w:color w:val="auto"/>
        </w:rPr>
      </w:pPr>
    </w:p>
    <w:p>
      <w:pPr>
        <w:ind w:left="960" w:right="1139"/>
        <w:spacing w:after="0" w:line="218" w:lineRule="auto"/>
        <w:rPr>
          <w:sz w:val="20"/>
          <w:szCs w:val="20"/>
          <w:color w:val="auto"/>
        </w:rPr>
      </w:pPr>
      <w:r>
        <w:rPr>
          <w:rFonts w:ascii="Times New Roman" w:cs="Times New Roman" w:eastAsia="Times New Roman" w:hAnsi="Times New Roman"/>
          <w:sz w:val="14"/>
          <w:szCs w:val="14"/>
          <w:color w:val="auto"/>
        </w:rPr>
        <w:t>established or standard-of-care therapies, or newly developed therapies, for myeloid hematologic malignancies. National health insurance and/or third-party payors may decide that any potential benefit that RYTELO may provide to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-168275</wp:posOffset>
            </wp:positionV>
            <wp:extent cx="5584190" cy="1523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1523365"/>
                    </a:xfrm>
                    <a:prstGeom prst="rect">
                      <a:avLst/>
                    </a:prstGeom>
                    <a:noFill/>
                  </pic:spPr>
                </pic:pic>
              </a:graphicData>
            </a:graphic>
          </wp:anchor>
        </w:drawing>
      </w:r>
    </w:p>
    <w:p>
      <w:pPr>
        <w:ind w:left="960" w:right="1179"/>
        <w:spacing w:after="0" w:line="260" w:lineRule="auto"/>
        <w:rPr>
          <w:sz w:val="20"/>
          <w:szCs w:val="20"/>
          <w:color w:val="auto"/>
        </w:rPr>
      </w:pPr>
      <w:r>
        <w:rPr>
          <w:rFonts w:ascii="Times New Roman" w:cs="Times New Roman" w:eastAsia="Times New Roman" w:hAnsi="Times New Roman"/>
          <w:sz w:val="14"/>
          <w:szCs w:val="14"/>
          <w:color w:val="auto"/>
        </w:rPr>
        <w:t>outcomes in myeloid hematologic malignancies is not adequate to justify the potential adverse effects or the costs of treatment with RYTELO. If the healthcare community does not accept RYTELO for any of the foregoing reasons, or for any other reasons, our ability to commercialize RYTELO in the U.S. or the EU for lower-risk MDS or for any other indications for which RYTELO may be approved, may be negatively impacted or precluded altogether, which would seriously and adversely affect our business and business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the market opportunities for RYTELO are smaller than we believe, our revenue may be adversely affected, and our business may suffer.</w:t>
      </w:r>
    </w:p>
    <w:p>
      <w:pPr>
        <w:spacing w:after="0" w:line="120"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color w:val="auto"/>
        </w:rPr>
        <w:t xml:space="preserve">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w:t>
      </w:r>
      <w:r>
        <w:rPr>
          <w:rFonts w:ascii="Times New Roman" w:cs="Times New Roman" w:eastAsia="Times New Roman" w:hAnsi="Times New Roman"/>
          <w:sz w:val="14"/>
          <w:szCs w:val="14"/>
          <w:color w:val="auto"/>
          <w:highlight w:val="white"/>
        </w:rPr>
        <w:t>incorrect. Further, new information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from us or others may change the estimated incidence or prevalence of patients with lower-risk MDS in the U.S. or the EU. Additionally, the potentially addressable patient population for RYTELO may not ultimately be amenable to treatment with RYTELO, we may be unable to successfully identify patients and achieve a significant market share in all eligible patient segments in RYTELO’s approved indication, or the duration of therapy for patients receiving RYTELO could be shorter than we expect, each of which would have a negative impac</w:t>
      </w:r>
      <w:r>
        <w:rPr>
          <w:rFonts w:ascii="Times New Roman" w:cs="Times New Roman" w:eastAsia="Times New Roman" w:hAnsi="Times New Roman"/>
          <w:sz w:val="14"/>
          <w:szCs w:val="14"/>
          <w:color w:val="auto"/>
        </w:rPr>
        <w:t>t on sales of RYTELO in the future and may limit its growth</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potential. Our commercialization of RYTELO in the U.S. and our planned commercialization in the EU is limited to certain patients with lower-risk MDS, and any future potential commercialization will be limited to the therapeutic indications examined in our clinical trials and approved by the FDA and similar international regulatory authorities, which would preclude us from marketing RYTELO for any other indications not expressly approved by those regulatory authorities. Future regulatory approvals for RYTELO, if any, could be conditioned upon label restrictions that materially limit the addressable patient population.</w:t>
      </w:r>
    </w:p>
    <w:p>
      <w:pPr>
        <w:spacing w:after="0" w:line="155" w:lineRule="exact"/>
        <w:rPr>
          <w:sz w:val="20"/>
          <w:szCs w:val="20"/>
          <w:color w:val="auto"/>
        </w:rPr>
      </w:pPr>
    </w:p>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t>Our market opportunity may also be limited by the pricing, reimbursement and access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w:t>
      </w:r>
    </w:p>
    <w:p>
      <w:pPr>
        <w:spacing w:after="0" w:line="140" w:lineRule="exact"/>
        <w:rPr>
          <w:sz w:val="20"/>
          <w:szCs w:val="20"/>
          <w:color w:val="auto"/>
        </w:rPr>
      </w:pPr>
    </w:p>
    <w:p>
      <w:pPr>
        <w:ind w:left="960" w:right="97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face competition from existing products, product candidates and technologies, and competitors may develop new products and technologies. If these products, product candidates or technologies are deemed by the healthcare community to be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spacing w:after="0" w:line="143" w:lineRule="exact"/>
        <w:rPr>
          <w:sz w:val="20"/>
          <w:szCs w:val="20"/>
          <w:color w:val="auto"/>
        </w:rPr>
      </w:pPr>
    </w:p>
    <w:p>
      <w:pPr>
        <w:ind w:left="960" w:right="1019" w:firstLine="902"/>
        <w:spacing w:after="0" w:line="174" w:lineRule="exact"/>
        <w:rPr>
          <w:sz w:val="20"/>
          <w:szCs w:val="20"/>
          <w:color w:val="auto"/>
        </w:rPr>
      </w:pPr>
      <w:r>
        <w:rPr>
          <w:rFonts w:ascii="Times New Roman" w:cs="Times New Roman" w:eastAsia="Times New Roman" w:hAnsi="Times New Roman"/>
          <w:sz w:val="14"/>
          <w:szCs w:val="14"/>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may provide us with certain competitive advantages, we face competition from many different sources, including major pharmaceutical, specialty pharmaceutical and biotechnology companies, academic institutions, governmental agencies, and public and private research institutions. RYTELO competes with other products and therapies that currently exist, are being developed or will in the future be developed, some of which we may not currently be aware of. A discussion of current and potential future competitors of RYTELO can be found in the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section titled “Competition” in Part I, Item 1, titled “Business” in this Report.</w:t>
      </w:r>
    </w:p>
    <w:p>
      <w:pPr>
        <w:spacing w:after="0" w:line="158"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Many of our competitors, either alone or with their strategic partners, have substantially greater financial, technical and human resources than we do and significantly greater experience in obtaining FDA and other regulatory approvals of treatments and commercializing those treatments. 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RYTELO. Academic institutions, government agencies and other public and private research organizations may also conduct research, seek patent protection and establish collaborative arrangements for research, clinical development and marketing of products similar to RYTELO. These companies and institutions compete with us in recruiting and retaining qualified development and management personnel as well as in acquiring technologies complementary to the RYTELO program.</w:t>
      </w:r>
    </w:p>
    <w:p>
      <w:pPr>
        <w:spacing w:after="0" w:line="146"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As a result of the foregoing, competitors may develop more commercially desirable or affordable products than RYTELO. Competitors have developed, or are in the process of developing, technologies that are, or in the future may be, competitive to RYTELO. Some of these products may have an entirely different approach or means of accomplishing therapeutic effects similar, or superior, to those that may be demonstrated by RYTELO. Competitors may develop products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646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16465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59"/>
        <w:spacing w:after="0" w:line="262" w:lineRule="auto"/>
        <w:rPr>
          <w:sz w:val="20"/>
          <w:szCs w:val="20"/>
          <w:color w:val="auto"/>
        </w:rPr>
      </w:pPr>
      <w:r>
        <w:rPr>
          <w:rFonts w:ascii="Times New Roman" w:cs="Times New Roman" w:eastAsia="Times New Roman" w:hAnsi="Times New Roman"/>
          <w:sz w:val="14"/>
          <w:szCs w:val="14"/>
          <w:color w:val="auto"/>
        </w:rPr>
        <w:t>that are safer, more effective, more convenient to administer to patients, or less costly than RYTELO, and, therefore, present a serious competitive threat to RYTELO. In addition, competitors may price their products below what we may determine to be an acceptable price for RYTELO, may receive better third-party payor coverage and/or reimbursement, or may be more cost effective than RYTELO. Such competitive products or activities by competitors may render RYTELO obsolete, which may cause us to cease any further development or future commercialization of RYTELO, which would severely and adversely affect our financial results, business and business prospects, and the future of RYTELO, and might cause us to cease operations.</w:t>
      </w:r>
    </w:p>
    <w:p>
      <w:pPr>
        <w:sectPr>
          <w:pgSz w:w="11900" w:h="16869" w:orient="portrait"/>
          <w:cols w:equalWidth="0" w:num="1">
            <w:col w:w="9019"/>
          </w:cols>
          <w:pgMar w:left="1440" w:top="114" w:right="1440" w:bottom="0" w:gutter="0" w:footer="0" w:header="0"/>
        </w:sectPr>
      </w:pPr>
    </w:p>
    <w:p>
      <w:pPr>
        <w:spacing w:after="0" w:line="140" w:lineRule="exact"/>
        <w:rPr>
          <w:sz w:val="20"/>
          <w:szCs w:val="20"/>
          <w:color w:val="auto"/>
        </w:rPr>
      </w:pPr>
    </w:p>
    <w:p>
      <w:pPr>
        <w:ind w:left="960" w:right="10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sectPr>
          <w:pgSz w:w="11900" w:h="16869" w:orient="portrait"/>
          <w:cols w:equalWidth="0" w:num="1">
            <w:col w:w="9019"/>
          </w:cols>
          <w:pgMar w:left="1440" w:top="114" w:right="1440" w:bottom="0" w:gutter="0" w:footer="0" w:header="0"/>
          <w:type w:val="continuous"/>
        </w:sectPr>
      </w:pPr>
    </w:p>
    <w:bookmarkStart w:id="23" w:name="page24"/>
    <w:bookmarkEnd w:id="23"/>
    <w:p>
      <w:pPr>
        <w:ind w:left="960" w:right="1039" w:firstLine="902"/>
        <w:spacing w:after="0" w:line="26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567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5567680"/>
                    </a:xfrm>
                    <a:prstGeom prst="rect">
                      <a:avLst/>
                    </a:prstGeom>
                    <a:noFill/>
                  </pic:spPr>
                </pic:pic>
              </a:graphicData>
            </a:graphic>
          </wp:anchor>
        </w:drawing>
        <w:t>We rely on a select network of third party distributors, specialty pharmacies and other vendors to distribute RYTELO in the U.S.,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spacing w:after="0" w:line="142" w:lineRule="exact"/>
        <w:rPr>
          <w:sz w:val="20"/>
          <w:szCs w:val="20"/>
          <w:color w:val="auto"/>
        </w:rPr>
      </w:pPr>
    </w:p>
    <w:p>
      <w:pPr>
        <w:ind w:left="960" w:right="13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will be subject to pricing and reimbursement regulations in the EU, which may materially affect our ability to commercialize and receive reimbursement coverage for RYTELO in the EU.</w:t>
      </w:r>
    </w:p>
    <w:p>
      <w:pPr>
        <w:spacing w:after="0" w:line="120" w:lineRule="exact"/>
        <w:rPr>
          <w:sz w:val="20"/>
          <w:szCs w:val="20"/>
          <w:color w:val="auto"/>
        </w:rPr>
      </w:pPr>
    </w:p>
    <w:p>
      <w:pPr>
        <w:ind w:left="960" w:right="1059" w:firstLine="902"/>
        <w:spacing w:after="0" w:line="261" w:lineRule="auto"/>
        <w:rPr>
          <w:sz w:val="20"/>
          <w:szCs w:val="20"/>
          <w:color w:val="auto"/>
        </w:rPr>
      </w:pPr>
      <w:r>
        <w:rPr>
          <w:rFonts w:ascii="Times New Roman" w:cs="Times New Roman" w:eastAsia="Times New Roman" w:hAnsi="Times New Roman"/>
          <w:sz w:val="14"/>
          <w:szCs w:val="14"/>
          <w:color w:val="auto"/>
        </w:rPr>
        <w:t>In March 2025, we received marketing authorization for RYTELO in the EU for the treatment of adult patients with TD anemia due to lower-risk MDS without an isolated deletion 5q cytogenic abnormality and who had an unsatisfactory response to or are ineligible for erythropoietin-based therapy.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and market acceptance and sales of RYTELO will depend significantly on the availability of adequate coverage and reimbursement from third-party payors for RYTELO and may be affected by existing and future healthcare reform measures.</w:t>
      </w:r>
    </w:p>
    <w:p>
      <w:pPr>
        <w:spacing w:after="0" w:line="146" w:lineRule="exact"/>
        <w:rPr>
          <w:sz w:val="20"/>
          <w:szCs w:val="20"/>
          <w:color w:val="auto"/>
        </w:rPr>
      </w:pPr>
    </w:p>
    <w:p>
      <w:pPr>
        <w:ind w:left="960" w:right="1059" w:firstLine="902"/>
        <w:spacing w:after="0" w:line="258" w:lineRule="auto"/>
        <w:rPr>
          <w:sz w:val="20"/>
          <w:szCs w:val="20"/>
          <w:color w:val="auto"/>
        </w:rPr>
      </w:pPr>
      <w:r>
        <w:rPr>
          <w:rFonts w:ascii="Times New Roman" w:cs="Times New Roman" w:eastAsia="Times New Roman" w:hAnsi="Times New Roman"/>
          <w:sz w:val="14"/>
          <w:szCs w:val="14"/>
          <w:color w:val="auto"/>
        </w:rPr>
        <w:t>The requirements governing drug pricing and reimbursement vary widely from country to country. For example, within the EU member states may restrict the range of medicinal products for which their national health insurance systems provide reimbursement and may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in the EU, we may be required to conduct a clinical study or other studies that compare the cost-effectiveness of RYTELO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RYTELO.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885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48856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RISKS RELATED TO REGULATORY APPROVAL OF RYTELO</w:t>
      </w:r>
    </w:p>
    <w:p>
      <w:pPr>
        <w:spacing w:after="0" w:line="181" w:lineRule="exact"/>
        <w:rPr>
          <w:sz w:val="20"/>
          <w:szCs w:val="20"/>
          <w:color w:val="auto"/>
        </w:rPr>
      </w:pPr>
    </w:p>
    <w:p>
      <w:pPr>
        <w:ind w:left="9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maintain regulatory approvals for RYTELO in the U.S. and the EU for lower-risk MDS, which would severely and adversely affect our business and business prospects, and might cause us to cease operations.</w:t>
      </w:r>
    </w:p>
    <w:p>
      <w:pPr>
        <w:spacing w:after="0" w:line="120" w:lineRule="exact"/>
        <w:rPr>
          <w:sz w:val="20"/>
          <w:szCs w:val="20"/>
          <w:color w:val="auto"/>
        </w:rPr>
      </w:pPr>
    </w:p>
    <w:p>
      <w:pPr>
        <w:ind w:left="960" w:right="1099" w:firstLine="902"/>
        <w:spacing w:after="0" w:line="262" w:lineRule="auto"/>
        <w:rPr>
          <w:sz w:val="20"/>
          <w:szCs w:val="20"/>
          <w:color w:val="auto"/>
        </w:rPr>
      </w:pPr>
      <w:r>
        <w:rPr>
          <w:rFonts w:ascii="Times New Roman" w:cs="Times New Roman" w:eastAsia="Times New Roman" w:hAnsi="Times New Roman"/>
          <w:sz w:val="14"/>
          <w:szCs w:val="14"/>
          <w:color w:val="auto"/>
        </w:rPr>
        <w:t>In June 2024, we received regulatory approval from the FDA to commercialize RYTELO in the U.S. in certain patients with lower-risk MDS, and in March 2025, we received marketing authorization from the EC to commercialize RYTELO in the EU for certain adult patients with TD anemia due to lower-risk MDS. Federal, state and local governments in the U.S., and regulatory authorities in the EU, have significant regulations in place that may limit or prevent us from successfully commercializing RYTELO for lower-risk MDS. We do not currently have regulatory approval for RYTELO in any other jurisdictions or for any other indication, and governments in other jurisdictions have significant regulations that may limit or prevent us from successfully commercializing RYTELO in other jurisdictions.</w:t>
      </w:r>
    </w:p>
    <w:p>
      <w:pPr>
        <w:spacing w:after="0" w:line="144" w:lineRule="exact"/>
        <w:rPr>
          <w:sz w:val="20"/>
          <w:szCs w:val="20"/>
          <w:color w:val="auto"/>
        </w:rPr>
      </w:pPr>
    </w:p>
    <w:p>
      <w:pPr>
        <w:ind w:left="960" w:right="999" w:firstLine="902"/>
        <w:spacing w:after="0" w:line="173" w:lineRule="exact"/>
        <w:rPr>
          <w:sz w:val="20"/>
          <w:szCs w:val="20"/>
          <w:color w:val="auto"/>
        </w:rPr>
      </w:pPr>
      <w:r>
        <w:rPr>
          <w:rFonts w:ascii="Times New Roman" w:cs="Times New Roman" w:eastAsia="Times New Roman" w:hAnsi="Times New Roman"/>
          <w:sz w:val="14"/>
          <w:szCs w:val="14"/>
          <w:color w:val="auto"/>
        </w:rPr>
        <w:t>The regulatory frameworks and practices of the FDA, EMA/EC and comparable authorities in other countries may change over time, and we cannot predict the nature, timing, or impact of any such developments. We cannot project with certainty if or when we might submit or gain regulatory approval for RYTELO for other indications or in other jurisdictions. The FDA, EMA/EC and other regulatory authorities exercise broad discretion throughout the product review and approval process, including in determining the specific conditions for submission, including the requirement for a pre-approval inspection of RYTELO’s listed manufacturing facility. As a result, the FDA, EMA/EC and other authorities may delay or extend application review, may decline to accept an application for substantive review, or may conclude, after review, that the information provided is inadequate to obtain or maintain approval of RYTELO. Any such decision could materially and adversely affect the timing of potential approval and our business prospects. If the FDA, for instance, determines that an NDA is not sufficiently complete for filing or issues a complete response letter, or CRL, requiring additional data or clarification, we may be required to resubmit the application and any such resubmission or CRL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driven delays could significantly postpone review and potential approval RYTELO for other indications. Even if we resubmit an NDA, it remains uncertain whether the FDA will ultimately accept the completed application or additional data, and any such outcome could delay or prevent approval of RYTELO for other indications.</w:t>
      </w:r>
    </w:p>
    <w:p>
      <w:pPr>
        <w:spacing w:after="0" w:line="164" w:lineRule="exact"/>
        <w:rPr>
          <w:sz w:val="20"/>
          <w:szCs w:val="20"/>
          <w:color w:val="auto"/>
        </w:rPr>
      </w:pPr>
    </w:p>
    <w:p>
      <w:pPr>
        <w:ind w:left="960" w:right="1039" w:firstLine="902"/>
        <w:spacing w:after="0" w:line="253" w:lineRule="auto"/>
        <w:rPr>
          <w:sz w:val="20"/>
          <w:szCs w:val="20"/>
          <w:color w:val="auto"/>
        </w:rPr>
      </w:pPr>
      <w:r>
        <w:rPr>
          <w:rFonts w:ascii="Times New Roman" w:cs="Times New Roman" w:eastAsia="Times New Roman" w:hAnsi="Times New Roman"/>
          <w:sz w:val="14"/>
          <w:szCs w:val="14"/>
          <w:color w:val="auto"/>
        </w:rPr>
        <w:t>Failure to maintain regulatory approval for RYTELO from the FDA in the U.S. and from the EC in the EU for lower-risk MDS, or delays in obtaining, failing to obtain, or limitations in the scope of such approvals in any other jurisdictions or for any other indications, could:</w:t>
      </w:r>
    </w:p>
    <w:p>
      <w:pPr>
        <w:spacing w:after="0" w:line="1" w:lineRule="exact"/>
        <w:rPr>
          <w:sz w:val="20"/>
          <w:szCs w:val="20"/>
          <w:color w:val="auto"/>
        </w:rPr>
      </w:pPr>
    </w:p>
    <w:p>
      <w:pPr>
        <w:ind w:left="2760" w:right="1119" w:hanging="898"/>
        <w:spacing w:after="0" w:line="262" w:lineRule="auto"/>
        <w:tabs>
          <w:tab w:leader="none" w:pos="2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a withdrawal of RYTELO from the market or could otherwise delay, limit or preclude any revenue we may receive from the commercialization of RYTELO for lower-risk MDS;</w:t>
      </w:r>
    </w:p>
    <w:p>
      <w:pPr>
        <w:spacing w:after="0" w:line="144"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harm the commercial potential of RYTELO;</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impede, halt or increase the costs of our activities and plans for clinical development;</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diminish any competitive advantages that may have been available to us; or</w:t>
      </w:r>
    </w:p>
    <w:p>
      <w:pPr>
        <w:sectPr>
          <w:pgSz w:w="11900" w:h="16838" w:orient="portrait"/>
          <w:cols w:equalWidth="0" w:num="1">
            <w:col w:w="9019"/>
          </w:cols>
          <w:pgMar w:left="1440" w:top="232" w:right="1440" w:bottom="0" w:gutter="0" w:footer="0" w:header="0"/>
        </w:sectPr>
      </w:pPr>
    </w:p>
    <w:bookmarkStart w:id="24" w:name="page25"/>
    <w:bookmarkEnd w:id="24"/>
    <w:p>
      <w:pPr>
        <w:spacing w:after="0" w:line="106" w:lineRule="exact"/>
        <w:rPr>
          <w:sz w:val="20"/>
          <w:szCs w:val="20"/>
          <w:color w:val="auto"/>
        </w:rPr>
      </w:pPr>
    </w:p>
    <w:p>
      <w:pPr>
        <w:ind w:left="2760" w:right="1439" w:hanging="898"/>
        <w:spacing w:after="0" w:line="261" w:lineRule="auto"/>
        <w:tabs>
          <w:tab w:leader="none" w:pos="2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preclude any revenue we may receive from the future commercialization of RYTELO in any other jurisdictions or for any other indications,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-205105</wp:posOffset>
            </wp:positionV>
            <wp:extent cx="5584190" cy="2328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2328545"/>
                    </a:xfrm>
                    <a:prstGeom prst="rect">
                      <a:avLst/>
                    </a:prstGeom>
                    <a:noFill/>
                  </pic:spPr>
                </pic:pic>
              </a:graphicData>
            </a:graphic>
          </wp:anchor>
        </w:drawing>
      </w:r>
    </w:p>
    <w:p>
      <w:pPr>
        <w:spacing w:after="0" w:line="124"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In addition, approved products and their manufacturers, together with other vendors involved in the commercialization process, are subject to continual review, and discovery of previously unknown problems with a product or its manufacturer, including if regulatory inspectors identify regulatory noncompliance by third-party manufacturers requiring remediation, may result in restrictions on the product or manufacturer, including import restrictions, seizure, and withdrawal of the product from the market, or may otherwise cause manufacturing delays and supply disruptions.</w:t>
      </w:r>
    </w:p>
    <w:p>
      <w:pPr>
        <w:spacing w:after="0" w:line="142" w:lineRule="exact"/>
        <w:rPr>
          <w:sz w:val="20"/>
          <w:szCs w:val="20"/>
          <w:color w:val="auto"/>
        </w:rPr>
      </w:pPr>
    </w:p>
    <w:p>
      <w:pPr>
        <w:jc w:val="both"/>
        <w:ind w:left="960" w:right="1259" w:firstLine="902"/>
        <w:spacing w:after="0" w:line="274" w:lineRule="auto"/>
        <w:rPr>
          <w:sz w:val="20"/>
          <w:szCs w:val="20"/>
          <w:color w:val="auto"/>
        </w:rPr>
      </w:pPr>
      <w:r>
        <w:rPr>
          <w:rFonts w:ascii="Times New Roman" w:cs="Times New Roman" w:eastAsia="Times New Roman" w:hAnsi="Times New Roman"/>
          <w:sz w:val="14"/>
          <w:szCs w:val="14"/>
          <w:color w:val="auto"/>
        </w:rPr>
        <w:t>Further, if RYTELO causes serious or unexpected side effects, or if other safety risks are observed as a result of our commercialization efforts for RYTELO in the U.S. or the EU in lower-risk MDS or in current or potential future clinical trials, a number of potential significant negative consequences could result, including:</w:t>
      </w:r>
    </w:p>
    <w:p>
      <w:pPr>
        <w:spacing w:after="0" w:line="136" w:lineRule="exact"/>
        <w:rPr>
          <w:sz w:val="20"/>
          <w:szCs w:val="20"/>
          <w:color w:val="auto"/>
        </w:rPr>
      </w:pPr>
    </w:p>
    <w:p>
      <w:pPr>
        <w:ind w:left="2760" w:hanging="898"/>
        <w:spacing w:after="0"/>
        <w:tabs>
          <w:tab w:leader="none" w:pos="2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approval of RYTELO;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jc w:val="both"/>
        <w:ind w:left="2760" w:right="1079" w:hanging="898"/>
        <w:spacing w:after="0" w:line="274" w:lineRule="auto"/>
        <w:tabs>
          <w:tab w:leader="none" w:pos="2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recall RYTELO, seek to change the way it is administered, conduct additional costly, time-consuming and burdensome clinical trials or change the labeling of the product;</w:t>
      </w:r>
    </w:p>
    <w:p>
      <w:pPr>
        <w:spacing w:after="0" w:line="135" w:lineRule="exact"/>
        <w:rPr>
          <w:rFonts w:ascii="Times New Roman" w:cs="Times New Roman" w:eastAsia="Times New Roman" w:hAnsi="Times New Roman"/>
          <w:sz w:val="14"/>
          <w:szCs w:val="14"/>
          <w:color w:val="auto"/>
        </w:rPr>
      </w:pPr>
    </w:p>
    <w:p>
      <w:pPr>
        <w:ind w:left="2760" w:right="1059" w:hanging="898"/>
        <w:spacing w:after="0" w:line="268" w:lineRule="auto"/>
        <w:tabs>
          <w:tab w:leader="none" w:pos="2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revisions to the labeling of RYTELO, including limitations on approved uses or the addition of further warnings, contraindications or other safety information, or may impose restrictions on distribution in the form of additional requirements in a risk evaluation and management plan or risk management plan;</w:t>
      </w:r>
    </w:p>
    <w:p>
      <w:pPr>
        <w:spacing w:after="0" w:line="140"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RYTELO may be rendered less competitive and sales, if any, may decrease;</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 generally among clinicians and patients;</w:t>
      </w:r>
    </w:p>
    <w:p>
      <w:pPr>
        <w:spacing w:after="0" w:line="182" w:lineRule="exact"/>
        <w:rPr>
          <w:rFonts w:ascii="Times New Roman" w:cs="Times New Roman" w:eastAsia="Times New Roman" w:hAnsi="Times New Roman"/>
          <w:sz w:val="14"/>
          <w:szCs w:val="14"/>
          <w:color w:val="auto"/>
        </w:rPr>
      </w:pPr>
    </w:p>
    <w:p>
      <w:pPr>
        <w:ind w:left="2760" w:right="1119" w:hanging="898"/>
        <w:spacing w:after="0" w:line="292" w:lineRule="auto"/>
        <w:tabs>
          <w:tab w:leader="none" w:pos="2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exposed to potential lawsuits and associated legal expenses, including costs of resolving claims;</w:t>
      </w:r>
    </w:p>
    <w:p>
      <w:pPr>
        <w:spacing w:after="0" w:line="123" w:lineRule="exact"/>
        <w:rPr>
          <w:rFonts w:ascii="Times New Roman" w:cs="Times New Roman" w:eastAsia="Times New Roman" w:hAnsi="Times New Roman"/>
          <w:sz w:val="14"/>
          <w:szCs w:val="14"/>
          <w:color w:val="auto"/>
        </w:rPr>
      </w:pPr>
    </w:p>
    <w:p>
      <w:pPr>
        <w:ind w:left="2760" w:right="1039" w:hanging="898"/>
        <w:spacing w:after="0" w:line="292" w:lineRule="auto"/>
        <w:tabs>
          <w:tab w:leader="none" w:pos="2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refuse to approve supplements to approved applications filed by us, or may suspend or revoke license approvals; or</w:t>
      </w:r>
    </w:p>
    <w:p>
      <w:pPr>
        <w:spacing w:after="0" w:line="123" w:lineRule="exact"/>
        <w:rPr>
          <w:rFonts w:ascii="Times New Roman" w:cs="Times New Roman" w:eastAsia="Times New Roman" w:hAnsi="Times New Roman"/>
          <w:sz w:val="14"/>
          <w:szCs w:val="14"/>
          <w:color w:val="auto"/>
        </w:rPr>
      </w:pPr>
    </w:p>
    <w:p>
      <w:pPr>
        <w:ind w:left="2760" w:right="1259" w:hanging="898"/>
        <w:spacing w:after="0" w:line="292" w:lineRule="auto"/>
        <w:tabs>
          <w:tab w:leader="none" w:pos="2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or stop ongoing clinical trials of RYTELO, which would negatively impact the development of RYTELO for other potential indications.</w:t>
      </w:r>
    </w:p>
    <w:p>
      <w:pPr>
        <w:spacing w:after="0" w:line="124" w:lineRule="exact"/>
        <w:rPr>
          <w:sz w:val="20"/>
          <w:szCs w:val="20"/>
          <w:color w:val="auto"/>
        </w:rPr>
      </w:pPr>
    </w:p>
    <w:p>
      <w:pPr>
        <w:ind w:left="960" w:right="979" w:firstLine="902"/>
        <w:spacing w:after="0" w:line="268" w:lineRule="auto"/>
        <w:rPr>
          <w:sz w:val="20"/>
          <w:szCs w:val="20"/>
          <w:color w:val="auto"/>
        </w:rPr>
      </w:pPr>
      <w:r>
        <w:rPr>
          <w:rFonts w:ascii="Times New Roman" w:cs="Times New Roman" w:eastAsia="Times New Roman" w:hAnsi="Times New Roman"/>
          <w:sz w:val="14"/>
          <w:szCs w:val="14"/>
          <w:color w:val="auto"/>
        </w:rPr>
        <w:t>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 If RYTELO is approved outside the U.S. and EU, we will be subject to similar requirements, considerations and risks in other regions.</w:t>
      </w:r>
    </w:p>
    <w:p>
      <w:pPr>
        <w:spacing w:after="0" w:line="136" w:lineRule="exact"/>
        <w:rPr>
          <w:sz w:val="20"/>
          <w:szCs w:val="20"/>
          <w:color w:val="auto"/>
        </w:rPr>
      </w:pPr>
    </w:p>
    <w:p>
      <w:pPr>
        <w:ind w:left="960" w:right="11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spacing w:after="0" w:line="139"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Our regulatory approval for RYTELO in lower-risk MDS in the U.S. and EU are subject to non-clinical, clinical and manufacturing post-marketing requirements and/or commitments, including the requirement to assess the long-term safety of RYTELO (imetelstat) in the Phase 3 IMerge trial and a clinical trial to evaluate alternative dosing regimens in lower-risk MDS, with timelines for completion and reporting established by the FDA. In the EU, our regulatory approval for RYTELO in certain patients with TD anemia due to lower-risk MDS is subject to our commitment to submit the results from certain ongoing non-clinical and clinical studies required by the FDA, including the assessment of the long-term safety of RYTELO in the extension to the Phase 3 IMerge trial.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compliance with good pharmacovigilance practices, registration requirements, current Good Manufacturing Practice, or cGMP, requirements relating to quality control, quality assurance and corresponding maintenance of records and documents, and requirements regarding promotional interactions with healthcare professionals.</w:t>
      </w:r>
    </w:p>
    <w:p>
      <w:pPr>
        <w:spacing w:after="0" w:line="147" w:lineRule="exact"/>
        <w:rPr>
          <w:sz w:val="20"/>
          <w:szCs w:val="20"/>
          <w:color w:val="auto"/>
        </w:rPr>
      </w:pPr>
    </w:p>
    <w:p>
      <w:pPr>
        <w:ind w:left="960" w:right="1059" w:firstLine="902"/>
        <w:spacing w:after="0" w:line="268" w:lineRule="auto"/>
        <w:rPr>
          <w:sz w:val="20"/>
          <w:szCs w:val="20"/>
          <w:color w:val="auto"/>
        </w:rPr>
      </w:pPr>
      <w:r>
        <w:rPr>
          <w:rFonts w:ascii="Times New Roman" w:cs="Times New Roman" w:eastAsia="Times New Roman" w:hAnsi="Times New Roman"/>
          <w:sz w:val="14"/>
          <w:szCs w:val="14"/>
          <w:color w:val="auto"/>
        </w:rPr>
        <w:t>Failure to comply with these post-marketing requirements and commitments on the timeline required or at all, or any other regulatory requirements, including the FDA’s regulation of promotional claims, or later discovery of previously unknown problems with RYTELO, or our manufacturers, or manufacturing processes for RYTELO, may result in actions such as:</w:t>
      </w:r>
    </w:p>
    <w:p>
      <w:pPr>
        <w:spacing w:after="0" w:line="140" w:lineRule="exact"/>
        <w:rPr>
          <w:sz w:val="20"/>
          <w:szCs w:val="20"/>
          <w:color w:val="auto"/>
        </w:rPr>
      </w:pPr>
    </w:p>
    <w:p>
      <w:pPr>
        <w:ind w:left="2760" w:hanging="898"/>
        <w:spacing w:after="0"/>
        <w:tabs>
          <w:tab w:leader="none" w:pos="2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inspection findings;</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RYTELO manufacturing, distribution or use;</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or prohibitions against, marketing, importing or exporting RYTELO;</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post-marketing requirements or commitments;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8420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8420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2760" w:hanging="898"/>
        <w:spacing w:after="0"/>
        <w:tabs>
          <w:tab w:leader="none" w:pos="2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untitled letters, warning letters or the withdrawal of RYTELO from the market;</w:t>
      </w:r>
    </w:p>
    <w:p>
      <w:pPr>
        <w:spacing w:after="0" w:line="182" w:lineRule="exact"/>
        <w:rPr>
          <w:rFonts w:ascii="Times New Roman" w:cs="Times New Roman" w:eastAsia="Times New Roman" w:hAnsi="Times New Roman"/>
          <w:sz w:val="14"/>
          <w:szCs w:val="14"/>
          <w:color w:val="auto"/>
        </w:rPr>
      </w:pPr>
    </w:p>
    <w:p>
      <w:pPr>
        <w:ind w:left="2760" w:right="1279" w:hanging="898"/>
        <w:spacing w:after="0" w:line="292" w:lineRule="auto"/>
        <w:tabs>
          <w:tab w:leader="none" w:pos="2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or mandatory product recalls or public notification or medical product safety alerts to healthcare professionals;</w:t>
      </w:r>
    </w:p>
    <w:p>
      <w:pPr>
        <w:sectPr>
          <w:pgSz w:w="11900" w:h="16944" w:orient="portrait"/>
          <w:cols w:equalWidth="0" w:num="1">
            <w:col w:w="9019"/>
          </w:cols>
          <w:pgMar w:left="1440" w:top="114" w:right="1440" w:bottom="0" w:gutter="0" w:footer="0" w:header="0"/>
        </w:sectPr>
      </w:pPr>
    </w:p>
    <w:bookmarkStart w:id="25" w:name="page26"/>
    <w:bookmarkEnd w:id="25"/>
    <w:p>
      <w:pPr>
        <w:ind w:left="2760" w:hanging="898"/>
        <w:spacing w:after="0"/>
        <w:tabs>
          <w:tab w:leader="none" w:pos="2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37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6372225"/>
                    </a:xfrm>
                    <a:prstGeom prst="rect">
                      <a:avLst/>
                    </a:prstGeom>
                    <a:noFill/>
                  </pic:spPr>
                </pic:pic>
              </a:graphicData>
            </a:graphic>
          </wp:anchor>
        </w:drawing>
        <w:t>suspension or termination of ongoing clinical trials of imetelstat in other indications;</w:t>
      </w:r>
    </w:p>
    <w:p>
      <w:pPr>
        <w:spacing w:after="0" w:line="182" w:lineRule="exact"/>
        <w:rPr>
          <w:rFonts w:ascii="Times New Roman" w:cs="Times New Roman" w:eastAsia="Times New Roman" w:hAnsi="Times New Roman"/>
          <w:sz w:val="14"/>
          <w:szCs w:val="14"/>
          <w:color w:val="auto"/>
        </w:rPr>
      </w:pPr>
    </w:p>
    <w:p>
      <w:pPr>
        <w:ind w:left="2760" w:right="979" w:hanging="898"/>
        <w:spacing w:after="0" w:line="292" w:lineRule="auto"/>
        <w:tabs>
          <w:tab w:leader="none" w:pos="2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of review or refusal to approve pending applications or supplements to approved applications;</w:t>
      </w:r>
    </w:p>
    <w:p>
      <w:pPr>
        <w:spacing w:after="0" w:line="123" w:lineRule="exact"/>
        <w:rPr>
          <w:rFonts w:ascii="Times New Roman" w:cs="Times New Roman" w:eastAsia="Times New Roman" w:hAnsi="Times New Roman"/>
          <w:sz w:val="14"/>
          <w:szCs w:val="14"/>
          <w:color w:val="auto"/>
        </w:rPr>
      </w:pPr>
    </w:p>
    <w:p>
      <w:pPr>
        <w:ind w:left="2760" w:right="1119" w:hanging="898"/>
        <w:spacing w:after="0" w:line="274" w:lineRule="auto"/>
        <w:tabs>
          <w:tab w:leader="none" w:pos="2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exclusion from participation in government-funded healthcare programs and/or eligibility for the award of government contracts for RYTELO; suspension or withdrawal of regulatory approval for RYTELO;</w:t>
      </w:r>
    </w:p>
    <w:p>
      <w:pPr>
        <w:spacing w:after="0" w:line="135" w:lineRule="exact"/>
        <w:rPr>
          <w:rFonts w:ascii="Times New Roman" w:cs="Times New Roman" w:eastAsia="Times New Roman" w:hAnsi="Times New Roman"/>
          <w:sz w:val="14"/>
          <w:szCs w:val="14"/>
          <w:color w:val="auto"/>
        </w:rPr>
      </w:pPr>
    </w:p>
    <w:p>
      <w:pPr>
        <w:ind w:left="2760" w:right="1379" w:hanging="898"/>
        <w:spacing w:after="0" w:line="292" w:lineRule="auto"/>
        <w:tabs>
          <w:tab w:leader="none" w:pos="2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civil, criminal and administrative penalties, including fines, restitutions or disgorgement of profits or revenues;</w:t>
      </w:r>
    </w:p>
    <w:p>
      <w:pPr>
        <w:spacing w:after="0" w:line="123"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detentions;</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 and</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w:t>
      </w:r>
    </w:p>
    <w:p>
      <w:pPr>
        <w:spacing w:after="0" w:line="183" w:lineRule="exact"/>
        <w:rPr>
          <w:sz w:val="20"/>
          <w:szCs w:val="20"/>
          <w:color w:val="auto"/>
        </w:rPr>
      </w:pPr>
    </w:p>
    <w:p>
      <w:pPr>
        <w:jc w:val="both"/>
        <w:ind w:left="960" w:right="1019" w:firstLine="902"/>
        <w:spacing w:after="0" w:line="268" w:lineRule="auto"/>
        <w:rPr>
          <w:sz w:val="20"/>
          <w:szCs w:val="20"/>
          <w:color w:val="auto"/>
        </w:rPr>
      </w:pPr>
      <w:r>
        <w:rPr>
          <w:rFonts w:ascii="Times New Roman" w:cs="Times New Roman" w:eastAsia="Times New Roman" w:hAnsi="Times New Roman"/>
          <w:sz w:val="14"/>
          <w:szCs w:val="14"/>
          <w:color w:val="auto"/>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 Similar requirements and related consequences apply outside the U.S.</w:t>
      </w:r>
    </w:p>
    <w:p>
      <w:pPr>
        <w:spacing w:after="0" w:line="140" w:lineRule="exact"/>
        <w:rPr>
          <w:sz w:val="20"/>
          <w:szCs w:val="20"/>
          <w:color w:val="auto"/>
        </w:rPr>
      </w:pPr>
    </w:p>
    <w:p>
      <w:pPr>
        <w:ind w:left="960" w:right="1039" w:firstLine="902"/>
        <w:spacing w:after="0" w:line="263"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spend significant time and resources in response and could generate negative publicity. In addition, the regulations, policies or guidance of the FDA, EC or any other regulatory authority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U.S. or abroad.</w:t>
      </w:r>
    </w:p>
    <w:p>
      <w:pPr>
        <w:spacing w:after="0" w:line="144" w:lineRule="exact"/>
        <w:rPr>
          <w:sz w:val="20"/>
          <w:szCs w:val="20"/>
          <w:color w:val="auto"/>
        </w:rPr>
      </w:pPr>
    </w:p>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t>If we are unable to fulfill the post-marketing requirements and commitments established by the FDA, or that may be or are applied to the approval and commercialization of RYTELO by any 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w:t>
      </w:r>
    </w:p>
    <w:p>
      <w:pPr>
        <w:spacing w:after="0" w:line="144"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Furthermore, in connection with our marketing authorization for RYTELO in the EU for certain patients with TD anemia due to lower-risk MDS, we are subject to post-marketing requirements to submit final results from certain ongoing non-clinical and clinical studies and the completion of certain quality-related activities and study. We are also subject to rules and regulations in the EU applicable to the manufacturing, marketing, promotion, and sale of medicinal products. If we, or a regulatory authority, discover previously unknown problems with RYTELO, such as adverse events of unanticipated severity or frequency, or problems with a facility where RYTELO is manufactured, a regulatory authority may impose restrictions relative to RYTELO or the manufacturing facility, including requiring recall or withdrawal of RYTELO from the market or suspension of manufacturing. Moreover, product labeling, advertising and promotion for RYTELO will be subject to regulatory requirements and continuing regulatory review.</w:t>
      </w:r>
    </w:p>
    <w:p>
      <w:pPr>
        <w:spacing w:after="0" w:line="149" w:lineRule="exact"/>
        <w:rPr>
          <w:sz w:val="20"/>
          <w:szCs w:val="20"/>
          <w:color w:val="auto"/>
        </w:rPr>
      </w:pPr>
    </w:p>
    <w:p>
      <w:pPr>
        <w:ind w:left="960" w:right="1139" w:firstLine="902"/>
        <w:spacing w:after="0" w:line="263" w:lineRule="auto"/>
        <w:rPr>
          <w:sz w:val="20"/>
          <w:szCs w:val="20"/>
          <w:color w:val="auto"/>
        </w:rPr>
      </w:pPr>
      <w:r>
        <w:rPr>
          <w:rFonts w:ascii="Times New Roman" w:cs="Times New Roman" w:eastAsia="Times New Roman" w:hAnsi="Times New Roman"/>
          <w:sz w:val="14"/>
          <w:szCs w:val="14"/>
          <w:color w:val="auto"/>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or failure to complete post-marketing requirements on the timeline required, may result in administrative, civil or criminal penalties. This could also result in delays or refusal to authorize the conduct of clinical trials, or to grant marketing authorization, product withdrawals and recalls, product seizures, suspension, withdrawal or variation of the marketing authorization, total or</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081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40811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159"/>
        <w:spacing w:after="0" w:line="274" w:lineRule="auto"/>
        <w:rPr>
          <w:sz w:val="20"/>
          <w:szCs w:val="20"/>
          <w:color w:val="auto"/>
        </w:rPr>
      </w:pPr>
      <w:r>
        <w:rPr>
          <w:rFonts w:ascii="Times New Roman" w:cs="Times New Roman" w:eastAsia="Times New Roman" w:hAnsi="Times New Roman"/>
          <w:sz w:val="14"/>
          <w:szCs w:val="14"/>
          <w:color w:val="auto"/>
        </w:rPr>
        <w:t>partial suspension of production, distribution, manufacturing or clinical trials, operating restrictions, injunctions, suspension of licenses, fines and criminal penalties, among others. If RYTELO is approved outside the U.S. and the EU, we will be subject to similar requirements, considerations and risks in other regions.</w:t>
      </w:r>
    </w:p>
    <w:p>
      <w:pPr>
        <w:spacing w:after="0" w:line="132" w:lineRule="exact"/>
        <w:rPr>
          <w:sz w:val="20"/>
          <w:szCs w:val="20"/>
          <w:color w:val="auto"/>
        </w:rPr>
      </w:pPr>
    </w:p>
    <w:p>
      <w:pPr>
        <w:ind w:left="9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spacing w:after="0" w:line="134" w:lineRule="exact"/>
        <w:rPr>
          <w:sz w:val="20"/>
          <w:szCs w:val="20"/>
          <w:color w:val="auto"/>
        </w:rPr>
      </w:pPr>
    </w:p>
    <w:p>
      <w:pPr>
        <w:ind w:left="960" w:right="1139" w:firstLine="902"/>
        <w:spacing w:after="0" w:line="261" w:lineRule="auto"/>
        <w:rPr>
          <w:sz w:val="20"/>
          <w:szCs w:val="20"/>
          <w:color w:val="auto"/>
        </w:rPr>
      </w:pPr>
      <w:r>
        <w:rPr>
          <w:rFonts w:ascii="Times New Roman" w:cs="Times New Roman" w:eastAsia="Times New Roman" w:hAnsi="Times New Roman"/>
          <w:sz w:val="14"/>
          <w:szCs w:val="14"/>
          <w:color w:val="auto"/>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ongoing or future clinical trials may result in a delay in obtaining, or our failure to obtain, regulatory approval for RYTELO in lower-risk MDS in any jurisdictions other than the U.S. and the EU, or for other indications, such as relapsed/refractory MF, in any jurisdictions. Failure to obtain approval could significantly harm our business and business prospects, render our significant clinical development expenditures unrecoverable, and might cause us to cease operations.</w:t>
      </w:r>
    </w:p>
    <w:p>
      <w:pPr>
        <w:spacing w:after="0" w:line="146" w:lineRule="exact"/>
        <w:rPr>
          <w:sz w:val="20"/>
          <w:szCs w:val="20"/>
          <w:color w:val="auto"/>
        </w:rPr>
      </w:pPr>
    </w:p>
    <w:p>
      <w:pPr>
        <w:ind w:left="960" w:right="1039" w:firstLine="902"/>
        <w:spacing w:after="0" w:line="261" w:lineRule="auto"/>
        <w:rPr>
          <w:sz w:val="20"/>
          <w:szCs w:val="20"/>
          <w:color w:val="auto"/>
        </w:rPr>
      </w:pPr>
      <w:r>
        <w:rPr>
          <w:rFonts w:ascii="Times New Roman" w:cs="Times New Roman" w:eastAsia="Times New Roman" w:hAnsi="Times New Roman"/>
          <w:sz w:val="14"/>
          <w:szCs w:val="14"/>
          <w:color w:val="auto"/>
        </w:rPr>
        <w:t>Securing marketing approval requires the submission of extensive non-clinical and clinical data and supporting information to regulatory authorities for each therapeutic indication to establish the product candidate’s safety and efficacy to the satisfaction of such regulatory authorities, as well as information about the product manufacturing process and any inspections of manufacturing facilities conducted by regulatory authorities through the filing of a New Drug Application, or NDA, in the U.S. and a Marketing Authorization Application, or MAA, in the EU. Although RYTELO is approved in the U.S. and the EU in lower-risk MDS, there can be no assurance that we will receive regulatory approval for the commercialization of RYTELO for lower-risk MDS in any other jurisdiction or for any new indications, including relapsed/refractory MF or any other indications.</w:t>
      </w:r>
    </w:p>
    <w:p>
      <w:pPr>
        <w:spacing w:after="0" w:line="146" w:lineRule="exact"/>
        <w:rPr>
          <w:sz w:val="20"/>
          <w:szCs w:val="20"/>
          <w:color w:val="auto"/>
        </w:rPr>
      </w:pPr>
    </w:p>
    <w:p>
      <w:pPr>
        <w:ind w:left="960" w:right="1119" w:firstLine="902"/>
        <w:spacing w:after="0" w:line="274" w:lineRule="auto"/>
        <w:rPr>
          <w:sz w:val="20"/>
          <w:szCs w:val="20"/>
          <w:color w:val="auto"/>
        </w:rPr>
      </w:pPr>
      <w:r>
        <w:rPr>
          <w:rFonts w:ascii="Times New Roman" w:cs="Times New Roman" w:eastAsia="Times New Roman" w:hAnsi="Times New Roman"/>
          <w:sz w:val="14"/>
          <w:szCs w:val="14"/>
          <w:color w:val="auto"/>
        </w:rPr>
        <w:t>Any marketing approval that we may receive for RYTELO in any other jurisdiction or for any other indication may also be limited or subject to restrictions or post-approval commitments and requirements that increase our costs or render RYTELO not commercially viable, which would harm our business and business prospects.</w:t>
      </w:r>
    </w:p>
    <w:p>
      <w:pPr>
        <w:spacing w:after="0" w:line="136" w:lineRule="exact"/>
        <w:rPr>
          <w:sz w:val="20"/>
          <w:szCs w:val="20"/>
          <w:color w:val="auto"/>
        </w:rPr>
      </w:pPr>
    </w:p>
    <w:p>
      <w:pPr>
        <w:ind w:left="960" w:right="1179" w:firstLine="902"/>
        <w:spacing w:after="0" w:line="274" w:lineRule="auto"/>
        <w:rPr>
          <w:sz w:val="20"/>
          <w:szCs w:val="20"/>
          <w:color w:val="auto"/>
        </w:rPr>
      </w:pPr>
      <w:r>
        <w:rPr>
          <w:rFonts w:ascii="Times New Roman" w:cs="Times New Roman" w:eastAsia="Times New Roman" w:hAnsi="Times New Roman"/>
          <w:sz w:val="14"/>
          <w:szCs w:val="14"/>
          <w:color w:val="auto"/>
        </w:rPr>
        <w:t>Regulatory authorities may also not approve the labeling claims that are necessary or desirable for the successful commercialization of a drug, such as RYTELO. For example, although we received regulatory approval from the FDA in June 2024, and from the EC in March 2025, to commercialize RYTELO in lower-risk MDS, any future</w:t>
      </w:r>
    </w:p>
    <w:p>
      <w:pPr>
        <w:sectPr>
          <w:pgSz w:w="11900" w:h="16838" w:orient="portrait"/>
          <w:cols w:equalWidth="0" w:num="1">
            <w:col w:w="9019"/>
          </w:cols>
          <w:pgMar w:left="1440" w:top="297" w:right="1440" w:bottom="0" w:gutter="0" w:footer="0" w:header="0"/>
        </w:sectPr>
      </w:pPr>
    </w:p>
    <w:bookmarkStart w:id="26" w:name="page27"/>
    <w:bookmarkEnd w:id="26"/>
    <w:p>
      <w:pPr>
        <w:ind w:left="960" w:right="979"/>
        <w:spacing w:after="0" w:line="186" w:lineRule="auto"/>
        <w:rPr>
          <w:sz w:val="20"/>
          <w:szCs w:val="20"/>
          <w:color w:val="auto"/>
        </w:rPr>
      </w:pPr>
      <w:r>
        <w:rPr>
          <w:rFonts w:ascii="Times New Roman" w:cs="Times New Roman" w:eastAsia="Times New Roman" w:hAnsi="Times New Roman"/>
          <w:sz w:val="14"/>
          <w:szCs w:val="14"/>
          <w:color w:val="auto"/>
        </w:rPr>
        <w:t>regulatory clearances that we might obtain for RYTELO may be limited to fewer or narrower indications than we might request, or may be granted subject to the performance of post-marketing studies, which may impose further requirements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-141605</wp:posOffset>
            </wp:positionV>
            <wp:extent cx="5584190" cy="3133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3133090"/>
                    </a:xfrm>
                    <a:prstGeom prst="rect">
                      <a:avLst/>
                    </a:prstGeom>
                    <a:noFill/>
                  </pic:spPr>
                </pic:pic>
              </a:graphicData>
            </a:graphic>
          </wp:anchor>
        </w:drawing>
      </w:r>
    </w:p>
    <w:p>
      <w:pPr>
        <w:ind w:left="960" w:right="999"/>
        <w:spacing w:after="0" w:line="260" w:lineRule="auto"/>
        <w:rPr>
          <w:sz w:val="20"/>
          <w:szCs w:val="20"/>
          <w:color w:val="auto"/>
        </w:rPr>
      </w:pPr>
      <w:r>
        <w:rPr>
          <w:rFonts w:ascii="Times New Roman" w:cs="Times New Roman" w:eastAsia="Times New Roman" w:hAnsi="Times New Roman"/>
          <w:sz w:val="14"/>
          <w:szCs w:val="14"/>
          <w:color w:val="auto"/>
        </w:rPr>
        <w:t>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RYTELO and affect reimbursement by third-party payors. Future regulatory clearances, if any, may be limited to a smaller patient population, or may require a different drug formulation or a different manufacturing process, than we might in the future decide to seek.</w:t>
      </w:r>
    </w:p>
    <w:p>
      <w:pPr>
        <w:spacing w:after="0" w:line="317" w:lineRule="exact"/>
        <w:rPr>
          <w:sz w:val="20"/>
          <w:szCs w:val="20"/>
          <w:color w:val="auto"/>
        </w:rPr>
      </w:pPr>
    </w:p>
    <w:p>
      <w:pPr>
        <w:ind w:left="960" w:right="1019" w:firstLine="902"/>
        <w:spacing w:after="0" w:line="263" w:lineRule="auto"/>
        <w:rPr>
          <w:sz w:val="20"/>
          <w:szCs w:val="20"/>
          <w:color w:val="auto"/>
        </w:rPr>
      </w:pPr>
      <w:r>
        <w:rPr>
          <w:rFonts w:ascii="Times New Roman" w:cs="Times New Roman" w:eastAsia="Times New Roman" w:hAnsi="Times New Roman"/>
          <w:sz w:val="14"/>
          <w:szCs w:val="14"/>
          <w:color w:val="auto"/>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if needed, the price of our common stock, our business and business prospects, and might cause us to cease operations.</w:t>
      </w:r>
    </w:p>
    <w:p>
      <w:pPr>
        <w:spacing w:after="0" w:line="140" w:lineRule="exact"/>
        <w:rPr>
          <w:sz w:val="20"/>
          <w:szCs w:val="20"/>
          <w:color w:val="auto"/>
        </w:rPr>
      </w:pPr>
    </w:p>
    <w:p>
      <w:pPr>
        <w:ind w:left="960" w:right="10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spacing w:after="0" w:line="139" w:lineRule="exact"/>
        <w:rPr>
          <w:sz w:val="20"/>
          <w:szCs w:val="20"/>
          <w:color w:val="auto"/>
        </w:rPr>
      </w:pPr>
    </w:p>
    <w:p>
      <w:pPr>
        <w:ind w:left="960" w:right="1079" w:firstLine="902"/>
        <w:spacing w:after="0" w:line="268" w:lineRule="auto"/>
        <w:rPr>
          <w:sz w:val="20"/>
          <w:szCs w:val="20"/>
          <w:color w:val="auto"/>
        </w:rPr>
      </w:pPr>
      <w:r>
        <w:rPr>
          <w:rFonts w:ascii="Times New Roman" w:cs="Times New Roman" w:eastAsia="Times New Roman" w:hAnsi="Times New Roman"/>
          <w:sz w:val="14"/>
          <w:szCs w:val="14"/>
          <w:color w:val="auto"/>
        </w:rPr>
        <w:t>The FDA granted orphan drug designation to RYTELO in June 2015 for the treatment of MF and for the treatment of MDS in December 2015, and the EC granted orphan drug designation in December 2015 to RYTELO for the treatment of MF and in July 2020 for the treatment of MDS. Orphan drug exclusivity confers seven and ten years of exclusivity in the U.S. and EU, respectively, following approval, subject to satisfying regulatory requirements. The FDA</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19"/>
        <w:spacing w:after="0" w:line="265" w:lineRule="auto"/>
        <w:rPr>
          <w:sz w:val="20"/>
          <w:szCs w:val="20"/>
          <w:color w:val="auto"/>
        </w:rPr>
      </w:pPr>
      <w:r>
        <w:rPr>
          <w:rFonts w:ascii="Times New Roman" w:cs="Times New Roman" w:eastAsia="Times New Roman" w:hAnsi="Times New Roman"/>
          <w:sz w:val="14"/>
          <w:szCs w:val="14"/>
          <w:color w:val="auto"/>
        </w:rPr>
        <w:t>has confirmed seven years of orphan drug exclusivity for RYTELO following its approval on June 6, 2024 for its approved indication in lower-risk MDS. On March 7, 2025, the EC granted marketing authorization for RYTELO as an orphan medicinal product indicated for the treatment of adult patients with TD anemia due to very low, low or intermediate risk MDS without an isolated deletion 5q cytogenetic (non-del 5q) abnormality and who had an unsatisfactory response to or are ineligible for erythropoietin-based therapy.</w:t>
      </w:r>
    </w:p>
    <w:p>
      <w:pPr>
        <w:spacing w:after="0" w:line="142" w:lineRule="exact"/>
        <w:rPr>
          <w:sz w:val="20"/>
          <w:szCs w:val="20"/>
          <w:color w:val="auto"/>
        </w:rPr>
      </w:pPr>
    </w:p>
    <w:p>
      <w:pPr>
        <w:ind w:left="960" w:right="1059" w:firstLine="902"/>
        <w:spacing w:after="0" w:line="268" w:lineRule="auto"/>
        <w:rPr>
          <w:sz w:val="20"/>
          <w:szCs w:val="20"/>
          <w:color w:val="auto"/>
        </w:rPr>
      </w:pPr>
      <w:r>
        <w:rPr>
          <w:rFonts w:ascii="Times New Roman" w:cs="Times New Roman" w:eastAsia="Times New Roman" w:hAnsi="Times New Roman"/>
          <w:sz w:val="14"/>
          <w:szCs w:val="14"/>
          <w:color w:val="auto"/>
          <w:highlight w:val="white"/>
        </w:rPr>
        <w:t>Designation as an orphan drug does n</w:t>
      </w:r>
      <w:r>
        <w:rPr>
          <w:rFonts w:ascii="Times New Roman" w:cs="Times New Roman" w:eastAsia="Times New Roman" w:hAnsi="Times New Roman"/>
          <w:sz w:val="14"/>
          <w:szCs w:val="14"/>
          <w:color w:val="auto"/>
        </w:rPr>
        <w:t>ot guarantee that any regulatory authority will accelerate regulatory</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review of, or ultimately approve, RYTELO for any indication, or at all, in the U.S., EU or any other country, nor does it limit the ability of any regulatory authority to grant orphan drug designation to product candidates of other companies that treat the same indications as RYTELO if such products are able to demonstrate superiority to RYTELO.</w:t>
      </w:r>
    </w:p>
    <w:p>
      <w:pPr>
        <w:spacing w:after="0" w:line="140" w:lineRule="exact"/>
        <w:rPr>
          <w:sz w:val="20"/>
          <w:szCs w:val="20"/>
          <w:color w:val="auto"/>
        </w:rPr>
      </w:pPr>
    </w:p>
    <w:p>
      <w:pPr>
        <w:ind w:left="960" w:right="979" w:firstLine="902"/>
        <w:spacing w:after="0" w:line="265" w:lineRule="auto"/>
        <w:rPr>
          <w:sz w:val="20"/>
          <w:szCs w:val="20"/>
          <w:color w:val="auto"/>
        </w:rPr>
      </w:pPr>
      <w:r>
        <w:rPr>
          <w:rFonts w:ascii="Times New Roman" w:cs="Times New Roman" w:eastAsia="Times New Roman" w:hAnsi="Times New Roman"/>
          <w:sz w:val="14"/>
          <w:szCs w:val="14"/>
          <w:color w:val="auto"/>
        </w:rPr>
        <w:t>We may lose orphan drug exclusivity in the U.S. for certain reasons, including if the FDA determines that the request for orphan drug designation was materially defective or if we cannot ensure sufficient quantities of RYTELO to meet the needs of patients. In the EU, orphan designation may be lost before marketing authorization if it is established that the criteria for orphan designation are no longer met. Failure to maintain orphan designation status would lead to the inability to obtain or the loss of associated regulatory exclusivity.</w:t>
      </w:r>
    </w:p>
    <w:p>
      <w:pPr>
        <w:spacing w:after="0" w:line="142"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color w:val="auto"/>
        </w:rPr>
        <w:t>Even if we maintain orphan drug exclusivity for RYTELO in the U.S., the exclusivity may not effectively protect RYTELO from all competition because different drugs with different active moieties can be approved for the same condition or a drug containing the same active moiety or principal molecular structure can be approved for a different indication. Even after an orphan drug product is approved, such as the approval of RYTELO in the U.S. in June 2024 for certain patients with lower-risk MDS, the FDA can subsequently grant orphan designation to a different drug with the same active moiety for the same condition, if the FDA concludes that the later drug is safer, more effective, or makes a major contribution to patient care. The occurrence of any of these events could limit the period of exclusivity we are able to maintain for RYTELO, allow competitive products to enter the market, and harm our business and business prospects. In addition, for any other indication that we are currently or may in the future seek to develop or obtain regulatory approval for RYTELO, orphan drug designation will neither shorten the development time nor regulatory review time for RYTELO in the US and other comparable jurisdictions, and it does not give RYTELO advantages in the regulatory review or approval process. Notably, there have been legal challenges to aspects of FDA’s regulations and policies concerning the exclusivity provisions of the Orphan Drug Act, including whether two drugs are the same drug product. Future challenges could lead to changes that affect the protections potentially afforded to our products in ways that are difficult to predict.</w:t>
      </w:r>
    </w:p>
    <w:p>
      <w:pPr>
        <w:spacing w:after="0" w:line="155"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Similarly, in the EU, orphan market exclusivity may not effectively protect RYTELO from all competition. Following the authorization of RYTELO as an orphan medicinal product by the EC in March 2025 for certain patients with lower-risk MDS, the EC can subsequently approve similar orphan medicinal products for the same therapeutic indication or if we are unable to supply RYTELO in sufficient quantities or if a similar medicinal product with the same orphan indication is shown to be safer, more effective or otherwise clinically superior to the original orphan medicinal product. If it is established that the criteria for orphan designation are no longer met inter alia where it is shown that the product is sufficiently profitable, EU orphan market exclusivity may be reduced to six instead of 10 years, allowing similar medicinal products for the same therapeutic indication to the market sooner. In the EU, orphan drug designation for any additional indication we may pursue for RYTELO does confer certain regulatory advantages—such as protocol assistance—but it does not shorten development timelines or accelerate the EMA’s overall review process.</w:t>
      </w:r>
    </w:p>
    <w:p>
      <w:pPr>
        <w:spacing w:after="0" w:line="146"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In April 2023, the EC published a proposal to reform the current pharmaceutical framework, including revision of orphan market exclusivity. The new legislation, if adopted, is expected to start to apply from mid-2028. The proposal to reform the current pharmaceutical framework intends to revise the orphan drug designation and exclusivity regime. In the latest version of the proposal, orphan market exclusivity will be reduced from the current 10 years to 9 years. Extension by another two years will be possible for so-called “breakthrough orphan medicinal products”. Previous drafts also included the concept of “global orphan marketing authorization”, which would no longer grant additional separate orphan market exclusivity for second or further orphan therapeutic indications. Although the final text has not yet been published and RYTELO for the treatment of MDS is and remains regulated under the current regulatory framework, authorization of future indications may be affected by the new legislation.</w:t>
      </w:r>
    </w:p>
    <w:p>
      <w:pPr>
        <w:sectPr>
          <w:pgSz w:w="11900" w:h="16838"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36830"/>
                    </a:xfrm>
                    <a:prstGeom prst="rect">
                      <a:avLst/>
                    </a:prstGeom>
                    <a:noFill/>
                  </pic:spPr>
                </pic:pic>
              </a:graphicData>
            </a:graphic>
          </wp:anchor>
        </w:drawing>
      </w:r>
    </w:p>
    <w:p>
      <w:pPr>
        <w:sectPr>
          <w:pgSz w:w="11900" w:h="16838" w:orient="portrait"/>
          <w:cols w:equalWidth="0" w:num="1">
            <w:col w:w="9019"/>
          </w:cols>
          <w:pgMar w:left="1440" w:top="114" w:right="1440" w:bottom="0" w:gutter="0" w:footer="0" w:header="0"/>
          <w:type w:val="continuous"/>
        </w:sectPr>
      </w:pPr>
    </w:p>
    <w:bookmarkStart w:id="27" w:name="page28"/>
    <w:bookmarkEnd w:id="27"/>
    <w:p>
      <w:pPr>
        <w:ind w:left="9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76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717677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6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Even though we reported positive top-line results from IMerge Phase 3 in January 2023 and received regulatory approval from the FDA in June 2024 to commercialize RYTELO in the U.S. for lower-risk MDS, the top-line results from IMerge Phase 3 are not necessarily predictive of RYTELO’s activity in other indications, such as in relapsed/ refractory MF.</w:t>
      </w:r>
    </w:p>
    <w:p>
      <w:pPr>
        <w:spacing w:after="0" w:line="139"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Even though we reported positive top-line results from IMerge Phase 3 in January 2023 and received regulatory approval from the FDA in June 2024 and the EC in March 2025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in relapsed/refractory MF.</w:t>
      </w:r>
    </w:p>
    <w:p>
      <w:pPr>
        <w:spacing w:after="0" w:line="142" w:lineRule="exact"/>
        <w:rPr>
          <w:sz w:val="20"/>
          <w:szCs w:val="20"/>
          <w:color w:val="auto"/>
        </w:rPr>
      </w:pPr>
    </w:p>
    <w:p>
      <w:pPr>
        <w:ind w:left="960" w:right="1039" w:firstLine="902"/>
        <w:spacing w:after="0" w:line="259" w:lineRule="auto"/>
        <w:rPr>
          <w:sz w:val="20"/>
          <w:szCs w:val="20"/>
          <w:color w:val="auto"/>
        </w:rPr>
      </w:pPr>
      <w:r>
        <w:rPr>
          <w:rFonts w:ascii="Times New Roman" w:cs="Times New Roman" w:eastAsia="Times New Roman" w:hAnsi="Times New Roman"/>
          <w:sz w:val="14"/>
          <w:szCs w:val="14"/>
          <w:color w:val="auto"/>
        </w:rPr>
        <w:t>In addition, with respect to the trial design for IMpactMF, our Phase 3 trial in relapsed/refractory 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our Phase 2 clinical trial that evaluated two doses of imetelstat in relapsed/refractory MF and the results of which our IMpactMF trial is based on,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 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w:t>
      </w:r>
    </w:p>
    <w:p>
      <w:pPr>
        <w:spacing w:after="0" w:line="147"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Regulatory authorities have substantial discretion in the approval process and can delay, limit or deny approval of RYTELO in other jurisdictions or indications, or require us to conduct additional non-clinical or clinical testing or abandon a program for many reasons, including:</w:t>
      </w:r>
    </w:p>
    <w:p>
      <w:pPr>
        <w:spacing w:after="0" w:line="136" w:lineRule="exact"/>
        <w:rPr>
          <w:sz w:val="20"/>
          <w:szCs w:val="20"/>
          <w:color w:val="auto"/>
        </w:rPr>
      </w:pPr>
    </w:p>
    <w:p>
      <w:pPr>
        <w:ind w:left="2760" w:right="1499" w:hanging="898"/>
        <w:spacing w:after="0" w:line="292" w:lineRule="auto"/>
        <w:tabs>
          <w:tab w:leader="none" w:pos="2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the design or implementation of our clinical trials, including our statistical analysis of trial results;</w:t>
      </w:r>
    </w:p>
    <w:p>
      <w:pPr>
        <w:spacing w:after="0" w:line="123" w:lineRule="exact"/>
        <w:rPr>
          <w:rFonts w:ascii="Times New Roman" w:cs="Times New Roman" w:eastAsia="Times New Roman" w:hAnsi="Times New Roman"/>
          <w:sz w:val="14"/>
          <w:szCs w:val="14"/>
          <w:color w:val="auto"/>
        </w:rPr>
      </w:pPr>
    </w:p>
    <w:p>
      <w:pPr>
        <w:ind w:left="2760" w:right="1419" w:hanging="898"/>
        <w:spacing w:after="0" w:line="292" w:lineRule="auto"/>
        <w:tabs>
          <w:tab w:leader="none" w:pos="2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RYTELO’s efficacy results provide sufficient evidence of overall clinical benefit;</w:t>
      </w:r>
    </w:p>
    <w:p>
      <w:pPr>
        <w:spacing w:after="0" w:line="123" w:lineRule="exact"/>
        <w:rPr>
          <w:rFonts w:ascii="Times New Roman" w:cs="Times New Roman" w:eastAsia="Times New Roman" w:hAnsi="Times New Roman"/>
          <w:sz w:val="14"/>
          <w:szCs w:val="14"/>
          <w:color w:val="auto"/>
        </w:rPr>
      </w:pPr>
    </w:p>
    <w:p>
      <w:pPr>
        <w:ind w:left="2760" w:right="1199" w:hanging="898"/>
        <w:spacing w:after="0" w:line="292" w:lineRule="auto"/>
        <w:tabs>
          <w:tab w:leader="none" w:pos="2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benefit-to-risk assessment, in the case of marginal efficacy and/or clinically relevant safety concerns, for any proposed indication;</w:t>
      </w:r>
    </w:p>
    <w:p>
      <w:pPr>
        <w:spacing w:after="0" w:line="123" w:lineRule="exact"/>
        <w:rPr>
          <w:rFonts w:ascii="Times New Roman" w:cs="Times New Roman" w:eastAsia="Times New Roman" w:hAnsi="Times New Roman"/>
          <w:sz w:val="14"/>
          <w:szCs w:val="14"/>
          <w:color w:val="auto"/>
        </w:rPr>
      </w:pPr>
    </w:p>
    <w:p>
      <w:pPr>
        <w:ind w:left="2760" w:right="1059" w:hanging="898"/>
        <w:spacing w:after="0" w:line="292" w:lineRule="auto"/>
        <w:tabs>
          <w:tab w:leader="none" w:pos="2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and unexpected drug-related side effects experienced by participants in our clinical trials or by individuals using RYTELO or drugs similar to RYTELO;</w:t>
      </w:r>
    </w:p>
    <w:p>
      <w:pPr>
        <w:spacing w:after="0" w:line="123"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our interpretation of data from non-clinical studies or clinical trials;</w:t>
      </w:r>
    </w:p>
    <w:p>
      <w:pPr>
        <w:spacing w:after="0" w:line="182" w:lineRule="exact"/>
        <w:rPr>
          <w:rFonts w:ascii="Times New Roman" w:cs="Times New Roman" w:eastAsia="Times New Roman" w:hAnsi="Times New Roman"/>
          <w:sz w:val="14"/>
          <w:szCs w:val="14"/>
          <w:color w:val="auto"/>
        </w:rPr>
      </w:pPr>
    </w:p>
    <w:p>
      <w:pPr>
        <w:ind w:left="2760" w:right="1099" w:hanging="898"/>
        <w:spacing w:after="0" w:line="274" w:lineRule="auto"/>
        <w:tabs>
          <w:tab w:leader="none" w:pos="2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rejection by the FDA of foreign data included in any future supplemental NDA, or sNDA, submissions for any future indications and the non-applicability of this data to the U.S. population and U.S. medical practice;</w:t>
      </w:r>
    </w:p>
    <w:p>
      <w:pPr>
        <w:spacing w:after="0" w:line="135" w:lineRule="exact"/>
        <w:rPr>
          <w:rFonts w:ascii="Times New Roman" w:cs="Times New Roman" w:eastAsia="Times New Roman" w:hAnsi="Times New Roman"/>
          <w:sz w:val="14"/>
          <w:szCs w:val="14"/>
          <w:color w:val="auto"/>
        </w:rPr>
      </w:pPr>
    </w:p>
    <w:p>
      <w:pPr>
        <w:jc w:val="both"/>
        <w:ind w:left="2760" w:right="1059" w:hanging="898"/>
        <w:spacing w:after="0" w:line="274" w:lineRule="auto"/>
        <w:tabs>
          <w:tab w:leader="none" w:pos="2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spacing w:after="0" w:line="135" w:lineRule="exact"/>
        <w:rPr>
          <w:rFonts w:ascii="Times New Roman" w:cs="Times New Roman" w:eastAsia="Times New Roman" w:hAnsi="Times New Roman"/>
          <w:sz w:val="14"/>
          <w:szCs w:val="14"/>
          <w:color w:val="auto"/>
        </w:rPr>
      </w:pPr>
    </w:p>
    <w:p>
      <w:pPr>
        <w:ind w:left="2760" w:right="1059" w:hanging="898"/>
        <w:spacing w:after="0" w:line="271" w:lineRule="auto"/>
        <w:tabs>
          <w:tab w:leader="none" w:pos="2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by international regulatory authorities that regulatory approval for RYTELO should be narrowed or made more restrictive than our current approvals in the U.S. and the EU for lower-risk MDS or any future indication for which approval is sought, if 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276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32766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2760" w:hanging="898"/>
        <w:spacing w:after="0"/>
        <w:tabs>
          <w:tab w:leader="none" w:pos="2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regarding the formulation, labeling and/or the specifications for RYTELO;</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quality or stability of RYTELO to meet acceptable regulatory standards;</w:t>
      </w:r>
    </w:p>
    <w:p>
      <w:pPr>
        <w:spacing w:after="0" w:line="182" w:lineRule="exact"/>
        <w:rPr>
          <w:rFonts w:ascii="Times New Roman" w:cs="Times New Roman" w:eastAsia="Times New Roman" w:hAnsi="Times New Roman"/>
          <w:sz w:val="14"/>
          <w:szCs w:val="14"/>
          <w:color w:val="auto"/>
        </w:rPr>
      </w:pPr>
    </w:p>
    <w:p>
      <w:pPr>
        <w:ind w:left="2760" w:right="1239" w:hanging="898"/>
        <w:spacing w:after="0" w:line="274" w:lineRule="auto"/>
        <w:tabs>
          <w:tab w:leader="none" w:pos="2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EMA or the competent authorities of the individual EU Member States or similar international regulatory authorities may lack resources or be delayed in conducting pre-approval inspections due to lack of resources or other reasons;</w:t>
      </w:r>
    </w:p>
    <w:p>
      <w:pPr>
        <w:spacing w:after="0" w:line="135" w:lineRule="exact"/>
        <w:rPr>
          <w:rFonts w:ascii="Times New Roman" w:cs="Times New Roman" w:eastAsia="Times New Roman" w:hAnsi="Times New Roman"/>
          <w:sz w:val="14"/>
          <w:szCs w:val="14"/>
          <w:color w:val="auto"/>
        </w:rPr>
      </w:pPr>
    </w:p>
    <w:p>
      <w:pPr>
        <w:ind w:left="2760" w:right="1279" w:hanging="898"/>
        <w:spacing w:after="0" w:line="268" w:lineRule="auto"/>
        <w:tabs>
          <w:tab w:leader="none" w:pos="2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any third-party service providers may be unable to demonstrate compliance with GMP, good clinical practices, or GCP, or other applicable regulatory and other requirements to the satisfaction of the FDA, the EMA, the competent authorities of the individual EU Member States or similar international regulatory authorities; or</w:t>
      </w:r>
    </w:p>
    <w:p>
      <w:pPr>
        <w:spacing w:after="0" w:line="140" w:lineRule="exact"/>
        <w:rPr>
          <w:rFonts w:ascii="Times New Roman" w:cs="Times New Roman" w:eastAsia="Times New Roman" w:hAnsi="Times New Roman"/>
          <w:sz w:val="14"/>
          <w:szCs w:val="14"/>
          <w:color w:val="auto"/>
        </w:rPr>
      </w:pPr>
    </w:p>
    <w:p>
      <w:pPr>
        <w:ind w:left="2760" w:right="979" w:hanging="898"/>
        <w:spacing w:after="0" w:line="274" w:lineRule="auto"/>
        <w:tabs>
          <w:tab w:leader="none" w:pos="2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policies or approval processes, or potential reduction of unmet medical need with the entry of competitive therapies to the market, could render our clinical efficacy or safety data insufficient for approval.</w:t>
      </w:r>
    </w:p>
    <w:p>
      <w:pPr>
        <w:spacing w:after="0" w:line="136" w:lineRule="exact"/>
        <w:rPr>
          <w:sz w:val="20"/>
          <w:szCs w:val="20"/>
          <w:color w:val="auto"/>
        </w:rPr>
      </w:pPr>
    </w:p>
    <w:p>
      <w:pPr>
        <w:ind w:left="960" w:right="1059" w:firstLine="902"/>
        <w:spacing w:after="0" w:line="274" w:lineRule="auto"/>
        <w:rPr>
          <w:sz w:val="20"/>
          <w:szCs w:val="20"/>
          <w:color w:val="auto"/>
        </w:rPr>
      </w:pPr>
      <w:r>
        <w:rPr>
          <w:rFonts w:ascii="Times New Roman" w:cs="Times New Roman" w:eastAsia="Times New Roman" w:hAnsi="Times New Roman"/>
          <w:sz w:val="14"/>
          <w:szCs w:val="14"/>
          <w:color w:val="auto"/>
        </w:rPr>
        <w:t>Any of these events may result in a failure to further develop, obtain regulatory approval for or commercialize RYTELO in any jurisdiction or in any indication other than lower-risk MDS in the U.S. and the EU, which could severely and adversely affect our business and business prospects.</w:t>
      </w:r>
    </w:p>
    <w:p>
      <w:pPr>
        <w:spacing w:after="0" w:line="136" w:lineRule="exact"/>
        <w:rPr>
          <w:sz w:val="20"/>
          <w:szCs w:val="20"/>
          <w:color w:val="auto"/>
        </w:rPr>
      </w:pPr>
    </w:p>
    <w:p>
      <w:pPr>
        <w:jc w:val="both"/>
        <w:ind w:left="960" w:right="999" w:firstLine="902"/>
        <w:spacing w:after="0" w:line="274" w:lineRule="auto"/>
        <w:rPr>
          <w:sz w:val="20"/>
          <w:szCs w:val="20"/>
          <w:color w:val="auto"/>
        </w:rPr>
      </w:pPr>
      <w:r>
        <w:rPr>
          <w:rFonts w:ascii="Times New Roman" w:cs="Times New Roman" w:eastAsia="Times New Roman" w:hAnsi="Times New Roman"/>
          <w:sz w:val="14"/>
          <w:szCs w:val="14"/>
          <w:color w:val="auto"/>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RISKS RELATED TO COMPLIANCE WITH HEALTHCARE LAWS</w:t>
      </w:r>
    </w:p>
    <w:p>
      <w:pPr>
        <w:sectPr>
          <w:pgSz w:w="11900" w:h="16838" w:orient="portrait"/>
          <w:cols w:equalWidth="0" w:num="1">
            <w:col w:w="9019"/>
          </w:cols>
          <w:pgMar w:left="1440" w:top="254" w:right="1440" w:bottom="0" w:gutter="0" w:footer="0" w:header="0"/>
        </w:sectPr>
      </w:pPr>
    </w:p>
    <w:bookmarkStart w:id="28" w:name="page29"/>
    <w:bookmarkEnd w:id="28"/>
    <w:p>
      <w:pPr>
        <w:ind w:left="960" w:right="109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37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3937635"/>
                    </a:xfrm>
                    <a:prstGeom prst="rect">
                      <a:avLst/>
                    </a:prstGeom>
                    <a:noFill/>
                  </pic:spPr>
                </pic:pic>
              </a:graphicData>
            </a:graphic>
          </wp:anchor>
        </w:drawing>
        <w:t>Our relationships with healthcare providers, including physicians and third-party payors, the methods by which we promote RYTELO, and the content of our promotional materials and programs, are subject to applicable promotional, anti-kickback, fraud and abuse, and other healthcare laws and regulations, and our failure to comply with these laws could expose us to criminal sanctions, civil penalties, exclusion from federal health care programs, contractual damages, reputational harm and may adversely affect our business and financial results.</w:t>
      </w:r>
    </w:p>
    <w:p>
      <w:pPr>
        <w:spacing w:after="0" w:line="143" w:lineRule="exact"/>
        <w:rPr>
          <w:sz w:val="20"/>
          <w:szCs w:val="20"/>
          <w:color w:val="auto"/>
        </w:rPr>
      </w:pPr>
    </w:p>
    <w:p>
      <w:pPr>
        <w:ind w:left="960" w:right="1079" w:firstLine="902"/>
        <w:spacing w:after="0" w:line="262" w:lineRule="auto"/>
        <w:rPr>
          <w:sz w:val="20"/>
          <w:szCs w:val="20"/>
          <w:color w:val="auto"/>
        </w:rPr>
      </w:pPr>
      <w:r>
        <w:rPr>
          <w:rFonts w:ascii="Times New Roman" w:cs="Times New Roman" w:eastAsia="Times New Roman" w:hAnsi="Times New Roman"/>
          <w:sz w:val="14"/>
          <w:szCs w:val="14"/>
          <w:color w:val="auto"/>
        </w:rPr>
        <w:t>The FDA strictly regulates the promotional claims that may be made about drug products. In particular, FDA asserts that a product may not be promoted for uses that are not approved by the FDA as reflected in the product’s approved labeling. The FDA, DOJ and other agencies actively enforce regulations related to the promotion and advertisement of pharmaceutical products. If our promotional materials or methods were found to have violated the Food, Drug, and Cosmetic Act, or False Claims Act, we could be subject to Warning or Untitled Letters, or to significant civil, criminal, or administrative penalties, which could inhibit our ability to commercialize RYTELO and generate revenue, require us to expend significant time and resources in response, and generate negative publicity.</w:t>
      </w:r>
    </w:p>
    <w:p>
      <w:pPr>
        <w:spacing w:after="0" w:line="144" w:lineRule="exact"/>
        <w:rPr>
          <w:sz w:val="20"/>
          <w:szCs w:val="20"/>
          <w:color w:val="auto"/>
        </w:rPr>
      </w:pPr>
    </w:p>
    <w:p>
      <w:pPr>
        <w:ind w:left="960" w:right="1119" w:firstLine="902"/>
        <w:spacing w:after="0" w:line="261" w:lineRule="auto"/>
        <w:rPr>
          <w:sz w:val="20"/>
          <w:szCs w:val="20"/>
          <w:color w:val="auto"/>
        </w:rPr>
      </w:pPr>
      <w:r>
        <w:rPr>
          <w:rFonts w:ascii="Times New Roman" w:cs="Times New Roman" w:eastAsia="Times New Roman" w:hAnsi="Times New Roman"/>
          <w:sz w:val="14"/>
          <w:szCs w:val="14"/>
          <w:color w:val="auto"/>
        </w:rPr>
        <w:t>Healthcare professionals, including but not limited to physicians, nurses, medical directors, hospitals, pharmacies, pharmacy benefit managers, group purchasing organizations, wholesalers, insurers, and all individuals employed by such entities (collectively, HCPs), and patients, caregivers, patient advocacy organizations, or medical societies, may influence the recommendation and prescription of RYTELO. There is ongoing government focus on the relationships between the pharmaceutical industry and HCPs or others who can influence the prescription or recommendation of products, and common industry activities that we may engage in such as speaker programs, advisory boards, consulting agreements with HCPs, relationships with charitable foundations providing copayment assistance, and relationships with patient organizations and patients continue to receive increased governmental attention.</w:t>
      </w:r>
    </w:p>
    <w:p>
      <w:pPr>
        <w:spacing w:after="0" w:line="146"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Our arrangements with HCPs and others who have the ability to influence the recommendation and prescription of RYTELO may expose us to broadly applicable federal and state fraud and abuse and other healthcare laws and regulations,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6515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65157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79"/>
        <w:spacing w:after="0" w:line="292" w:lineRule="auto"/>
        <w:rPr>
          <w:sz w:val="20"/>
          <w:szCs w:val="20"/>
          <w:color w:val="auto"/>
        </w:rPr>
      </w:pPr>
      <w:r>
        <w:rPr>
          <w:rFonts w:ascii="Times New Roman" w:cs="Times New Roman" w:eastAsia="Times New Roman" w:hAnsi="Times New Roman"/>
          <w:sz w:val="14"/>
          <w:szCs w:val="14"/>
          <w:color w:val="auto"/>
        </w:rPr>
        <w:t>affect our ability to operate, see Item 1 “Business-Government Regulation- Fraud and Abuse, and Transparency Laws and Regulations” of this Report.</w:t>
      </w:r>
    </w:p>
    <w:p>
      <w:pPr>
        <w:spacing w:after="0" w:line="124"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the statutory exceptions and safe harbors available, it is possible that some of our business activities could be subject to challenge under one or more of such laws. For example, to help patients afford our products, we have a patient assistance program and also occasionally make donations to independent charitable foundations that help financially needy patients. These types of programs designed to assist patients in affording pharmaceuticals have become the subject of scrutiny under the AKS and other federal and state laws in recent years. If we or our vendors or donation recipients are deemed to fail to comply with laws or regulations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A government investigation could negatively impact our business practices, harm our reputation, divert the attention of management and increase our expenses.</w:t>
      </w:r>
    </w:p>
    <w:p>
      <w:pPr>
        <w:spacing w:after="0" w:line="151"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While we maintain a comprehensive compliance program designed with the goal of ensuring that our practices and the activities of our third party contractors and employees fall within the scope of available statutory exceptions and regulatory safe harbors whenever possible, and otherwise comply with applicable laws, it is possible that government authorities may disagree with our assessment, find fault with the conduct of our employees or contractors or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Even if we are not determined to have violated these laws, government investigations into these issues typically require the expenditure of significant resources and generate negative publicity, or could result in related shareholder lawsuits, any of which would adversely affect our business, financial condition, results of operations and prospects.</w:t>
      </w:r>
    </w:p>
    <w:p>
      <w:pPr>
        <w:spacing w:after="0" w:line="149"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Foreign, 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p>
    <w:p>
      <w:pPr>
        <w:spacing w:after="0" w:line="142" w:lineRule="exact"/>
        <w:rPr>
          <w:sz w:val="20"/>
          <w:szCs w:val="20"/>
          <w:color w:val="auto"/>
        </w:rPr>
      </w:pPr>
    </w:p>
    <w:p>
      <w:pPr>
        <w:ind w:left="2760" w:right="979" w:hanging="898"/>
        <w:spacing w:after="0" w:line="292" w:lineRule="auto"/>
        <w:tabs>
          <w:tab w:leader="none" w:pos="2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significant civil, criminal and administrative penalties, damages, monetary fines, disgorgement and imprisonment;</w:t>
      </w:r>
    </w:p>
    <w:p>
      <w:pPr>
        <w:spacing w:after="0" w:line="37" w:lineRule="exact"/>
        <w:rPr>
          <w:rFonts w:ascii="Times New Roman" w:cs="Times New Roman" w:eastAsia="Times New Roman" w:hAnsi="Times New Roman"/>
          <w:sz w:val="14"/>
          <w:szCs w:val="14"/>
          <w:color w:val="auto"/>
        </w:rPr>
      </w:pPr>
    </w:p>
    <w:p>
      <w:pPr>
        <w:ind w:left="2760" w:right="1159" w:hanging="898"/>
        <w:spacing w:after="0" w:line="292" w:lineRule="auto"/>
        <w:tabs>
          <w:tab w:leader="none" w:pos="2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exclusion from participation in Medicare, Medicaid and other federal healthcare programs or comparable foreign programs;</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harm;</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diminished profits and future earnings;</w:t>
      </w:r>
    </w:p>
    <w:p>
      <w:pPr>
        <w:spacing w:after="0" w:line="96" w:lineRule="exact"/>
        <w:rPr>
          <w:rFonts w:ascii="Times New Roman" w:cs="Times New Roman" w:eastAsia="Times New Roman" w:hAnsi="Times New Roman"/>
          <w:sz w:val="14"/>
          <w:szCs w:val="14"/>
          <w:color w:val="auto"/>
        </w:rPr>
      </w:pPr>
    </w:p>
    <w:p>
      <w:pPr>
        <w:ind w:left="2760" w:right="1259" w:hanging="898"/>
        <w:spacing w:after="0" w:line="274" w:lineRule="auto"/>
        <w:tabs>
          <w:tab w:leader="none" w:pos="2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reporting requirements and oversight if we become subject to a corporate integrity agreement or similar agreement to resolve allegations of non-compliance with these laws; and</w:t>
      </w:r>
    </w:p>
    <w:p>
      <w:pPr>
        <w:spacing w:after="0" w:line="50"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curtailment of our operations.</w:t>
      </w:r>
    </w:p>
    <w:p>
      <w:pPr>
        <w:spacing w:after="0" w:line="97" w:lineRule="exact"/>
        <w:rPr>
          <w:sz w:val="20"/>
          <w:szCs w:val="20"/>
          <w:color w:val="auto"/>
        </w:rPr>
      </w:pPr>
    </w:p>
    <w:p>
      <w:pPr>
        <w:jc w:val="both"/>
        <w:ind w:left="960" w:right="1179" w:firstLine="902"/>
        <w:spacing w:after="0" w:line="274" w:lineRule="auto"/>
        <w:rPr>
          <w:sz w:val="20"/>
          <w:szCs w:val="20"/>
          <w:color w:val="auto"/>
        </w:rPr>
      </w:pPr>
      <w:r>
        <w:rPr>
          <w:rFonts w:ascii="Times New Roman" w:cs="Times New Roman" w:eastAsia="Times New Roman" w:hAnsi="Times New Roman"/>
          <w:sz w:val="14"/>
          <w:szCs w:val="14"/>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ectPr>
          <w:pgSz w:w="11900" w:h="16838" w:orient="portrait"/>
          <w:cols w:equalWidth="0" w:num="1">
            <w:col w:w="9019"/>
          </w:cols>
          <w:pgMar w:left="1440" w:top="239" w:right="1440" w:bottom="573" w:gutter="0" w:footer="0" w:header="0"/>
        </w:sectPr>
      </w:pPr>
    </w:p>
    <w:bookmarkStart w:id="29" w:name="page30"/>
    <w:bookmarkEnd w:id="2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98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6985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RISKS RELATED TO THE FURTHER DEVELOPMENT OF IMETELSTAT</w:t>
      </w:r>
    </w:p>
    <w:p>
      <w:pPr>
        <w:spacing w:after="0" w:line="181" w:lineRule="exact"/>
        <w:rPr>
          <w:sz w:val="20"/>
          <w:szCs w:val="20"/>
          <w:color w:val="auto"/>
        </w:rPr>
      </w:pPr>
    </w:p>
    <w:p>
      <w:pPr>
        <w:jc w:val="both"/>
        <w:ind w:left="960" w:right="10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spacing w:after="0" w:line="134" w:lineRule="exact"/>
        <w:rPr>
          <w:sz w:val="20"/>
          <w:szCs w:val="20"/>
          <w:color w:val="auto"/>
        </w:rPr>
      </w:pPr>
    </w:p>
    <w:p>
      <w:pPr>
        <w:ind w:left="960" w:right="1019" w:firstLine="902"/>
        <w:spacing w:after="0" w:line="262" w:lineRule="auto"/>
        <w:rPr>
          <w:sz w:val="20"/>
          <w:szCs w:val="20"/>
          <w:color w:val="auto"/>
        </w:rPr>
      </w:pPr>
      <w:r>
        <w:rPr>
          <w:rFonts w:ascii="Times New Roman" w:cs="Times New Roman" w:eastAsia="Times New Roman" w:hAnsi="Times New Roman"/>
          <w:sz w:val="14"/>
          <w:szCs w:val="14"/>
          <w:color w:val="auto"/>
        </w:rPr>
        <w:t xml:space="preserve">We are wholly dependent on the success of RYTELO (imetelstat), which is our only approved product, and our ability to generate revenue from product sales and achieve profitability is wholly dependent on our ability to successfully commercialize RYTELO for lower-risk MDS or to expand its indications of use. In this regard, in addition to lower-risk MDS, which is the only indication for which RYTELO has received marketing approval in the U.S. and the EU, we are developing imetelstat for the treatment of several myeloid hematologic malignancies. Our ability to further develop imetelstat and to expand its indications of use to other myeloid hematologic malignancies is subject </w:t>
      </w:r>
      <w:r>
        <w:rPr>
          <w:rFonts w:ascii="Times New Roman" w:cs="Times New Roman" w:eastAsia="Times New Roman" w:hAnsi="Times New Roman"/>
          <w:sz w:val="14"/>
          <w:szCs w:val="14"/>
          <w:color w:val="auto"/>
          <w:highlight w:val="white"/>
        </w:rPr>
        <w:t>to significant risks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uncertainties, including, among other things, our ability to:</w:t>
      </w:r>
    </w:p>
    <w:p>
      <w:pPr>
        <w:spacing w:after="0" w:line="144" w:lineRule="exact"/>
        <w:rPr>
          <w:sz w:val="20"/>
          <w:szCs w:val="20"/>
          <w:color w:val="auto"/>
        </w:rPr>
      </w:pPr>
    </w:p>
    <w:p>
      <w:pPr>
        <w:ind w:left="2760" w:right="999" w:hanging="898"/>
        <w:spacing w:after="0" w:line="265"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generate sufficient safety and efficacy data from the IMpactMF, IMproveMF, IMpress and IMAGINE clinical trials, as well as our studies in frontline MF and acute myeloid leukemia or high-risk MDS, to support any application for regulatory approval, without clinically meaningful safety issues, side effects or dose-limiting toxicities related to imetelstat that may negatively impact its benefit-risk profile;</w:t>
      </w:r>
    </w:p>
    <w:p>
      <w:pPr>
        <w:spacing w:after="0" w:line="56" w:lineRule="exact"/>
        <w:rPr>
          <w:rFonts w:ascii="Times New Roman" w:cs="Times New Roman" w:eastAsia="Times New Roman" w:hAnsi="Times New Roman"/>
          <w:sz w:val="14"/>
          <w:szCs w:val="14"/>
          <w:color w:val="auto"/>
        </w:rPr>
      </w:pPr>
    </w:p>
    <w:p>
      <w:pPr>
        <w:ind w:left="2760" w:right="999" w:hanging="898"/>
        <w:spacing w:after="0" w:line="274"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ascertain that the use of imetelstat does not result in significant systemic or organ toxicities, including hepatotoxicity, or other safety issues resulting in an unacceptable benefit-risk profile;</w:t>
      </w:r>
    </w:p>
    <w:p>
      <w:pPr>
        <w:spacing w:after="0" w:line="50" w:lineRule="exact"/>
        <w:rPr>
          <w:rFonts w:ascii="Times New Roman" w:cs="Times New Roman" w:eastAsia="Times New Roman" w:hAnsi="Times New Roman"/>
          <w:sz w:val="14"/>
          <w:szCs w:val="14"/>
          <w:color w:val="auto"/>
        </w:rPr>
      </w:pPr>
    </w:p>
    <w:p>
      <w:pPr>
        <w:ind w:left="2760" w:right="1359" w:hanging="898"/>
        <w:spacing w:after="0" w:line="292"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additional capital, if and when needed, in order to enable us to further advance imetelstat clinical trials in other myeloid hematologic malignancies;</w:t>
      </w:r>
    </w:p>
    <w:p>
      <w:pPr>
        <w:spacing w:after="0" w:line="37" w:lineRule="exact"/>
        <w:rPr>
          <w:rFonts w:ascii="Times New Roman" w:cs="Times New Roman" w:eastAsia="Times New Roman" w:hAnsi="Times New Roman"/>
          <w:sz w:val="14"/>
          <w:szCs w:val="14"/>
          <w:color w:val="auto"/>
        </w:rPr>
      </w:pPr>
    </w:p>
    <w:p>
      <w:pPr>
        <w:ind w:left="2760" w:right="1359" w:hanging="898"/>
        <w:spacing w:after="0" w:line="292"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required regulatory clearances and approvals to enable continued clinical development of imetelstat;</w:t>
      </w:r>
    </w:p>
    <w:p>
      <w:pPr>
        <w:spacing w:after="0" w:line="37" w:lineRule="exact"/>
        <w:rPr>
          <w:rFonts w:ascii="Times New Roman" w:cs="Times New Roman" w:eastAsia="Times New Roman" w:hAnsi="Times New Roman"/>
          <w:sz w:val="14"/>
          <w:szCs w:val="14"/>
          <w:color w:val="auto"/>
        </w:rPr>
      </w:pPr>
    </w:p>
    <w:p>
      <w:pPr>
        <w:ind w:left="2760" w:right="1019" w:hanging="898"/>
        <w:spacing w:after="0" w:line="265"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 and for territories outside of the U.S. in compliance with applicable laws;</w:t>
      </w:r>
    </w:p>
    <w:p>
      <w:pPr>
        <w:spacing w:after="0" w:line="56" w:lineRule="exact"/>
        <w:rPr>
          <w:rFonts w:ascii="Times New Roman" w:cs="Times New Roman" w:eastAsia="Times New Roman" w:hAnsi="Times New Roman"/>
          <w:sz w:val="14"/>
          <w:szCs w:val="14"/>
          <w:color w:val="auto"/>
        </w:rPr>
      </w:pPr>
    </w:p>
    <w:p>
      <w:pPr>
        <w:ind w:left="2760" w:right="999" w:hanging="898"/>
        <w:spacing w:after="0" w:line="274"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 and retain sufficient qualified and experienced personnel to support the development and commercialization of RYTELO in potential other approved indications and other jurisdictions outside of the U.S. and the EU;</w:t>
      </w:r>
    </w:p>
    <w:p>
      <w:pPr>
        <w:spacing w:after="0" w:line="50" w:lineRule="exact"/>
        <w:rPr>
          <w:rFonts w:ascii="Times New Roman" w:cs="Times New Roman" w:eastAsia="Times New Roman" w:hAnsi="Times New Roman"/>
          <w:sz w:val="14"/>
          <w:szCs w:val="14"/>
          <w:color w:val="auto"/>
        </w:rPr>
      </w:pPr>
    </w:p>
    <w:p>
      <w:pPr>
        <w:ind w:left="2760" w:right="1739" w:hanging="898"/>
        <w:spacing w:after="0" w:line="292"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acceptance of RYTELO treatment by patients and the relevant medical communities;</w:t>
      </w:r>
    </w:p>
    <w:p>
      <w:pPr>
        <w:spacing w:after="0" w:line="37" w:lineRule="exact"/>
        <w:rPr>
          <w:rFonts w:ascii="Times New Roman" w:cs="Times New Roman" w:eastAsia="Times New Roman" w:hAnsi="Times New Roman"/>
          <w:sz w:val="14"/>
          <w:szCs w:val="14"/>
          <w:color w:val="auto"/>
        </w:rPr>
      </w:pPr>
    </w:p>
    <w:p>
      <w:pPr>
        <w:ind w:left="2760" w:right="1259" w:hanging="898"/>
        <w:spacing w:after="0" w:line="274"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effectively with other approved treatments in lower-risk MDS, and relapsed/ refractory MF, if imetelstat is approved in relapsed/refractory MF, and potentially other myeloid hematologic malignancies;</w:t>
      </w:r>
    </w:p>
    <w:p>
      <w:pPr>
        <w:spacing w:after="0" w:line="50" w:lineRule="exact"/>
        <w:rPr>
          <w:rFonts w:ascii="Times New Roman" w:cs="Times New Roman" w:eastAsia="Times New Roman" w:hAnsi="Times New Roman"/>
          <w:sz w:val="14"/>
          <w:szCs w:val="14"/>
          <w:color w:val="auto"/>
        </w:rPr>
      </w:pPr>
    </w:p>
    <w:p>
      <w:pPr>
        <w:ind w:left="2760" w:right="1419" w:hanging="898"/>
        <w:spacing w:after="0" w:line="292"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appropriate coverage and reimbursement levels for the cost of RYTELO from governmental authorities, private health insurers and other third-party payors; and</w:t>
      </w:r>
    </w:p>
    <w:p>
      <w:pPr>
        <w:spacing w:after="0" w:line="37" w:lineRule="exact"/>
        <w:rPr>
          <w:rFonts w:ascii="Times New Roman" w:cs="Times New Roman" w:eastAsia="Times New Roman" w:hAnsi="Times New Roman"/>
          <w:sz w:val="14"/>
          <w:szCs w:val="14"/>
          <w:color w:val="auto"/>
        </w:rPr>
      </w:pPr>
    </w:p>
    <w:p>
      <w:pPr>
        <w:ind w:left="2760" w:right="1139" w:hanging="898"/>
        <w:spacing w:after="0" w:line="292" w:lineRule="auto"/>
        <w:tabs>
          <w:tab w:leader="none" w:pos="2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maintain and enforce adequate intellectual property and regulatory exclusivity for RYTELO in the U.S., EU and globally.</w:t>
      </w:r>
    </w:p>
    <w:p>
      <w:pPr>
        <w:spacing w:after="0" w:line="38" w:lineRule="exact"/>
        <w:rPr>
          <w:sz w:val="20"/>
          <w:szCs w:val="20"/>
          <w:color w:val="auto"/>
        </w:rPr>
      </w:pPr>
    </w:p>
    <w:p>
      <w:pPr>
        <w:ind w:left="960" w:right="979" w:firstLine="938"/>
        <w:spacing w:after="0" w:line="268" w:lineRule="auto"/>
        <w:rPr>
          <w:sz w:val="20"/>
          <w:szCs w:val="20"/>
          <w:color w:val="auto"/>
        </w:rPr>
      </w:pPr>
      <w:r>
        <w:rPr>
          <w:rFonts w:ascii="Times New Roman" w:cs="Times New Roman" w:eastAsia="Times New Roman" w:hAnsi="Times New Roman"/>
          <w:sz w:val="14"/>
          <w:szCs w:val="14"/>
          <w:color w:val="auto"/>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and business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2471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24714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clinical trials of imetelstat could be interrupted, delayed, terminated or abandoned for a variety of reasons which could severely and adversely affect our financial results, business and business prospects.</w:t>
      </w:r>
    </w:p>
    <w:p>
      <w:pPr>
        <w:spacing w:after="0" w:line="120" w:lineRule="exact"/>
        <w:rPr>
          <w:sz w:val="20"/>
          <w:szCs w:val="20"/>
          <w:color w:val="auto"/>
        </w:rPr>
      </w:pPr>
    </w:p>
    <w:p>
      <w:pPr>
        <w:ind w:left="960" w:right="1119" w:firstLine="902"/>
        <w:spacing w:after="0" w:line="292" w:lineRule="auto"/>
        <w:rPr>
          <w:sz w:val="20"/>
          <w:szCs w:val="20"/>
          <w:color w:val="auto"/>
        </w:rPr>
      </w:pPr>
      <w:r>
        <w:rPr>
          <w:rFonts w:ascii="Times New Roman" w:cs="Times New Roman" w:eastAsia="Times New Roman" w:hAnsi="Times New Roman"/>
          <w:sz w:val="14"/>
          <w:szCs w:val="14"/>
          <w:color w:val="auto"/>
        </w:rPr>
        <w:t>The conduct and completion of our clinical trials could be interrupted, delayed or abandoned for a variety of reasons, including as a result of clinical trial failures, suspensions, terminations or delays related to:</w:t>
      </w:r>
    </w:p>
    <w:p>
      <w:pPr>
        <w:spacing w:after="0" w:line="124" w:lineRule="exact"/>
        <w:rPr>
          <w:sz w:val="20"/>
          <w:szCs w:val="20"/>
          <w:color w:val="auto"/>
        </w:rPr>
      </w:pPr>
    </w:p>
    <w:p>
      <w:pPr>
        <w:jc w:val="both"/>
        <w:ind w:left="2760" w:right="959" w:hanging="898"/>
        <w:spacing w:after="0" w:line="274" w:lineRule="auto"/>
        <w:tabs>
          <w:tab w:leader="none" w:pos="2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recruitment, enrollment and retention challenges and operational delays, including in connection with opening new clinical trial sites, while also competing with clinical trials for other investigational drugs in the same patient population;</w:t>
      </w:r>
    </w:p>
    <w:p>
      <w:pPr>
        <w:spacing w:after="0" w:line="50" w:lineRule="exact"/>
        <w:rPr>
          <w:rFonts w:ascii="Times New Roman" w:cs="Times New Roman" w:eastAsia="Times New Roman" w:hAnsi="Times New Roman"/>
          <w:sz w:val="14"/>
          <w:szCs w:val="14"/>
          <w:color w:val="auto"/>
        </w:rPr>
      </w:pPr>
    </w:p>
    <w:p>
      <w:pPr>
        <w:ind w:left="2760" w:right="1079" w:hanging="898"/>
        <w:spacing w:after="0" w:line="274" w:lineRule="auto"/>
        <w:tabs>
          <w:tab w:leader="none" w:pos="2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OS as a trial endpoint, which inherently requires prolonged periods of clinical observation and follow-up, including the need for a certain number of events, or deaths, to occur in IMpactMF prior to the interim or final analysis in that trial of OS;</w:t>
      </w:r>
    </w:p>
    <w:p>
      <w:pPr>
        <w:spacing w:after="0" w:line="50" w:lineRule="exact"/>
        <w:rPr>
          <w:rFonts w:ascii="Times New Roman" w:cs="Times New Roman" w:eastAsia="Times New Roman" w:hAnsi="Times New Roman"/>
          <w:sz w:val="14"/>
          <w:szCs w:val="14"/>
          <w:color w:val="auto"/>
        </w:rPr>
      </w:pPr>
    </w:p>
    <w:p>
      <w:pPr>
        <w:ind w:left="2760" w:right="1859" w:hanging="898"/>
        <w:spacing w:after="0" w:line="292" w:lineRule="auto"/>
        <w:tabs>
          <w:tab w:leader="none" w:pos="2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trial endpoints, including patient-reported outcomes, that necessitate a comprehensive analysis of the resulting data to determine trial outcomes;</w:t>
      </w:r>
    </w:p>
    <w:p>
      <w:pPr>
        <w:spacing w:after="0" w:line="37" w:lineRule="exact"/>
        <w:rPr>
          <w:rFonts w:ascii="Times New Roman" w:cs="Times New Roman" w:eastAsia="Times New Roman" w:hAnsi="Times New Roman"/>
          <w:sz w:val="14"/>
          <w:szCs w:val="14"/>
          <w:color w:val="auto"/>
        </w:rPr>
      </w:pPr>
    </w:p>
    <w:p>
      <w:pPr>
        <w:ind w:left="2760" w:right="1179" w:hanging="898"/>
        <w:spacing w:after="0" w:line="274" w:lineRule="auto"/>
        <w:tabs>
          <w:tab w:leader="none" w:pos="2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and/or maintaining regulatory clearances in the U.S. or other jurisdictions to commence, conduct or modify current or potential future clinical trials of imetelstat, in a timely manner, or at all;</w:t>
      </w:r>
    </w:p>
    <w:p>
      <w:pPr>
        <w:sectPr>
          <w:pgSz w:w="11900" w:h="16857" w:orient="portrait"/>
          <w:cols w:equalWidth="0" w:num="1">
            <w:col w:w="9019"/>
          </w:cols>
          <w:pgMar w:left="1440" w:top="877" w:right="1440" w:bottom="0" w:gutter="0" w:footer="0" w:header="0"/>
        </w:sectPr>
      </w:pPr>
    </w:p>
    <w:bookmarkStart w:id="30" w:name="page31"/>
    <w:bookmarkEnd w:id="30"/>
    <w:p>
      <w:pPr>
        <w:ind w:left="2760" w:right="1039" w:hanging="898"/>
        <w:spacing w:after="0" w:line="274"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spacing w:after="0" w:line="50" w:lineRule="exact"/>
        <w:rPr>
          <w:rFonts w:ascii="Times New Roman" w:cs="Times New Roman" w:eastAsia="Times New Roman" w:hAnsi="Times New Roman"/>
          <w:sz w:val="14"/>
          <w:szCs w:val="14"/>
          <w:color w:val="auto"/>
        </w:rPr>
      </w:pPr>
    </w:p>
    <w:p>
      <w:pPr>
        <w:ind w:left="2760" w:right="979" w:hanging="898"/>
        <w:spacing w:after="0" w:line="265"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spacing w:after="0" w:line="56" w:lineRule="exact"/>
        <w:rPr>
          <w:rFonts w:ascii="Times New Roman" w:cs="Times New Roman" w:eastAsia="Times New Roman" w:hAnsi="Times New Roman"/>
          <w:sz w:val="14"/>
          <w:szCs w:val="14"/>
          <w:color w:val="auto"/>
        </w:rPr>
      </w:pPr>
    </w:p>
    <w:p>
      <w:pPr>
        <w:jc w:val="both"/>
        <w:ind w:left="2760" w:right="1199" w:hanging="898"/>
        <w:spacing w:after="0" w:line="274"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or accessing necessary clinical data in accordance with appropriate clinical or quality practices and regulatory requirements, in a timely and accurate manner to ensure complete data sets;</w:t>
      </w:r>
    </w:p>
    <w:p>
      <w:pPr>
        <w:spacing w:after="0" w:line="50" w:lineRule="exact"/>
        <w:rPr>
          <w:rFonts w:ascii="Times New Roman" w:cs="Times New Roman" w:eastAsia="Times New Roman" w:hAnsi="Times New Roman"/>
          <w:sz w:val="14"/>
          <w:szCs w:val="14"/>
          <w:color w:val="auto"/>
        </w:rPr>
      </w:pPr>
    </w:p>
    <w:p>
      <w:pPr>
        <w:ind w:left="2760" w:right="1099" w:hanging="898"/>
        <w:spacing w:after="0" w:line="268"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spacing w:after="0" w:line="54" w:lineRule="exact"/>
        <w:rPr>
          <w:rFonts w:ascii="Times New Roman" w:cs="Times New Roman" w:eastAsia="Times New Roman" w:hAnsi="Times New Roman"/>
          <w:sz w:val="14"/>
          <w:szCs w:val="14"/>
          <w:color w:val="auto"/>
        </w:rPr>
      </w:pPr>
    </w:p>
    <w:p>
      <w:pPr>
        <w:ind w:left="2760" w:right="1119" w:hanging="898"/>
        <w:spacing w:after="0" w:line="265"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spacing w:after="0" w:line="56" w:lineRule="exact"/>
        <w:rPr>
          <w:rFonts w:ascii="Times New Roman" w:cs="Times New Roman" w:eastAsia="Times New Roman" w:hAnsi="Times New Roman"/>
          <w:sz w:val="14"/>
          <w:szCs w:val="14"/>
          <w:color w:val="auto"/>
        </w:rPr>
      </w:pPr>
    </w:p>
    <w:p>
      <w:pPr>
        <w:ind w:left="2760" w:right="1079" w:hanging="898"/>
        <w:spacing w:after="0" w:line="265"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macroeconomic or other global conditions, such as inflation, fluctuations in interest rates, prospects of a recession, government shutdowns, changes in tariffs or other trade restrictions, bank failures and other disruptions to financial systems, civil or political unrest, military conflicts, pandemics or other health crises and supply chain and resource issues;</w:t>
      </w:r>
    </w:p>
    <w:p>
      <w:pPr>
        <w:spacing w:after="0" w:line="56" w:lineRule="exact"/>
        <w:rPr>
          <w:rFonts w:ascii="Times New Roman" w:cs="Times New Roman" w:eastAsia="Times New Roman" w:hAnsi="Times New Roman"/>
          <w:sz w:val="14"/>
          <w:szCs w:val="14"/>
          <w:color w:val="auto"/>
        </w:rPr>
      </w:pPr>
    </w:p>
    <w:p>
      <w:pPr>
        <w:jc w:val="both"/>
        <w:ind w:left="2760" w:right="979" w:hanging="898"/>
        <w:spacing w:after="0" w:line="274"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current and future regulatory requirements, policies or guidelines, including domestic and international laws and regulations pertaining to fraud and abuse, transparency, and the privacy and security of health information;</w:t>
      </w:r>
    </w:p>
    <w:p>
      <w:pPr>
        <w:spacing w:after="0" w:line="50" w:lineRule="exact"/>
        <w:rPr>
          <w:rFonts w:ascii="Times New Roman" w:cs="Times New Roman" w:eastAsia="Times New Roman" w:hAnsi="Times New Roman"/>
          <w:sz w:val="14"/>
          <w:szCs w:val="14"/>
          <w:color w:val="auto"/>
        </w:rPr>
      </w:pPr>
    </w:p>
    <w:p>
      <w:pPr>
        <w:ind w:left="2760" w:right="1099" w:hanging="898"/>
        <w:spacing w:after="0" w:line="268"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spacing w:after="0" w:line="54" w:lineRule="exact"/>
        <w:rPr>
          <w:rFonts w:ascii="Times New Roman" w:cs="Times New Roman" w:eastAsia="Times New Roman" w:hAnsi="Times New Roman"/>
          <w:sz w:val="14"/>
          <w:szCs w:val="14"/>
          <w:color w:val="auto"/>
        </w:rPr>
      </w:pPr>
    </w:p>
    <w:p>
      <w:pPr>
        <w:ind w:left="2760" w:right="1239" w:hanging="898"/>
        <w:spacing w:after="0" w:line="292" w:lineRule="auto"/>
        <w:tabs>
          <w:tab w:leader="none" w:pos="2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clinical contractors, including investigators or our CROs not performing our clinical trials according to our anticipated schedule or consistent with the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-4173855</wp:posOffset>
            </wp:positionV>
            <wp:extent cx="5584190" cy="4742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474218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711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4190" cy="57111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2760" w:right="1399"/>
        <w:spacing w:after="0" w:line="292" w:lineRule="auto"/>
        <w:rPr>
          <w:sz w:val="20"/>
          <w:szCs w:val="20"/>
          <w:color w:val="auto"/>
        </w:rPr>
      </w:pPr>
      <w:r>
        <w:rPr>
          <w:rFonts w:ascii="Times New Roman" w:cs="Times New Roman" w:eastAsia="Times New Roman" w:hAnsi="Times New Roman"/>
          <w:sz w:val="14"/>
          <w:szCs w:val="14"/>
          <w:color w:val="auto"/>
        </w:rPr>
        <w:t>protocol, GCP, or other regulatory requirements, or not performing data collection or analyses in a timely or accurate manner.</w:t>
      </w:r>
    </w:p>
    <w:p>
      <w:pPr>
        <w:spacing w:after="0" w:line="38"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In addition, recent actions by the current administration in the U.S. to limit federal agency budgets and personnel have resulted in reductions in the FDA's budget and employees, which may lead to slower response times, longer review periods, delayed inspections or other disruptions that we cannot currently predict. Failures or delays with respect to any of the foregoing events and such disruptions in the timely review and processing of our regulatory submissions and inspections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w:t>
      </w:r>
    </w:p>
    <w:p>
      <w:pPr>
        <w:spacing w:after="0" w:line="142" w:lineRule="exact"/>
        <w:rPr>
          <w:sz w:val="20"/>
          <w:szCs w:val="20"/>
          <w:color w:val="auto"/>
        </w:rPr>
      </w:pPr>
    </w:p>
    <w:p>
      <w:pPr>
        <w:ind w:left="960" w:right="11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spacing w:after="0" w:line="134" w:lineRule="exact"/>
        <w:rPr>
          <w:sz w:val="20"/>
          <w:szCs w:val="20"/>
          <w:color w:val="auto"/>
        </w:rPr>
      </w:pPr>
    </w:p>
    <w:p>
      <w:pPr>
        <w:ind w:left="960" w:right="1159" w:firstLine="902"/>
        <w:spacing w:after="0" w:line="268" w:lineRule="auto"/>
        <w:rPr>
          <w:sz w:val="20"/>
          <w:szCs w:val="20"/>
          <w:color w:val="auto"/>
        </w:rPr>
      </w:pPr>
      <w:r>
        <w:rPr>
          <w:rFonts w:ascii="Times New Roman" w:cs="Times New Roman" w:eastAsia="Times New Roman" w:hAnsi="Times New Roman"/>
          <w:sz w:val="14"/>
          <w:szCs w:val="14"/>
          <w:color w:val="auto"/>
        </w:rPr>
        <w:t>While the FDA and the EC granted approval of RYTELO based on the data included in our NDA and MAA, respectively, including data from the Phase 3 IMerge trial, we cannot be certain whether the results as a larger number of patients receive RYTELO from commercial use, including results related to safety, will be consistent with the results from earlier clinical trials that served as the basis for its approval.</w:t>
      </w:r>
    </w:p>
    <w:p>
      <w:pPr>
        <w:spacing w:after="0" w:line="140"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 indications and/or in other jurisdictions, or impose post-approval requirements. If any of these actions were to occur, it could result in significant expense and delay or limit our ability to generate sales revenues.</w:t>
      </w:r>
    </w:p>
    <w:p>
      <w:pPr>
        <w:spacing w:after="0" w:line="149" w:lineRule="exact"/>
        <w:rPr>
          <w:sz w:val="20"/>
          <w:szCs w:val="20"/>
          <w:color w:val="auto"/>
        </w:rPr>
      </w:pPr>
    </w:p>
    <w:p>
      <w:pPr>
        <w:ind w:left="960" w:right="979" w:firstLine="902"/>
        <w:spacing w:after="0" w:line="268" w:lineRule="auto"/>
        <w:rPr>
          <w:sz w:val="20"/>
          <w:szCs w:val="20"/>
          <w:color w:val="auto"/>
        </w:rPr>
      </w:pPr>
      <w:r>
        <w:rPr>
          <w:rFonts w:ascii="Times New Roman" w:cs="Times New Roman" w:eastAsia="Times New Roman" w:hAnsi="Times New Roman"/>
          <w:sz w:val="14"/>
          <w:szCs w:val="14"/>
          <w:color w:val="auto"/>
        </w:rPr>
        <w:t>Further, as a result of commercialization of RYTELO,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spacing w:after="0" w:line="140" w:lineRule="exact"/>
        <w:rPr>
          <w:sz w:val="20"/>
          <w:szCs w:val="20"/>
          <w:color w:val="auto"/>
        </w:rPr>
      </w:pPr>
    </w:p>
    <w:p>
      <w:pPr>
        <w:ind w:left="2760" w:right="1679" w:hanging="898"/>
        <w:spacing w:after="0" w:line="292" w:lineRule="auto"/>
        <w:tabs>
          <w:tab w:leader="none" w:pos="2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hematologic toxicities, such as profound and/or prolonged thrombocytopenia or neutropenia;</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bleeding events, with or without thrombocytopenia, including Grade 3/4 bleeding events;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febrile neutropenia;</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hepatotoxicity and liver function test abnormalities, as well as hepatic failure;</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gastrointestinal events;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infection events, with or without neutropenia, including Grade 3/4 infection events;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muscular and joint pain;</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fatigue;</w:t>
      </w:r>
    </w:p>
    <w:p>
      <w:pPr>
        <w:sectPr>
          <w:pgSz w:w="11900" w:h="16838" w:orient="portrait"/>
          <w:cols w:equalWidth="0" w:num="1">
            <w:col w:w="9019"/>
          </w:cols>
          <w:pgMar w:left="1440" w:top="136" w:right="1440" w:bottom="0" w:gutter="0" w:footer="0" w:header="0"/>
        </w:sectPr>
      </w:pPr>
    </w:p>
    <w:bookmarkStart w:id="31" w:name="page32"/>
    <w:bookmarkEnd w:id="31"/>
    <w:p>
      <w:pPr>
        <w:ind w:left="2760" w:hanging="898"/>
        <w:spacing w:after="0"/>
        <w:tabs>
          <w:tab w:leader="none" w:pos="2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headache; and</w:t>
      </w:r>
    </w:p>
    <w:p>
      <w:pPr>
        <w:spacing w:after="0" w:line="8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infusion-related reactions.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-242570</wp:posOffset>
            </wp:positionV>
            <wp:extent cx="5584190" cy="1503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1503045"/>
                    </a:xfrm>
                    <a:prstGeom prst="rect">
                      <a:avLst/>
                    </a:prstGeom>
                    <a:noFill/>
                  </pic:spPr>
                </pic:pic>
              </a:graphicData>
            </a:graphic>
          </wp:anchor>
        </w:drawing>
      </w:r>
    </w:p>
    <w:p>
      <w:pPr>
        <w:spacing w:after="0" w:line="77" w:lineRule="exact"/>
        <w:rPr>
          <w:sz w:val="20"/>
          <w:szCs w:val="20"/>
          <w:color w:val="auto"/>
        </w:rPr>
      </w:pPr>
    </w:p>
    <w:p>
      <w:pPr>
        <w:ind w:left="960" w:right="1079" w:firstLine="902"/>
        <w:spacing w:after="0" w:line="262" w:lineRule="auto"/>
        <w:rPr>
          <w:sz w:val="20"/>
          <w:szCs w:val="20"/>
          <w:color w:val="auto"/>
        </w:rPr>
      </w:pPr>
      <w:r>
        <w:rPr>
          <w:rFonts w:ascii="Times New Roman" w:cs="Times New Roman" w:eastAsia="Times New Roman" w:hAnsi="Times New Roman"/>
          <w:sz w:val="14"/>
          <w:szCs w:val="14"/>
          <w:color w:val="auto"/>
        </w:rPr>
        <w:t>If patients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our clinical trials, and our commercialization efforts could be halted, which might cause us to cease operations. If such toxicities or other safety issues identified as a result of</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spacing w:after="0" w:line="292" w:lineRule="auto"/>
        <w:rPr>
          <w:sz w:val="20"/>
          <w:szCs w:val="20"/>
          <w:color w:val="auto"/>
        </w:rPr>
      </w:pPr>
      <w:r>
        <w:rPr>
          <w:rFonts w:ascii="Times New Roman" w:cs="Times New Roman" w:eastAsia="Times New Roman" w:hAnsi="Times New Roman"/>
          <w:sz w:val="14"/>
          <w:szCs w:val="14"/>
          <w:color w:val="auto"/>
        </w:rPr>
        <w:t>our commercialization of RYTELO or in any clinical trial are determined by us, the FDA or similar international regulatory authorities to result in an unacceptable benefit-risk profile, then:</w:t>
      </w:r>
    </w:p>
    <w:p>
      <w:pPr>
        <w:spacing w:after="0" w:line="124" w:lineRule="exact"/>
        <w:rPr>
          <w:sz w:val="20"/>
          <w:szCs w:val="20"/>
          <w:color w:val="auto"/>
        </w:rPr>
      </w:pPr>
    </w:p>
    <w:p>
      <w:pPr>
        <w:ind w:left="2760" w:right="1179" w:hanging="898"/>
        <w:spacing w:after="0" w:line="292" w:lineRule="auto"/>
        <w:tabs>
          <w:tab w:leader="none" w:pos="2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and EC could withdraw or restrict regulatory approval for RYTELO in the U.S. and EU, respectively, for lower-risk MDS;</w:t>
      </w:r>
    </w:p>
    <w:p>
      <w:pPr>
        <w:spacing w:after="0" w:line="37" w:lineRule="exact"/>
        <w:rPr>
          <w:rFonts w:ascii="Times New Roman" w:cs="Times New Roman" w:eastAsia="Times New Roman" w:hAnsi="Times New Roman"/>
          <w:sz w:val="14"/>
          <w:szCs w:val="14"/>
          <w:color w:val="auto"/>
        </w:rPr>
      </w:pPr>
    </w:p>
    <w:p>
      <w:pPr>
        <w:ind w:left="2760" w:right="1039" w:hanging="898"/>
        <w:spacing w:after="0" w:line="263" w:lineRule="auto"/>
        <w:tabs>
          <w:tab w:leader="none" w:pos="2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information supporting the benefit-risk profile of RYTELO may be requested by the FDA or similar international regulatory authorities and if any such information is not available or, if available, not deemed acceptable, regulatory approval could be withdrawn by the FDA in the U.S. and the EC in the EU, and/or current clinical trials could be suspended, terminated, or placed on clinical hold by the FDA or similar international regulatory authorities;</w:t>
      </w:r>
    </w:p>
    <w:p>
      <w:pPr>
        <w:spacing w:after="0" w:line="58" w:lineRule="exact"/>
        <w:rPr>
          <w:rFonts w:ascii="Times New Roman" w:cs="Times New Roman" w:eastAsia="Times New Roman" w:hAnsi="Times New Roman"/>
          <w:sz w:val="14"/>
          <w:szCs w:val="14"/>
          <w:color w:val="auto"/>
        </w:rPr>
      </w:pPr>
    </w:p>
    <w:p>
      <w:pPr>
        <w:ind w:left="2760" w:right="979" w:hanging="898"/>
        <w:spacing w:after="0" w:line="274" w:lineRule="auto"/>
        <w:tabs>
          <w:tab w:leader="none" w:pos="2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retain enrolled patients in our current clinical trials may be negatively affected, resulting in incomplete data sets and the inability to adequately assess the benefit-risk profile of RYTELO in a specific patient population;</w:t>
      </w:r>
    </w:p>
    <w:p>
      <w:pPr>
        <w:spacing w:after="0" w:line="50" w:lineRule="exact"/>
        <w:rPr>
          <w:rFonts w:ascii="Times New Roman" w:cs="Times New Roman" w:eastAsia="Times New Roman" w:hAnsi="Times New Roman"/>
          <w:sz w:val="14"/>
          <w:szCs w:val="14"/>
          <w:color w:val="auto"/>
        </w:rPr>
      </w:pPr>
    </w:p>
    <w:p>
      <w:pPr>
        <w:ind w:left="2760" w:right="1579" w:hanging="898"/>
        <w:spacing w:after="0" w:line="292" w:lineRule="auto"/>
        <w:tabs>
          <w:tab w:leader="none" w:pos="2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unexpected clinical trials or non-clinical studies may be required to be conducted; or</w:t>
      </w:r>
    </w:p>
    <w:p>
      <w:pPr>
        <w:spacing w:after="0" w:line="37" w:lineRule="exact"/>
        <w:rPr>
          <w:rFonts w:ascii="Times New Roman" w:cs="Times New Roman" w:eastAsia="Times New Roman" w:hAnsi="Times New Roman"/>
          <w:sz w:val="14"/>
          <w:szCs w:val="14"/>
          <w:color w:val="auto"/>
        </w:rPr>
      </w:pPr>
    </w:p>
    <w:p>
      <w:pPr>
        <w:ind w:left="2760" w:right="1299" w:hanging="898"/>
        <w:spacing w:after="0" w:line="292" w:lineRule="auto"/>
        <w:tabs>
          <w:tab w:leader="none" w:pos="2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RYTELO may not receive or maintain regulatory clearances and approvals required to enable its continued development.</w:t>
      </w:r>
    </w:p>
    <w:p>
      <w:pPr>
        <w:spacing w:after="0" w:line="38" w:lineRule="exact"/>
        <w:rPr>
          <w:sz w:val="20"/>
          <w:szCs w:val="20"/>
          <w:color w:val="auto"/>
        </w:rPr>
      </w:pPr>
    </w:p>
    <w:p>
      <w:pPr>
        <w:ind w:left="960" w:right="1079" w:firstLine="902"/>
        <w:spacing w:after="0" w:line="265" w:lineRule="auto"/>
        <w:rPr>
          <w:sz w:val="20"/>
          <w:szCs w:val="20"/>
          <w:color w:val="auto"/>
        </w:rPr>
      </w:pPr>
      <w:r>
        <w:rPr>
          <w:rFonts w:ascii="Times New Roman" w:cs="Times New Roman" w:eastAsia="Times New Roman" w:hAnsi="Times New Roman"/>
          <w:sz w:val="14"/>
          <w:szCs w:val="14"/>
          <w:color w:val="auto"/>
        </w:rPr>
        <w:t>The occurrence of any of these events could interrupt, further delay, or halt our commercialization of RYTELO or its further development, and as a result, could preclude the commercialization of RYTELO in any additional indications, as well as increase costs for continued development in additional indications, which would have a severe adverse effect on our results of operations, financial condition and ability to raise additional capital, business and business prospects, any of which might cause us to cease operations.</w:t>
      </w:r>
    </w:p>
    <w:p>
      <w:pPr>
        <w:spacing w:after="0" w:line="138" w:lineRule="exact"/>
        <w:rPr>
          <w:sz w:val="20"/>
          <w:szCs w:val="20"/>
          <w:color w:val="auto"/>
        </w:rPr>
      </w:pPr>
    </w:p>
    <w:p>
      <w:pPr>
        <w:ind w:left="960" w:right="9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Results and data we disclosed from prior non-clinical studies and clinical trials, as well as any data disclosed as a result of an interim analysis, may not predict success in later clinical trials or the final analysis, and we cannot assure you that any ongoing or future clinical trials of imetelstat, including IMpactMF, will lead to similar results and data that could potentially enable us to obtain any further regulatory approvals.</w:t>
      </w:r>
    </w:p>
    <w:p>
      <w:pPr>
        <w:spacing w:after="0" w:line="139"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p>
    <w:p>
      <w:pPr>
        <w:spacing w:after="0" w:line="149"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spacing w:after="0" w:line="144" w:lineRule="exact"/>
        <w:rPr>
          <w:sz w:val="20"/>
          <w:szCs w:val="20"/>
          <w:color w:val="auto"/>
        </w:rPr>
      </w:pPr>
    </w:p>
    <w:p>
      <w:pPr>
        <w:ind w:left="960" w:right="1059" w:firstLine="902"/>
        <w:spacing w:after="0" w:line="268" w:lineRule="auto"/>
        <w:rPr>
          <w:sz w:val="20"/>
          <w:szCs w:val="20"/>
          <w:color w:val="auto"/>
        </w:rPr>
      </w:pPr>
      <w:r>
        <w:rPr>
          <w:rFonts w:ascii="Times New Roman" w:cs="Times New Roman" w:eastAsia="Times New Roman" w:hAnsi="Times New Roman"/>
          <w:sz w:val="14"/>
          <w:szCs w:val="14"/>
          <w:color w:val="auto"/>
        </w:rPr>
        <w:t>In general, Phase 3 clinical trials with larger numbers of patients or longer durations of therapy may fail to replicate efficacy and safety results observed in earlier clinical trials, such as the results observed in IMbark, and if this were to occur with IMpactMF, this would adversely affect future development prospects of imetelstat, and as a result, impact the potential commercialization of imetelstat in relapsed/refractory MF.</w:t>
      </w:r>
    </w:p>
    <w:p>
      <w:pPr>
        <w:spacing w:after="0" w:line="140" w:lineRule="exact"/>
        <w:rPr>
          <w:sz w:val="20"/>
          <w:szCs w:val="20"/>
          <w:color w:val="auto"/>
        </w:rPr>
      </w:pPr>
    </w:p>
    <w:p>
      <w:pPr>
        <w:ind w:left="960" w:right="1039" w:firstLine="902"/>
        <w:spacing w:after="0" w:line="268" w:lineRule="auto"/>
        <w:rPr>
          <w:sz w:val="20"/>
          <w:szCs w:val="20"/>
          <w:color w:val="auto"/>
        </w:rPr>
      </w:pPr>
      <w:r>
        <w:rPr>
          <w:rFonts w:ascii="Times New Roman" w:cs="Times New Roman" w:eastAsia="Times New Roman" w:hAnsi="Times New Roman"/>
          <w:sz w:val="14"/>
          <w:szCs w:val="14"/>
          <w:color w:val="auto"/>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666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190" cy="16668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19"/>
        <w:spacing w:after="0" w:line="259" w:lineRule="auto"/>
        <w:rPr>
          <w:sz w:val="20"/>
          <w:szCs w:val="20"/>
          <w:color w:val="auto"/>
        </w:rPr>
      </w:pPr>
      <w:r>
        <w:rPr>
          <w:rFonts w:ascii="Times New Roman" w:cs="Times New Roman" w:eastAsia="Times New Roman" w:hAnsi="Times New Roman"/>
          <w:sz w:val="14"/>
          <w:szCs w:val="14"/>
          <w:color w:val="auto"/>
        </w:rPr>
        <w:t>closely matched real world data, or RWD, published in the September 2021 issue of the Annals of Hematology, suggest potentially favorable OS in relapsed/refractory MF patients treated with imetelstat, compared to bipolar androgen therapy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if needed, business and business prospects.</w:t>
      </w:r>
    </w:p>
    <w:p>
      <w:pPr>
        <w:sectPr>
          <w:pgSz w:w="11900" w:h="16838" w:orient="portrait"/>
          <w:cols w:equalWidth="0" w:num="1">
            <w:col w:w="9019"/>
          </w:cols>
          <w:pgMar w:left="1440" w:top="114" w:right="1440" w:bottom="0" w:gutter="0" w:footer="0" w:header="0"/>
        </w:sectPr>
      </w:pPr>
    </w:p>
    <w:bookmarkStart w:id="32" w:name="page33"/>
    <w:bookmarkEnd w:id="3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547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5547360"/>
                    </a:xfrm>
                    <a:prstGeom prst="rect">
                      <a:avLst/>
                    </a:prstGeom>
                    <a:noFill/>
                  </pic:spPr>
                </pic:pic>
              </a:graphicData>
            </a:graphic>
          </wp:anchor>
        </w:drawing>
      </w:r>
    </w:p>
    <w:p>
      <w:pPr>
        <w:ind w:left="960" w:right="1019" w:firstLine="902"/>
        <w:spacing w:after="0" w:line="259" w:lineRule="auto"/>
        <w:rPr>
          <w:sz w:val="20"/>
          <w:szCs w:val="20"/>
          <w:color w:val="auto"/>
        </w:rPr>
      </w:pPr>
      <w:r>
        <w:rPr>
          <w:rFonts w:ascii="Times New Roman" w:cs="Times New Roman" w:eastAsia="Times New Roman" w:hAnsi="Times New Roman"/>
          <w:sz w:val="14"/>
          <w:szCs w:val="14"/>
          <w:color w:val="auto"/>
        </w:rPr>
        <w:t>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halt the commercialization of RYTELO, hinder the potential success of IMpactMF, IMproveMF, IMpress or IMAGINE, or cause us to abandon further development of imetelstat entirely.</w:t>
      </w:r>
    </w:p>
    <w:p>
      <w:pPr>
        <w:spacing w:after="0" w:line="151" w:lineRule="exact"/>
        <w:rPr>
          <w:sz w:val="20"/>
          <w:szCs w:val="20"/>
          <w:color w:val="auto"/>
        </w:rPr>
      </w:pPr>
    </w:p>
    <w:p>
      <w:pPr>
        <w:ind w:left="960" w:right="1119" w:firstLine="902"/>
        <w:spacing w:after="0" w:line="262" w:lineRule="auto"/>
        <w:rPr>
          <w:sz w:val="20"/>
          <w:szCs w:val="20"/>
          <w:color w:val="auto"/>
        </w:rPr>
      </w:pPr>
      <w:r>
        <w:rPr>
          <w:rFonts w:ascii="Times New Roman" w:cs="Times New Roman" w:eastAsia="Times New Roman" w:hAnsi="Times New Roman"/>
          <w:sz w:val="14"/>
          <w:szCs w:val="14"/>
          <w:color w:val="auto"/>
        </w:rPr>
        <w:t>Top-line or interim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OS.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spacing w:after="0" w:line="302" w:lineRule="exact"/>
        <w:rPr>
          <w:sz w:val="20"/>
          <w:szCs w:val="20"/>
          <w:color w:val="auto"/>
        </w:rPr>
      </w:pPr>
    </w:p>
    <w:p>
      <w:pPr>
        <w:ind w:left="960" w:right="10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spacing w:after="0" w:line="134" w:lineRule="exact"/>
        <w:rPr>
          <w:sz w:val="20"/>
          <w:szCs w:val="20"/>
          <w:color w:val="auto"/>
        </w:rPr>
      </w:pPr>
    </w:p>
    <w:p>
      <w:pPr>
        <w:ind w:left="960" w:right="959" w:firstLine="902"/>
        <w:spacing w:after="0" w:line="259" w:lineRule="auto"/>
        <w:rPr>
          <w:sz w:val="20"/>
          <w:szCs w:val="20"/>
          <w:color w:val="auto"/>
        </w:rPr>
      </w:pPr>
      <w:r>
        <w:rPr>
          <w:rFonts w:ascii="Times New Roman" w:cs="Times New Roman" w:eastAsia="Times New Roman" w:hAnsi="Times New Roman"/>
          <w:sz w:val="14"/>
          <w:szCs w:val="14"/>
          <w:color w:val="auto"/>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w:t>
      </w:r>
    </w:p>
    <w:p>
      <w:pPr>
        <w:spacing w:after="0" w:line="151"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9060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49060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59"/>
        <w:spacing w:after="0" w:line="261" w:lineRule="auto"/>
        <w:rPr>
          <w:sz w:val="20"/>
          <w:szCs w:val="20"/>
          <w:color w:val="auto"/>
        </w:rPr>
      </w:pPr>
      <w:r>
        <w:rPr>
          <w:rFonts w:ascii="Times New Roman" w:cs="Times New Roman" w:eastAsia="Times New Roman" w:hAnsi="Times New Roman"/>
          <w:sz w:val="14"/>
          <w:szCs w:val="14"/>
          <w:color w:val="auto"/>
        </w:rPr>
        <w:t>upon inspection by a given regulatory authority, such regulatory authority will determine whether any of our 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if needed, business and business prospects, including the commercialization of RYTELO, any of which might cause us to cease operations.</w:t>
      </w:r>
    </w:p>
    <w:p>
      <w:pPr>
        <w:spacing w:after="0" w:line="146" w:lineRule="exact"/>
        <w:rPr>
          <w:sz w:val="20"/>
          <w:szCs w:val="20"/>
          <w:color w:val="auto"/>
        </w:rPr>
      </w:pPr>
    </w:p>
    <w:p>
      <w:pPr>
        <w:ind w:left="960" w:right="1019" w:firstLine="902"/>
        <w:spacing w:after="0" w:line="262" w:lineRule="auto"/>
        <w:rPr>
          <w:sz w:val="20"/>
          <w:szCs w:val="20"/>
          <w:color w:val="auto"/>
        </w:rPr>
      </w:pPr>
      <w:r>
        <w:rPr>
          <w:rFonts w:ascii="Times New Roman" w:cs="Times New Roman" w:eastAsia="Times New Roman" w:hAnsi="Times New Roman"/>
          <w:sz w:val="14"/>
          <w:szCs w:val="14"/>
          <w:color w:val="auto"/>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w:t>
      </w:r>
    </w:p>
    <w:p>
      <w:pPr>
        <w:spacing w:after="0" w:line="144" w:lineRule="exact"/>
        <w:rPr>
          <w:sz w:val="20"/>
          <w:szCs w:val="20"/>
          <w:color w:val="auto"/>
        </w:rPr>
      </w:pPr>
    </w:p>
    <w:p>
      <w:pPr>
        <w:ind w:left="960" w:right="1019" w:firstLine="902"/>
        <w:spacing w:after="0" w:line="265" w:lineRule="auto"/>
        <w:rPr>
          <w:sz w:val="20"/>
          <w:szCs w:val="20"/>
          <w:color w:val="auto"/>
        </w:rPr>
      </w:pPr>
      <w:r>
        <w:rPr>
          <w:rFonts w:ascii="Times New Roman" w:cs="Times New Roman" w:eastAsia="Times New Roman" w:hAnsi="Times New Roman"/>
          <w:sz w:val="14"/>
          <w:szCs w:val="14"/>
          <w:color w:val="auto"/>
        </w:rPr>
        <w:t>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w:t>
      </w:r>
    </w:p>
    <w:p>
      <w:pPr>
        <w:spacing w:after="0" w:line="142"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conduct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including in any additional indications by the FDA.</w:t>
      </w:r>
    </w:p>
    <w:p>
      <w:pPr>
        <w:spacing w:after="0" w:line="142" w:lineRule="exact"/>
        <w:rPr>
          <w:sz w:val="20"/>
          <w:szCs w:val="20"/>
          <w:color w:val="auto"/>
        </w:rPr>
      </w:pPr>
    </w:p>
    <w:p>
      <w:pPr>
        <w:ind w:left="960" w:right="13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development program as a whole.</w:t>
      </w:r>
    </w:p>
    <w:p>
      <w:pPr>
        <w:spacing w:after="0" w:line="139" w:lineRule="exact"/>
        <w:rPr>
          <w:sz w:val="20"/>
          <w:szCs w:val="20"/>
          <w:color w:val="auto"/>
        </w:rPr>
      </w:pPr>
    </w:p>
    <w:p>
      <w:pPr>
        <w:ind w:left="960" w:right="1019" w:firstLine="902"/>
        <w:spacing w:after="0" w:line="268" w:lineRule="auto"/>
        <w:rPr>
          <w:sz w:val="20"/>
          <w:szCs w:val="20"/>
          <w:color w:val="auto"/>
        </w:rPr>
      </w:pPr>
      <w:r>
        <w:rPr>
          <w:rFonts w:ascii="Times New Roman" w:cs="Times New Roman" w:eastAsia="Times New Roman" w:hAnsi="Times New Roman"/>
          <w:sz w:val="14"/>
          <w:szCs w:val="14"/>
          <w:color w:val="auto"/>
        </w:rPr>
        <w:t>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w:t>
      </w:r>
    </w:p>
    <w:p>
      <w:pPr>
        <w:sectPr>
          <w:pgSz w:w="11900" w:h="16885" w:orient="portrait"/>
          <w:cols w:equalWidth="0" w:num="1">
            <w:col w:w="9019"/>
          </w:cols>
          <w:pgMar w:left="1440" w:top="200" w:right="1440" w:bottom="0" w:gutter="0" w:footer="0" w:header="0"/>
        </w:sectPr>
      </w:pPr>
    </w:p>
    <w:bookmarkStart w:id="33" w:name="page34"/>
    <w:bookmarkEnd w:id="33"/>
    <w:p>
      <w:pPr>
        <w:spacing w:after="0" w:line="57" w:lineRule="exact"/>
        <w:rPr>
          <w:sz w:val="20"/>
          <w:szCs w:val="20"/>
          <w:color w:val="auto"/>
        </w:rPr>
      </w:pPr>
    </w:p>
    <w:p>
      <w:pPr>
        <w:ind w:left="960" w:right="1139"/>
        <w:spacing w:after="0" w:line="242" w:lineRule="auto"/>
        <w:rPr>
          <w:sz w:val="20"/>
          <w:szCs w:val="20"/>
          <w:color w:val="auto"/>
        </w:rPr>
      </w:pPr>
      <w:r>
        <w:rPr>
          <w:rFonts w:ascii="Times New Roman" w:cs="Times New Roman" w:eastAsia="Times New Roman" w:hAnsi="Times New Roman"/>
          <w:sz w:val="14"/>
          <w:szCs w:val="14"/>
          <w:color w:val="auto"/>
        </w:rPr>
        <w:t>material adverse effect on our ability to maintain regulatory approval for RYTELO in lower-risk MDS, or to further develop or advance it in clinical trials, as such delays may impede our ability to generate necessary supplemental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-189230</wp:posOffset>
            </wp:positionV>
            <wp:extent cx="5584190" cy="2307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2307590"/>
                    </a:xfrm>
                    <a:prstGeom prst="rect">
                      <a:avLst/>
                    </a:prstGeom>
                    <a:noFill/>
                  </pic:spPr>
                </pic:pic>
              </a:graphicData>
            </a:graphic>
          </wp:anchor>
        </w:drawing>
      </w:r>
    </w:p>
    <w:p>
      <w:pPr>
        <w:ind w:left="960" w:right="1259"/>
        <w:spacing w:after="0" w:line="272" w:lineRule="auto"/>
        <w:rPr>
          <w:sz w:val="20"/>
          <w:szCs w:val="20"/>
          <w:color w:val="auto"/>
        </w:rPr>
      </w:pPr>
      <w:r>
        <w:rPr>
          <w:rFonts w:ascii="Times New Roman" w:cs="Times New Roman" w:eastAsia="Times New Roman" w:hAnsi="Times New Roman"/>
          <w:sz w:val="14"/>
          <w:szCs w:val="14"/>
          <w:color w:val="auto"/>
        </w:rPr>
        <w:t>evidence, fulfill post-marketing commitments or requirements, or provide regulatory authorities with timely safety and efficacy data needed to support ongoing approval or future development.</w:t>
      </w:r>
    </w:p>
    <w:p>
      <w:pPr>
        <w:spacing w:after="0" w:line="137"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RYTELO in any indication.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 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which would severely harm our business and prospects and could potentially cause us to cease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RISKS RELATED TO MANUFACTURING RYTELO (IMETELSTAT)</w:t>
      </w:r>
    </w:p>
    <w:p>
      <w:pPr>
        <w:spacing w:after="0" w:line="181" w:lineRule="exact"/>
        <w:rPr>
          <w:sz w:val="20"/>
          <w:szCs w:val="20"/>
          <w:color w:val="auto"/>
        </w:rPr>
      </w:pPr>
    </w:p>
    <w:p>
      <w:pPr>
        <w:ind w:left="960" w:right="9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spacing w:after="0" w:line="139" w:lineRule="exact"/>
        <w:rPr>
          <w:sz w:val="20"/>
          <w:szCs w:val="20"/>
          <w:color w:val="auto"/>
        </w:rPr>
      </w:pPr>
    </w:p>
    <w:p>
      <w:pPr>
        <w:ind w:left="960" w:right="1199" w:firstLine="902"/>
        <w:spacing w:after="0" w:line="274" w:lineRule="auto"/>
        <w:rPr>
          <w:sz w:val="20"/>
          <w:szCs w:val="20"/>
          <w:color w:val="auto"/>
        </w:rPr>
      </w:pPr>
      <w:r>
        <w:rPr>
          <w:rFonts w:ascii="Times New Roman" w:cs="Times New Roman" w:eastAsia="Times New Roman" w:hAnsi="Times New Roman"/>
          <w:sz w:val="14"/>
          <w:szCs w:val="14"/>
          <w:color w:val="auto"/>
        </w:rPr>
        <w:t>The manufacture of RYTELO (imetelstat) must comply with applicable regulatory standards for commercial uses and current and potential future clinical trials. The process of manufacturing RYTELO is complex and subject to several risks, including:</w:t>
      </w:r>
    </w:p>
    <w:p>
      <w:pPr>
        <w:spacing w:after="0" w:line="136" w:lineRule="exact"/>
        <w:rPr>
          <w:sz w:val="20"/>
          <w:szCs w:val="20"/>
          <w:color w:val="auto"/>
        </w:rPr>
      </w:pPr>
    </w:p>
    <w:p>
      <w:pPr>
        <w:ind w:left="2760" w:right="1559" w:hanging="898"/>
        <w:spacing w:after="0" w:line="274" w:lineRule="auto"/>
        <w:tabs>
          <w:tab w:leader="none" w:pos="2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consistently manufacture and attain sufficient production yields with acceptable quality control and quality assurance to meet market demand for our commercialization of RYTELO, as well as the needs for continuing clinical trials;</w:t>
      </w:r>
    </w:p>
    <w:p>
      <w:pPr>
        <w:spacing w:after="0" w:line="50" w:lineRule="exact"/>
        <w:rPr>
          <w:rFonts w:ascii="Times New Roman" w:cs="Times New Roman" w:eastAsia="Times New Roman" w:hAnsi="Times New Roman"/>
          <w:sz w:val="14"/>
          <w:szCs w:val="14"/>
          <w:color w:val="auto"/>
        </w:rPr>
      </w:pPr>
    </w:p>
    <w:p>
      <w:pPr>
        <w:ind w:left="2760" w:right="979" w:hanging="898"/>
        <w:spacing w:after="0" w:line="268" w:lineRule="auto"/>
        <w:tabs>
          <w:tab w:leader="none" w:pos="2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spacing w:after="0" w:line="54"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third-party manufacturers and suppliers, whose efforts we do not control;</w:t>
      </w:r>
    </w:p>
    <w:p>
      <w:pPr>
        <w:spacing w:after="0" w:line="96" w:lineRule="exact"/>
        <w:rPr>
          <w:rFonts w:ascii="Times New Roman" w:cs="Times New Roman" w:eastAsia="Times New Roman" w:hAnsi="Times New Roman"/>
          <w:sz w:val="14"/>
          <w:szCs w:val="14"/>
          <w:color w:val="auto"/>
        </w:rPr>
      </w:pPr>
    </w:p>
    <w:p>
      <w:pPr>
        <w:ind w:left="2760" w:right="999" w:hanging="898"/>
        <w:spacing w:after="0" w:line="263" w:lineRule="auto"/>
        <w:tabs>
          <w:tab w:leader="none" w:pos="2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issues, including the timely availability of product and management of shelf-life, including raw materials, active pharmaceutical ingredient, or API, and drug product and other supplies, and the cost of procuring the foregoing, any of which may be impacted by a number of factors, including the effects of macroeconomic or other global conditions, such as increased tariffs, renegotiation of existing international trade agreements, escalating trade tensions and other trade restrictions;</w:t>
      </w:r>
    </w:p>
    <w:p>
      <w:pPr>
        <w:spacing w:after="0" w:line="58"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 of qualified personnel at any of our third party suppliers; and</w:t>
      </w:r>
    </w:p>
    <w:p>
      <w:pPr>
        <w:spacing w:after="0" w:line="96" w:lineRule="exact"/>
        <w:rPr>
          <w:rFonts w:ascii="Times New Roman" w:cs="Times New Roman" w:eastAsia="Times New Roman" w:hAnsi="Times New Roman"/>
          <w:sz w:val="14"/>
          <w:szCs w:val="14"/>
          <w:color w:val="auto"/>
        </w:rPr>
      </w:pPr>
    </w:p>
    <w:p>
      <w:pPr>
        <w:ind w:left="2760" w:right="1159" w:hanging="898"/>
        <w:spacing w:after="0" w:line="274" w:lineRule="auto"/>
        <w:tabs>
          <w:tab w:leader="none" w:pos="2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acceptance and compliance with regulatory requirements, which are less well-defined for oligonucleotide products than for small molecule drugs and vary in each country.</w:t>
      </w:r>
    </w:p>
    <w:p>
      <w:pPr>
        <w:spacing w:after="0" w:line="50"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clinical trials; delay or preclude potential future regulatory approvals of RYTELO in other jurisdictions or indications; and could cause financial and reputational harm.</w:t>
      </w:r>
    </w:p>
    <w:p>
      <w:pPr>
        <w:spacing w:after="0" w:line="138" w:lineRule="exact"/>
        <w:rPr>
          <w:sz w:val="20"/>
          <w:szCs w:val="20"/>
          <w:color w:val="auto"/>
        </w:rPr>
      </w:pPr>
    </w:p>
    <w:p>
      <w:pPr>
        <w:jc w:val="both"/>
        <w:ind w:left="960" w:right="11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spacing w:after="0" w:line="134" w:lineRule="exact"/>
        <w:rPr>
          <w:sz w:val="20"/>
          <w:szCs w:val="20"/>
          <w:color w:val="auto"/>
        </w:rPr>
      </w:pPr>
    </w:p>
    <w:p>
      <w:pPr>
        <w:ind w:left="960" w:right="1079" w:firstLine="902"/>
        <w:spacing w:after="0" w:line="258" w:lineRule="auto"/>
        <w:rPr>
          <w:sz w:val="20"/>
          <w:szCs w:val="20"/>
          <w:color w:val="auto"/>
        </w:rPr>
      </w:pPr>
      <w:r>
        <w:rPr>
          <w:rFonts w:ascii="Times New Roman" w:cs="Times New Roman" w:eastAsia="Times New Roman" w:hAnsi="Times New Roman"/>
          <w:sz w:val="14"/>
          <w:szCs w:val="14"/>
          <w:color w:val="auto"/>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the API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and drug product, and we rely on a single source to supply the API for RYTELO. Failure by such third-party manufacturers to perform in a timely manner and in compliance with all regulatory requirements, or at all, or the termination of one of our supply agreements before we have retained and established an acceptable alternative supplier, could lead to delays or shortages in drug supply, perhaps substantially, that are necessary for our clinical activities and commercialization of RYTELO. For example, one of our third-party manufacturers received a warning letter from the FDA due to certain deficiencies in the manufacturer’s process and facilities that were not in compliance with FDA requirements and regulations governing the manufacturing, processing, packing and holding of drug product. While not related to the production of RYTELO, if the warning letter is not timely remediated by the manufacturer, it could lead to delays or shortages in drug supply, or the inability to manufacture or ship drug supply necessary for non-clinical and clinical activities, and commercialization.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862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4190" cy="86233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19" w:firstLine="902"/>
        <w:spacing w:after="0" w:line="268" w:lineRule="auto"/>
        <w:rPr>
          <w:sz w:val="20"/>
          <w:szCs w:val="20"/>
          <w:color w:val="auto"/>
        </w:rPr>
      </w:pPr>
      <w:r>
        <w:rPr>
          <w:rFonts w:ascii="Times New Roman" w:cs="Times New Roman" w:eastAsia="Times New Roman" w:hAnsi="Times New Roman"/>
          <w:sz w:val="14"/>
          <w:szCs w:val="14"/>
          <w:color w:val="auto"/>
        </w:rPr>
        <w:t>In addition, we plan to retain additional third-party manufacturers to provide redundancy in our supply chain; however, we may be unable to do so on a timely basis on terms that are acceptable to us, or at all. We expect to rely on third-party manufacturers to produce and deliver sufficient quantities of RYTELO and other materials to support our commercialization of RYTELO and clinical trials on a timely basis and to comply with applicable regulatory requirements.</w:t>
      </w:r>
    </w:p>
    <w:p>
      <w:pPr>
        <w:sectPr>
          <w:pgSz w:w="11900" w:h="16895" w:orient="portrait"/>
          <w:cols w:equalWidth="0" w:num="1">
            <w:col w:w="9019"/>
          </w:cols>
          <w:pgMar w:left="1440" w:top="114" w:right="1440" w:bottom="0" w:gutter="0" w:footer="0" w:header="0"/>
        </w:sectPr>
      </w:pPr>
    </w:p>
    <w:bookmarkStart w:id="34" w:name="page35"/>
    <w:bookmarkEnd w:id="34"/>
    <w:p>
      <w:pPr>
        <w:spacing w:after="0" w:line="80" w:lineRule="exact"/>
        <w:rPr>
          <w:sz w:val="20"/>
          <w:szCs w:val="20"/>
          <w:color w:val="auto"/>
        </w:rPr>
      </w:pPr>
    </w:p>
    <w:p>
      <w:pPr>
        <w:ind w:left="960" w:right="999"/>
        <w:spacing w:after="0" w:line="261" w:lineRule="auto"/>
        <w:rPr>
          <w:sz w:val="20"/>
          <w:szCs w:val="20"/>
          <w:color w:val="auto"/>
        </w:rPr>
      </w:pPr>
      <w:r>
        <w:rPr>
          <w:rFonts w:ascii="Times New Roman" w:cs="Times New Roman" w:eastAsia="Times New Roman" w:hAnsi="Times New Roman"/>
          <w:sz w:val="14"/>
          <w:szCs w:val="14"/>
          <w:color w:val="auto"/>
        </w:rPr>
        <w:t>We do not have direct control over these third-party personnel or operations. Reliance on these third-party manufacturers is subject to numerous risks,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-205105</wp:posOffset>
            </wp:positionV>
            <wp:extent cx="5584190" cy="6351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190" cy="6351905"/>
                    </a:xfrm>
                    <a:prstGeom prst="rect">
                      <a:avLst/>
                    </a:prstGeom>
                    <a:noFill/>
                  </pic:spPr>
                </pic:pic>
              </a:graphicData>
            </a:graphic>
          </wp:anchor>
        </w:drawing>
      </w:r>
    </w:p>
    <w:p>
      <w:pPr>
        <w:spacing w:after="0" w:line="124" w:lineRule="exact"/>
        <w:rPr>
          <w:sz w:val="20"/>
          <w:szCs w:val="20"/>
          <w:color w:val="auto"/>
        </w:rPr>
      </w:pPr>
    </w:p>
    <w:p>
      <w:pPr>
        <w:ind w:left="2760" w:right="999" w:hanging="898"/>
        <w:spacing w:after="0" w:line="292"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execute timely contracts or production orders with any additional third-party manufacturers and suppliers that we may identify on acceptable terms, or at all;</w:t>
      </w:r>
    </w:p>
    <w:p>
      <w:pPr>
        <w:spacing w:after="0" w:line="37" w:lineRule="exact"/>
        <w:rPr>
          <w:rFonts w:ascii="Times New Roman" w:cs="Times New Roman" w:eastAsia="Times New Roman" w:hAnsi="Times New Roman"/>
          <w:sz w:val="14"/>
          <w:szCs w:val="14"/>
          <w:color w:val="auto"/>
        </w:rPr>
      </w:pPr>
    </w:p>
    <w:p>
      <w:pPr>
        <w:jc w:val="both"/>
        <w:ind w:left="2760" w:right="1099" w:hanging="898"/>
        <w:spacing w:after="0" w:line="274"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and disruptions experienced by third-party manufacturers that adversely impact the ability of such parties to fulfill their contractual obligations to us, including providing the quantities of RYTELO required to meet commercial and clinical needs;</w:t>
      </w:r>
    </w:p>
    <w:p>
      <w:pPr>
        <w:spacing w:after="0" w:line="50" w:lineRule="exact"/>
        <w:rPr>
          <w:rFonts w:ascii="Times New Roman" w:cs="Times New Roman" w:eastAsia="Times New Roman" w:hAnsi="Times New Roman"/>
          <w:sz w:val="14"/>
          <w:szCs w:val="14"/>
          <w:color w:val="auto"/>
        </w:rPr>
      </w:pPr>
    </w:p>
    <w:p>
      <w:pPr>
        <w:ind w:left="2760" w:right="1159" w:hanging="898"/>
        <w:spacing w:after="0" w:line="274"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limitations and scheduling constraints experienced by third-party manufacturers due to scheduling, maintenance and other commitments, and queued manufacturing activities in contracted facilities;</w:t>
      </w:r>
    </w:p>
    <w:p>
      <w:pPr>
        <w:spacing w:after="0" w:line="50" w:lineRule="exact"/>
        <w:rPr>
          <w:rFonts w:ascii="Times New Roman" w:cs="Times New Roman" w:eastAsia="Times New Roman" w:hAnsi="Times New Roman"/>
          <w:sz w:val="14"/>
          <w:szCs w:val="14"/>
          <w:color w:val="auto"/>
        </w:rPr>
      </w:pPr>
    </w:p>
    <w:p>
      <w:pPr>
        <w:jc w:val="both"/>
        <w:ind w:left="2760" w:right="1099" w:hanging="898"/>
        <w:spacing w:after="0" w:line="268"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by regulatory authorities to validate and qualify significant activities for any current or additional manufacturer, which could involve technology transfer, new testing, compliance inspections, and would likely require FDA or comparable foreign regulatory authority approval;</w:t>
      </w:r>
    </w:p>
    <w:p>
      <w:pPr>
        <w:spacing w:after="0" w:line="54" w:lineRule="exact"/>
        <w:rPr>
          <w:rFonts w:ascii="Times New Roman" w:cs="Times New Roman" w:eastAsia="Times New Roman" w:hAnsi="Times New Roman"/>
          <w:sz w:val="14"/>
          <w:szCs w:val="14"/>
          <w:color w:val="auto"/>
        </w:rPr>
      </w:pPr>
    </w:p>
    <w:p>
      <w:pPr>
        <w:jc w:val="both"/>
        <w:ind w:left="2760" w:right="1019" w:hanging="898"/>
        <w:spacing w:after="0" w:line="274"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third-party manufacturers to timely formulate and manufacture RYTELO or to produce or ship RYTELO in the quantities or of the quality required to meet commercial and clinical needs;</w:t>
      </w:r>
    </w:p>
    <w:p>
      <w:pPr>
        <w:spacing w:after="0" w:line="50" w:lineRule="exact"/>
        <w:rPr>
          <w:rFonts w:ascii="Times New Roman" w:cs="Times New Roman" w:eastAsia="Times New Roman" w:hAnsi="Times New Roman"/>
          <w:sz w:val="14"/>
          <w:szCs w:val="14"/>
          <w:color w:val="auto"/>
        </w:rPr>
      </w:pPr>
    </w:p>
    <w:p>
      <w:pPr>
        <w:ind w:left="2760" w:right="1279" w:hanging="898"/>
        <w:spacing w:after="0" w:line="274"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mislabeling by third-party manufacturers of finished drug product for both commercial and clinical use, potentially resulting in product recall and harm to our business;</w:t>
      </w:r>
    </w:p>
    <w:p>
      <w:pPr>
        <w:spacing w:after="0" w:line="50" w:lineRule="exact"/>
        <w:rPr>
          <w:rFonts w:ascii="Times New Roman" w:cs="Times New Roman" w:eastAsia="Times New Roman" w:hAnsi="Times New Roman"/>
          <w:sz w:val="14"/>
          <w:szCs w:val="14"/>
          <w:color w:val="auto"/>
        </w:rPr>
      </w:pPr>
    </w:p>
    <w:p>
      <w:pPr>
        <w:ind w:left="2760" w:right="1139" w:hanging="898"/>
        <w:spacing w:after="0" w:line="268"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third-party manufacturers to exit the contract manufacturing business during the time required to supply clinical trials or to successfully produce, store and distribute RYTELO to meet our commercial needs or before we establish an acceptable alternative supplier;</w:t>
      </w:r>
    </w:p>
    <w:p>
      <w:pPr>
        <w:spacing w:after="0" w:line="54" w:lineRule="exact"/>
        <w:rPr>
          <w:rFonts w:ascii="Times New Roman" w:cs="Times New Roman" w:eastAsia="Times New Roman" w:hAnsi="Times New Roman"/>
          <w:sz w:val="14"/>
          <w:szCs w:val="14"/>
          <w:color w:val="auto"/>
        </w:rPr>
      </w:pPr>
    </w:p>
    <w:p>
      <w:pPr>
        <w:ind w:left="2760" w:right="999" w:hanging="898"/>
        <w:spacing w:after="0" w:line="265"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the warning letter issued to one of our third-party manufacturers;</w:t>
      </w:r>
    </w:p>
    <w:p>
      <w:pPr>
        <w:spacing w:after="0" w:line="5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or termination of manufacturing or supply contracts;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storage or maintenance at contracted facilities resulting in theft or spoilage; and</w:t>
      </w:r>
    </w:p>
    <w:p>
      <w:pPr>
        <w:spacing w:after="0" w:line="96" w:lineRule="exact"/>
        <w:rPr>
          <w:rFonts w:ascii="Times New Roman" w:cs="Times New Roman" w:eastAsia="Times New Roman" w:hAnsi="Times New Roman"/>
          <w:sz w:val="14"/>
          <w:szCs w:val="14"/>
          <w:color w:val="auto"/>
        </w:rPr>
      </w:pPr>
    </w:p>
    <w:p>
      <w:pPr>
        <w:ind w:left="2760" w:right="999" w:hanging="898"/>
        <w:spacing w:after="0" w:line="292" w:lineRule="auto"/>
        <w:tabs>
          <w:tab w:leader="none" w:pos="2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that affect contracted facilities, including manufacturing, warehousing, and distribution facilities.</w:t>
      </w:r>
    </w:p>
    <w:p>
      <w:pPr>
        <w:spacing w:after="0" w:line="38" w:lineRule="exact"/>
        <w:rPr>
          <w:sz w:val="20"/>
          <w:szCs w:val="20"/>
          <w:color w:val="auto"/>
        </w:rPr>
      </w:pPr>
    </w:p>
    <w:p>
      <w:pPr>
        <w:jc w:val="both"/>
        <w:ind w:left="960" w:right="1079" w:firstLine="902"/>
        <w:spacing w:after="0" w:line="274" w:lineRule="auto"/>
        <w:rPr>
          <w:sz w:val="20"/>
          <w:szCs w:val="20"/>
          <w:color w:val="auto"/>
        </w:rPr>
      </w:pPr>
      <w:r>
        <w:rPr>
          <w:rFonts w:ascii="Times New Roman" w:cs="Times New Roman" w:eastAsia="Times New Roman" w:hAnsi="Times New Roman"/>
          <w:sz w:val="14"/>
          <w:szCs w:val="14"/>
          <w:color w:val="auto"/>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spacing w:after="0" w:line="136" w:lineRule="exact"/>
        <w:rPr>
          <w:sz w:val="20"/>
          <w:szCs w:val="20"/>
          <w:color w:val="auto"/>
        </w:rPr>
      </w:pPr>
    </w:p>
    <w:p>
      <w:pPr>
        <w:ind w:left="960" w:right="1059" w:firstLine="902"/>
        <w:spacing w:after="0" w:line="261" w:lineRule="auto"/>
        <w:rPr>
          <w:sz w:val="20"/>
          <w:szCs w:val="20"/>
          <w:color w:val="auto"/>
        </w:rPr>
      </w:pPr>
      <w:r>
        <w:rPr>
          <w:rFonts w:ascii="Times New Roman" w:cs="Times New Roman" w:eastAsia="Times New Roman" w:hAnsi="Times New Roman"/>
          <w:sz w:val="14"/>
          <w:szCs w:val="14"/>
          <w:color w:val="auto"/>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or adding alternative manufacturers may be prolonged, difficult and expensive, due to inherent technical complexities, regulatory risks, and because the number of potential manufacturers for oligonucleotide products is limited. It may be difficult or impossible for us to find a replacement or alternative manufacturer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10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410146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RISKS RELATED TO OUR OPERATING RESULTS AND FINANCIAL POSITION</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net losses and may not achieve consistent future profitability for some time, if ever.</w:t>
      </w:r>
    </w:p>
    <w:p>
      <w:pPr>
        <w:spacing w:after="0" w:line="187"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We are incurring and have incurred net losses every year since our operations began in 1990, except for one. As of December 31, 2025, our accumulated deficit was approximately $1.9 billion. Losses have resulted principally from costs incurred in connection with our research and development activities and from general and administrative costs associated with our operations. Although we began commercializing RYTELO in June 2024, the commercial potential of and our ability to successfully commercialize RYTELO remains unproven, and our limited operating history as a commercial company makes our future operating results difficult to predict. We expect that our sales revenue may continue to vary from period to period as a result of the evolving effects of our commercialization strategy and as our commercialization efforts otherwise progress. If we do not generate sufficient revenue from commercial sales of RYTELO, or if we experience unforeseen events or choose to make other investments in our business, we may continue to experience negative cash flow as we fund our operations and imetelstat clinical development activities and research programs, and continue with the commercialization of RYTELO, including as a result of our obligation to pay royalty payments under the Royalty Pharma Agreement and service our debt obligations. We will need to generate significant revenues to achieve consistent future profitability, and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spacing w:after="0" w:line="321" w:lineRule="exact"/>
        <w:rPr>
          <w:sz w:val="20"/>
          <w:szCs w:val="20"/>
          <w:color w:val="auto"/>
        </w:rPr>
      </w:pPr>
    </w:p>
    <w:p>
      <w:pPr>
        <w:ind w:left="960" w:right="143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are unpredictable and may fluctuate. If our operating results are below the expectations of securities analysts or investors, the trading price of our common stock could decline.</w:t>
      </w:r>
    </w:p>
    <w:p>
      <w:pPr>
        <w:ind w:left="960" w:right="999" w:firstLine="902"/>
        <w:spacing w:after="0" w:line="257" w:lineRule="auto"/>
        <w:rPr>
          <w:sz w:val="20"/>
          <w:szCs w:val="20"/>
          <w:color w:val="auto"/>
        </w:rPr>
      </w:pPr>
      <w:r>
        <w:rPr>
          <w:rFonts w:ascii="Times New Roman" w:cs="Times New Roman" w:eastAsia="Times New Roman" w:hAnsi="Times New Roman"/>
          <w:sz w:val="14"/>
          <w:szCs w:val="14"/>
          <w:color w:val="auto"/>
        </w:rPr>
        <w:t>Our operating results are difficult to predict and will likely fluctuate from quarter to quarter and year to year. Due to the limited historical sales data of RYTELO in lower-risk MDS since its approval by the FDA in June 2024, RYTELO sales will be difficult to predict from period to period and as a result, you should not rely on RYTELO sales results in any period as being indicative of future performance. Sales of RYTELO have in the past been below the expectations of securities analysts and investors, and sales of RYTELO have been and may in the future be below prior sequential or prior period sales, our own guidance and/or the expectations of securities analysts and investors. To the extent that we do not meet our guidance, our financial projections or estimates, or the expectations of analysts or investors, our stock price may be adversely impacted, perhaps significantly. For example, following releases of earnings for both of the quarters and years ended December 31, 2025 and 2024, our stock price declined significantly both times. As a result of this volatility, our stockholders may not be able to sell their common stock at or above the price they paid for their common stock. We believe that our quarterly and annual results of operations may be affected by a variety of factors, including:</w:t>
      </w:r>
    </w:p>
    <w:p>
      <w:pPr>
        <w:sectPr>
          <w:pgSz w:w="11900" w:h="16918" w:orient="portrait"/>
          <w:cols w:equalWidth="0" w:num="1">
            <w:col w:w="9019"/>
          </w:cols>
          <w:pgMar w:left="1440" w:top="114" w:right="1440" w:bottom="0" w:gutter="0" w:footer="0" w:header="0"/>
        </w:sectPr>
      </w:pPr>
    </w:p>
    <w:bookmarkStart w:id="35" w:name="page36"/>
    <w:bookmarkEnd w:id="35"/>
    <w:p>
      <w:pPr>
        <w:ind w:left="1480" w:right="1179" w:hanging="262"/>
        <w:spacing w:after="0" w:line="292"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112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190" cy="3112770"/>
                    </a:xfrm>
                    <a:prstGeom prst="rect">
                      <a:avLst/>
                    </a:prstGeom>
                    <a:noFill/>
                  </pic:spPr>
                </pic:pic>
              </a:graphicData>
            </a:graphic>
          </wp:anchor>
        </w:drawing>
        <w:t>the overall level of demand for RYTELO in its approved indication, including across the breadth of the eligible patient segments;</w:t>
      </w:r>
    </w:p>
    <w:p>
      <w:pPr>
        <w:spacing w:after="0" w:line="123" w:lineRule="exact"/>
        <w:rPr>
          <w:rFonts w:ascii="Times New Roman" w:cs="Times New Roman" w:eastAsia="Times New Roman" w:hAnsi="Times New Roman"/>
          <w:sz w:val="14"/>
          <w:szCs w:val="14"/>
          <w:color w:val="auto"/>
        </w:rPr>
      </w:pPr>
    </w:p>
    <w:p>
      <w:pPr>
        <w:jc w:val="both"/>
        <w:ind w:left="1480" w:right="1619" w:hanging="262"/>
        <w:spacing w:after="0" w:line="292"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coverage and reimbursement for RYTELO is available from government and health administration authorities, private health insurers, managed care programs and other third-party payors;</w:t>
      </w:r>
    </w:p>
    <w:p>
      <w:pPr>
        <w:spacing w:after="0" w:line="123" w:lineRule="exact"/>
        <w:rPr>
          <w:rFonts w:ascii="Times New Roman" w:cs="Times New Roman" w:eastAsia="Times New Roman" w:hAnsi="Times New Roman"/>
          <w:sz w:val="14"/>
          <w:szCs w:val="14"/>
          <w:color w:val="auto"/>
        </w:rPr>
      </w:pPr>
    </w:p>
    <w:p>
      <w:pPr>
        <w:ind w:left="1480" w:right="979" w:hanging="262"/>
        <w:spacing w:after="0" w:line="268"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may take in the future, or due to different levels of utilization by entities entitled to government rebates and discounts and changes in patient demographics;</w:t>
      </w:r>
    </w:p>
    <w:p>
      <w:pPr>
        <w:spacing w:after="0" w:line="140" w:lineRule="exact"/>
        <w:rPr>
          <w:rFonts w:ascii="Times New Roman" w:cs="Times New Roman" w:eastAsia="Times New Roman" w:hAnsi="Times New Roman"/>
          <w:sz w:val="14"/>
          <w:szCs w:val="14"/>
          <w:color w:val="auto"/>
        </w:rPr>
      </w:pPr>
    </w:p>
    <w:p>
      <w:pPr>
        <w:ind w:left="1480" w:right="1099" w:hanging="262"/>
        <w:spacing w:after="0" w:line="292"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scope of eligibility for customers to purchase RYTELO at the discounted government price or to obtain government-mandated rebates on purchases of RYTELO;</w:t>
      </w:r>
    </w:p>
    <w:p>
      <w:pPr>
        <w:spacing w:after="0" w:line="123" w:lineRule="exact"/>
        <w:rPr>
          <w:rFonts w:ascii="Times New Roman" w:cs="Times New Roman" w:eastAsia="Times New Roman" w:hAnsi="Times New Roman"/>
          <w:sz w:val="14"/>
          <w:szCs w:val="14"/>
          <w:color w:val="auto"/>
        </w:rPr>
      </w:pPr>
    </w:p>
    <w:p>
      <w:pPr>
        <w:ind w:left="1480" w:hanging="262"/>
        <w:spacing w:after="0"/>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cost of sales;</w:t>
      </w:r>
    </w:p>
    <w:p>
      <w:pPr>
        <w:spacing w:after="0" w:line="182" w:lineRule="exact"/>
        <w:rPr>
          <w:rFonts w:ascii="Times New Roman" w:cs="Times New Roman" w:eastAsia="Times New Roman" w:hAnsi="Times New Roman"/>
          <w:sz w:val="14"/>
          <w:szCs w:val="14"/>
          <w:color w:val="auto"/>
        </w:rPr>
      </w:pPr>
    </w:p>
    <w:p>
      <w:pPr>
        <w:ind w:left="1480" w:hanging="262"/>
        <w:spacing w:after="0"/>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level of royalty payments under the Royalty Pharma Agreement;</w:t>
      </w:r>
    </w:p>
    <w:p>
      <w:pPr>
        <w:spacing w:after="0" w:line="182" w:lineRule="exact"/>
        <w:rPr>
          <w:rFonts w:ascii="Times New Roman" w:cs="Times New Roman" w:eastAsia="Times New Roman" w:hAnsi="Times New Roman"/>
          <w:sz w:val="14"/>
          <w:szCs w:val="14"/>
          <w:color w:val="auto"/>
        </w:rPr>
      </w:pPr>
    </w:p>
    <w:p>
      <w:pPr>
        <w:ind w:left="1480" w:hanging="262"/>
        <w:spacing w:after="0"/>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 and level of investment in our sales and marketing efforts to support RYTELO sales;</w:t>
      </w:r>
    </w:p>
    <w:p>
      <w:pPr>
        <w:spacing w:after="0" w:line="182" w:lineRule="exact"/>
        <w:rPr>
          <w:rFonts w:ascii="Times New Roman" w:cs="Times New Roman" w:eastAsia="Times New Roman" w:hAnsi="Times New Roman"/>
          <w:sz w:val="14"/>
          <w:szCs w:val="14"/>
          <w:color w:val="auto"/>
        </w:rPr>
      </w:pPr>
    </w:p>
    <w:p>
      <w:pPr>
        <w:ind w:left="1480" w:right="1399" w:hanging="262"/>
        <w:spacing w:after="0" w:line="292" w:lineRule="auto"/>
        <w:tabs>
          <w:tab w:leader="none" w:pos="1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 and level of investment in our research and development activities involving imetelstat and potential future product candidates; and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1480" w:right="1359" w:hanging="262"/>
        <w:spacing w:after="0" w:line="292" w:lineRule="auto"/>
        <w:tabs>
          <w:tab w:leader="none" w:pos="1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we may incur to develop and/or commercialize any additional products, product candidates, or technologies that we may develop, in-license, or acquire.</w:t>
      </w:r>
    </w:p>
    <w:p>
      <w:pPr>
        <w:spacing w:after="0" w:line="124" w:lineRule="exact"/>
        <w:rPr>
          <w:sz w:val="20"/>
          <w:szCs w:val="20"/>
          <w:color w:val="auto"/>
        </w:rPr>
      </w:pPr>
    </w:p>
    <w:p>
      <w:pPr>
        <w:ind w:left="960" w:right="979" w:firstLine="902"/>
        <w:spacing w:after="0" w:line="262" w:lineRule="auto"/>
        <w:rPr>
          <w:sz w:val="20"/>
          <w:szCs w:val="20"/>
          <w:color w:val="auto"/>
        </w:rPr>
      </w:pPr>
      <w:r>
        <w:rPr>
          <w:rFonts w:ascii="Times New Roman" w:cs="Times New Roman" w:eastAsia="Times New Roman" w:hAnsi="Times New Roman"/>
          <w:sz w:val="14"/>
          <w:szCs w:val="14"/>
          <w:color w:val="auto"/>
        </w:rPr>
        <w:t>Further,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w:t>
      </w:r>
    </w:p>
    <w:p>
      <w:pPr>
        <w:spacing w:after="0" w:line="144"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further decline, perhaps significantly.</w:t>
      </w:r>
    </w:p>
    <w:p>
      <w:pPr>
        <w:spacing w:after="0" w:line="297" w:lineRule="exact"/>
        <w:rPr>
          <w:sz w:val="20"/>
          <w:szCs w:val="20"/>
          <w:color w:val="auto"/>
        </w:rPr>
      </w:pPr>
    </w:p>
    <w:p>
      <w:pPr>
        <w:ind w:left="96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financial projections and estimates are subject to significant risks, assumptions, and uncertainties, and our actual results may differ materially.</w:t>
      </w:r>
    </w:p>
    <w:p>
      <w:pPr>
        <w:spacing w:after="0" w:line="120"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Our financial projections and estimates are subject to significant risks, assumptions, and uncertainties, and our actual results may differ materially. These projections and estimates include estimates of the total addressable market for RYTELO, assumptions regarding patient market share and duration of therapy for patients receiving RYTELO, as well as assumptions regarding our ability to meet demand and assumptions regarding our future costs of goods. These projections and estimates are subject to various factors beyond our control, including, for example, the level of demand for RYTELO, the extent to which coverage and reimbursement for RYTELO is available from government and health administration authorities, private health insurers, managed care programs and other third-party payors, increased costs in the supply chain, including as a result of increased tariffs, renegotiation of existing international trade agreements, escalating trade tensions and other trade restrictions, increased labor costs, changes in the regulatory environment, the impact of global health crises or macroeconomic or other global conditions, and changes in our senior management team. Our financial projections and estimates constitute forward-looking statements, are for illustrative purposes only and should not be relied upon as necessarily being indicative of future results. The assumptions and estimates underlying such financial projections and estimates are inherently uncertain and are subject to a wide variety of significant business, economic, competitive and other risks and uncertainties. Actual results may differ materially from the results contemplated by the financial projections. Our independent auditors have not studied, reviewed, compiled or performed any procedures with respect to the projections, and accordingly, they did not express an opinion or provide any other form of assurance with respect thereto. While all financial projections, estimates and targets are necessarily speculative, we believe that the preparation of financial projections involves increasingly higher levels of uncertainty the further out the projection, estimate or target extends from the date of preparation. Accordingly, there can be no assurance that the prospective results are indicative of our future performance or that actual results will not differ materially from those presented in the financial projections or estimates.</w:t>
      </w:r>
    </w:p>
    <w:p>
      <w:pPr>
        <w:spacing w:after="0" w:line="315" w:lineRule="exact"/>
        <w:rPr>
          <w:sz w:val="20"/>
          <w:szCs w:val="20"/>
          <w:color w:val="auto"/>
        </w:rPr>
      </w:pPr>
    </w:p>
    <w:p>
      <w:pPr>
        <w:ind w:left="9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spacing w:after="0" w:line="134" w:lineRule="exact"/>
        <w:rPr>
          <w:sz w:val="20"/>
          <w:szCs w:val="20"/>
          <w:color w:val="auto"/>
        </w:rPr>
      </w:pPr>
    </w:p>
    <w:p>
      <w:pPr>
        <w:ind w:left="960" w:right="1039" w:firstLine="902"/>
        <w:spacing w:after="0" w:line="259" w:lineRule="auto"/>
        <w:rPr>
          <w:sz w:val="20"/>
          <w:szCs w:val="20"/>
          <w:color w:val="auto"/>
        </w:rPr>
      </w:pPr>
      <w:r>
        <w:rPr>
          <w:rFonts w:ascii="Times New Roman" w:cs="Times New Roman" w:eastAsia="Times New Roman" w:hAnsi="Times New Roman"/>
          <w:sz w:val="14"/>
          <w:szCs w:val="14"/>
          <w:color w:val="auto"/>
        </w:rPr>
        <w:t>Successful drug development and commercialization requires significant amounts of capital. As of December 31, 2025, we had approximately $401.1 million in cash, cash equivalents, restricted cash and marketable securities. While we believe that, based on our current operating plans and assumptions, our existing cash, cash equivalents, and marketable securities, together with anticipated net revenues from sales of RYTELO, will be sufficient to fund our projected operating requirements for the foreseeable future,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if available, under the Pharmakon Loan Agreement (as defined below),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w:t>
      </w:r>
    </w:p>
    <w:p>
      <w:pPr>
        <w:sectPr>
          <w:pgSz w:w="11900" w:h="16838" w:orient="portrait"/>
          <w:cols w:equalWidth="0" w:num="1">
            <w:col w:w="9019"/>
          </w:cols>
          <w:pgMar w:left="1440" w:top="297" w:right="1440" w:bottom="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77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190" cy="57785"/>
                    </a:xfrm>
                    <a:prstGeom prst="rect">
                      <a:avLst/>
                    </a:prstGeom>
                    <a:noFill/>
                  </pic:spPr>
                </pic:pic>
              </a:graphicData>
            </a:graphic>
          </wp:anchor>
        </w:drawing>
      </w:r>
    </w:p>
    <w:p>
      <w:pPr>
        <w:sectPr>
          <w:pgSz w:w="11900" w:h="16838" w:orient="portrait"/>
          <w:cols w:equalWidth="0" w:num="1">
            <w:col w:w="9019"/>
          </w:cols>
          <w:pgMar w:left="1440" w:top="297" w:right="1440" w:bottom="0" w:gutter="0" w:footer="0" w:header="0"/>
          <w:type w:val="continuous"/>
        </w:sectPr>
      </w:pPr>
    </w:p>
    <w:bookmarkStart w:id="36" w:name="page37"/>
    <w:bookmarkEnd w:id="36"/>
    <w:p>
      <w:pPr>
        <w:ind w:left="9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56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4190" cy="7156450"/>
                    </a:xfrm>
                    <a:prstGeom prst="rect">
                      <a:avLst/>
                    </a:prstGeom>
                    <a:noFill/>
                  </pic:spPr>
                </pic:pic>
              </a:graphicData>
            </a:graphic>
          </wp:anchor>
        </w:drawing>
        <w:t>Table of Contents</w:t>
      </w:r>
    </w:p>
    <w:p>
      <w:pPr>
        <w:spacing w:after="0" w:line="290" w:lineRule="exact"/>
        <w:rPr>
          <w:sz w:val="20"/>
          <w:szCs w:val="20"/>
          <w:color w:val="auto"/>
        </w:rPr>
      </w:pPr>
    </w:p>
    <w:p>
      <w:pPr>
        <w:ind w:left="960" w:right="1199"/>
        <w:spacing w:after="0" w:line="268" w:lineRule="auto"/>
        <w:rPr>
          <w:sz w:val="20"/>
          <w:szCs w:val="20"/>
          <w:color w:val="auto"/>
        </w:rPr>
      </w:pPr>
      <w:r>
        <w:rPr>
          <w:rFonts w:ascii="Times New Roman" w:cs="Times New Roman" w:eastAsia="Times New Roman" w:hAnsi="Times New Roman"/>
          <w:sz w:val="14"/>
          <w:szCs w:val="14"/>
          <w:color w:val="auto"/>
        </w:rPr>
        <w:t>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spacing w:after="0" w:line="140"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Despite approval of RYTELO in the U.S. in June 2024 and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for lower-risk MDS in the U.S., the EU or other potential jurisdictions or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147" w:lineRule="exact"/>
        <w:rPr>
          <w:sz w:val="20"/>
          <w:szCs w:val="20"/>
          <w:color w:val="auto"/>
        </w:rPr>
      </w:pPr>
    </w:p>
    <w:p>
      <w:pPr>
        <w:ind w:left="2760" w:hanging="898"/>
        <w:spacing w:after="0"/>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the assumptions underlying our estimates for our capital needs;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level of sales and market acceptance of RYTELO;</w:t>
      </w:r>
    </w:p>
    <w:p>
      <w:pPr>
        <w:spacing w:after="0" w:line="96" w:lineRule="exact"/>
        <w:rPr>
          <w:rFonts w:ascii="Times New Roman" w:cs="Times New Roman" w:eastAsia="Times New Roman" w:hAnsi="Times New Roman"/>
          <w:sz w:val="14"/>
          <w:szCs w:val="14"/>
          <w:color w:val="auto"/>
        </w:rPr>
      </w:pPr>
    </w:p>
    <w:p>
      <w:pPr>
        <w:ind w:left="2760" w:right="999" w:hanging="898"/>
        <w:spacing w:after="0" w:line="265"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timing, magnitude and costs of non-clinical and clinical development, manufacturing and commercialization of RYTELO, including commercialization in the U.S. and any commercialization in the EU for lower-risk MDS, or in any other jurisdictions or other indication we may pursue, subject to clearances and approvals by the FDA and similar international regulatory authorities;</w:t>
      </w:r>
    </w:p>
    <w:p>
      <w:pPr>
        <w:spacing w:after="0" w:line="56" w:lineRule="exact"/>
        <w:rPr>
          <w:rFonts w:ascii="Times New Roman" w:cs="Times New Roman" w:eastAsia="Times New Roman" w:hAnsi="Times New Roman"/>
          <w:sz w:val="14"/>
          <w:szCs w:val="14"/>
          <w:color w:val="auto"/>
        </w:rPr>
      </w:pPr>
    </w:p>
    <w:p>
      <w:pPr>
        <w:ind w:left="2760" w:right="1359" w:hanging="898"/>
        <w:spacing w:after="0" w:line="292"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disruptions in opening sites, screening and enrolling patients or treating and following patients, in our current or any potential future clinical trials of RYTELO;</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outcomes of regulatory reviews or other regulatory actions related to</w:t>
      </w:r>
    </w:p>
    <w:p>
      <w:pPr>
        <w:spacing w:after="0" w:line="24" w:lineRule="exact"/>
        <w:rPr>
          <w:rFonts w:ascii="Times New Roman" w:cs="Times New Roman" w:eastAsia="Times New Roman" w:hAnsi="Times New Roman"/>
          <w:sz w:val="14"/>
          <w:szCs w:val="14"/>
          <w:color w:val="auto"/>
        </w:rPr>
      </w:pPr>
    </w:p>
    <w:p>
      <w:pPr>
        <w:ind w:left="2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RYTELO;</w:t>
      </w:r>
    </w:p>
    <w:p>
      <w:pPr>
        <w:spacing w:after="0" w:line="83" w:lineRule="exact"/>
        <w:rPr>
          <w:rFonts w:ascii="Times New Roman" w:cs="Times New Roman" w:eastAsia="Times New Roman" w:hAnsi="Times New Roman"/>
          <w:sz w:val="14"/>
          <w:szCs w:val="14"/>
          <w:color w:val="auto"/>
        </w:rPr>
      </w:pPr>
    </w:p>
    <w:p>
      <w:pPr>
        <w:ind w:left="2760" w:right="999" w:hanging="898"/>
        <w:spacing w:after="0" w:line="292"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and maintaining, enforcing and defending intellectual property-related claims;</w:t>
      </w:r>
    </w:p>
    <w:p>
      <w:pPr>
        <w:spacing w:after="0" w:line="37" w:lineRule="exact"/>
        <w:rPr>
          <w:rFonts w:ascii="Times New Roman" w:cs="Times New Roman" w:eastAsia="Times New Roman" w:hAnsi="Times New Roman"/>
          <w:sz w:val="14"/>
          <w:szCs w:val="14"/>
          <w:color w:val="auto"/>
        </w:rPr>
      </w:pPr>
    </w:p>
    <w:p>
      <w:pPr>
        <w:ind w:left="2760" w:right="1419" w:hanging="898"/>
        <w:spacing w:after="0" w:line="274"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manufacturing, developing, commercializing and marketing RYTELO, including with respect to third-party vendors and service providers and our ability to achieve any meaningful reduction in manufacturing costs;</w:t>
      </w:r>
    </w:p>
    <w:p>
      <w:pPr>
        <w:spacing w:after="0" w:line="50" w:lineRule="exact"/>
        <w:rPr>
          <w:rFonts w:ascii="Times New Roman" w:cs="Times New Roman" w:eastAsia="Times New Roman" w:hAnsi="Times New Roman"/>
          <w:sz w:val="14"/>
          <w:szCs w:val="14"/>
          <w:color w:val="auto"/>
        </w:rPr>
      </w:pPr>
    </w:p>
    <w:p>
      <w:pPr>
        <w:ind w:left="2760" w:right="999" w:hanging="898"/>
        <w:spacing w:after="0" w:line="292"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sales price for RYTELO, including the availability of coverage and adequate third-party reimbursement for RYTELO;</w:t>
      </w:r>
    </w:p>
    <w:p>
      <w:pPr>
        <w:spacing w:after="0" w:line="37" w:lineRule="exact"/>
        <w:rPr>
          <w:rFonts w:ascii="Times New Roman" w:cs="Times New Roman" w:eastAsia="Times New Roman" w:hAnsi="Times New Roman"/>
          <w:sz w:val="14"/>
          <w:szCs w:val="14"/>
          <w:color w:val="auto"/>
        </w:rPr>
      </w:pPr>
    </w:p>
    <w:p>
      <w:pPr>
        <w:jc w:val="both"/>
        <w:ind w:left="2760" w:right="1359" w:hanging="898"/>
        <w:spacing w:after="0" w:line="262"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in-license other drugs and technologies, or invest in businesses, products or technologies, although we currently have no commitments or agreements relating to any of these types of transactions, or to which we out-license</w:t>
      </w:r>
    </w:p>
    <w:p>
      <w:pPr>
        <w:spacing w:after="0" w:line="1" w:lineRule="exact"/>
        <w:rPr>
          <w:rFonts w:ascii="Times New Roman" w:cs="Times New Roman" w:eastAsia="Times New Roman" w:hAnsi="Times New Roman"/>
          <w:sz w:val="14"/>
          <w:szCs w:val="14"/>
          <w:color w:val="auto"/>
        </w:rPr>
      </w:pPr>
    </w:p>
    <w:p>
      <w:pPr>
        <w:ind w:left="2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RYTELO;</w:t>
      </w:r>
    </w:p>
    <w:p>
      <w:pPr>
        <w:spacing w:after="0" w:line="83" w:lineRule="exact"/>
        <w:rPr>
          <w:rFonts w:ascii="Times New Roman" w:cs="Times New Roman" w:eastAsia="Times New Roman" w:hAnsi="Times New Roman"/>
          <w:sz w:val="14"/>
          <w:szCs w:val="14"/>
          <w:color w:val="auto"/>
        </w:rPr>
      </w:pPr>
    </w:p>
    <w:p>
      <w:pPr>
        <w:ind w:left="2760" w:right="1299" w:hanging="898"/>
        <w:spacing w:after="0" w:line="268"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are able to enter into and conduct successful commercialization arrangements with third parties, including for the commercialization and marketing of RYTELO in the EU and in any other regions outside of the U.S., if approved for commercialization in such other regions;</w:t>
      </w:r>
    </w:p>
    <w:p>
      <w:pPr>
        <w:spacing w:after="0" w:line="54" w:lineRule="exact"/>
        <w:rPr>
          <w:rFonts w:ascii="Times New Roman" w:cs="Times New Roman" w:eastAsia="Times New Roman" w:hAnsi="Times New Roman"/>
          <w:sz w:val="14"/>
          <w:szCs w:val="14"/>
          <w:color w:val="auto"/>
        </w:rPr>
      </w:pPr>
    </w:p>
    <w:p>
      <w:pPr>
        <w:ind w:left="2760" w:right="1059" w:hanging="898"/>
        <w:spacing w:after="0" w:line="292"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the pending putative securities class action and shareholder derivative lawsuits and potential additional related lawsuits, as well as any other litigation;</w:t>
      </w:r>
    </w:p>
    <w:p>
      <w:pPr>
        <w:spacing w:after="0" w:line="37" w:lineRule="exact"/>
        <w:rPr>
          <w:rFonts w:ascii="Times New Roman" w:cs="Times New Roman" w:eastAsia="Times New Roman" w:hAnsi="Times New Roman"/>
          <w:sz w:val="14"/>
          <w:szCs w:val="14"/>
          <w:color w:val="auto"/>
        </w:rPr>
      </w:pPr>
    </w:p>
    <w:p>
      <w:pPr>
        <w:ind w:left="2760" w:right="979" w:hanging="898"/>
        <w:spacing w:after="0" w:line="292"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scope of our selling, general and administrative expenses, including expenses associated with pending and potential future litigation;</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indebtedness and associated debt service obligations;</w:t>
      </w:r>
    </w:p>
    <w:p>
      <w:pPr>
        <w:spacing w:after="0" w:line="96" w:lineRule="exact"/>
        <w:rPr>
          <w:rFonts w:ascii="Times New Roman" w:cs="Times New Roman" w:eastAsia="Times New Roman" w:hAnsi="Times New Roman"/>
          <w:sz w:val="14"/>
          <w:szCs w:val="14"/>
          <w:color w:val="auto"/>
        </w:rPr>
      </w:pPr>
    </w:p>
    <w:p>
      <w:pPr>
        <w:ind w:left="2760" w:right="1219" w:hanging="898"/>
        <w:spacing w:after="0" w:line="292" w:lineRule="auto"/>
        <w:tabs>
          <w:tab w:leader="none" w:pos="2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maintaining and operating facilities in California and New Jersey, as well as higher expenses for travel;</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296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32969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2760" w:right="1159" w:hanging="898"/>
        <w:spacing w:after="0" w:line="274" w:lineRule="auto"/>
        <w:tabs>
          <w:tab w:leader="none" w:pos="2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or other global conditions that may reduce our ability to access equity or debt capital or other financing on preferable terms, which may adversely affect future capital requirements and forecasts; and</w:t>
      </w:r>
    </w:p>
    <w:p>
      <w:pPr>
        <w:spacing w:after="0" w:line="50" w:lineRule="exact"/>
        <w:rPr>
          <w:rFonts w:ascii="Times New Roman" w:cs="Times New Roman" w:eastAsia="Times New Roman" w:hAnsi="Times New Roman"/>
          <w:sz w:val="14"/>
          <w:szCs w:val="14"/>
          <w:color w:val="auto"/>
        </w:rPr>
      </w:pPr>
    </w:p>
    <w:p>
      <w:pPr>
        <w:ind w:left="2760" w:right="1499" w:hanging="898"/>
        <w:spacing w:after="0" w:line="292" w:lineRule="auto"/>
        <w:tabs>
          <w:tab w:leader="none" w:pos="2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enabling our personnel to work remotely, including providing supplies, equipment and technology necessary for them to perform their responsibilities.</w:t>
      </w:r>
    </w:p>
    <w:p>
      <w:pPr>
        <w:spacing w:after="0" w:line="38"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In the event we need to raise additional capital to fund our business, including pursuant to the 2026 Sales Agreement with TD Cowen (as defined below),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fluctuations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are expected to have further global economic consequences. If the equity and credit markets deteriorate,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w:t>
      </w:r>
    </w:p>
    <w:p>
      <w:pPr>
        <w:sectPr>
          <w:pgSz w:w="11900" w:h="16838" w:orient="portrait"/>
          <w:cols w:equalWidth="0" w:num="1">
            <w:col w:w="9019"/>
          </w:cols>
          <w:pgMar w:left="1440" w:top="221" w:right="1440" w:bottom="0" w:gutter="0" w:footer="0" w:header="0"/>
        </w:sectPr>
      </w:pPr>
    </w:p>
    <w:bookmarkStart w:id="37" w:name="page38"/>
    <w:bookmarkEnd w:id="37"/>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9173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3917315"/>
                    </a:xfrm>
                    <a:prstGeom prst="rect">
                      <a:avLst/>
                    </a:prstGeom>
                    <a:noFill/>
                  </pic:spPr>
                </pic:pic>
              </a:graphicData>
            </a:graphic>
          </wp:anchor>
        </w:drawing>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2026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RISKS RELATED TO OUR INDEBTEDNESS AND ROYALTY PAYMENT OBLIGATIONS</w:t>
      </w:r>
    </w:p>
    <w:p>
      <w:pPr>
        <w:spacing w:after="0" w:line="181" w:lineRule="exact"/>
        <w:rPr>
          <w:sz w:val="20"/>
          <w:szCs w:val="20"/>
          <w:color w:val="auto"/>
        </w:rPr>
      </w:pPr>
    </w:p>
    <w:p>
      <w:pPr>
        <w:ind w:left="9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level of indebtedness and debt service obligations could adversely affect our financial condition and may make it more difficult for us to fund our operations, including by limiting our operating and financial flexibility.</w:t>
      </w:r>
    </w:p>
    <w:p>
      <w:pPr>
        <w:spacing w:after="0" w:line="120" w:lineRule="exact"/>
        <w:rPr>
          <w:sz w:val="20"/>
          <w:szCs w:val="20"/>
          <w:color w:val="auto"/>
        </w:rPr>
      </w:pPr>
    </w:p>
    <w:p>
      <w:pPr>
        <w:ind w:left="960" w:right="1039" w:firstLine="902"/>
        <w:spacing w:after="0" w:line="260" w:lineRule="auto"/>
        <w:rPr>
          <w:sz w:val="20"/>
          <w:szCs w:val="20"/>
          <w:color w:val="auto"/>
        </w:rPr>
      </w:pPr>
      <w:r>
        <w:rPr>
          <w:rFonts w:ascii="Times New Roman" w:cs="Times New Roman" w:eastAsia="Times New Roman" w:hAnsi="Times New Roman"/>
          <w:sz w:val="14"/>
          <w:szCs w:val="14"/>
          <w:color w:val="auto"/>
        </w:rPr>
        <w:t>On November 1, 2024, we entered into the Pharmakon Loan Agreement, which we amended on January 5, 2026. We drew the Tranche A Loan of $125.0 million on November 1, 2024 and as of November 1, 2024, the total outstanding principal amount under the Pharmakon Loan Agreement was $125.0 million. The tranches for the remaining $125.0 million available to us under the Pharmakon Loan Agreement are as follows: (a) a Tranche B Loan of $75.0 million, which is available for us to request at our option until July 30, 2026, subject to certain customary and limited conditions; and (b) a Tranche C Loan of $50.0 million, which is available for us to request until July 30, 2026, subject to certain conditions, including us reaching a specified trailing twelve-month RYTELO revenue milestone on or prior to June 30, 2026. If we do not achieve such revenue milestone within the required timeline, we will not be eligible to draw down the Tranche C Loan. In addition, before we would consider drawing down any of the remaining tranches under the Pharmakon Loan Agreement, if available, we must first satisfy ourselves that we will have access to future alternate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65360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65360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59"/>
        <w:spacing w:after="0" w:line="274" w:lineRule="auto"/>
        <w:rPr>
          <w:sz w:val="20"/>
          <w:szCs w:val="20"/>
          <w:color w:val="auto"/>
        </w:rPr>
      </w:pPr>
      <w:r>
        <w:rPr>
          <w:rFonts w:ascii="Times New Roman" w:cs="Times New Roman" w:eastAsia="Times New Roman" w:hAnsi="Times New Roman"/>
          <w:sz w:val="14"/>
          <w:szCs w:val="14"/>
          <w:color w:val="auto"/>
        </w:rPr>
        <w:t>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spacing w:after="0" w:line="136"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All obligations under the Pharmakon Loan Agreement are secured by substantially all of our assets, including our intellectual property. Further, the terms of the Pharmakon Loan Agreement place restrictions on our operating and financial flexibility, and limit or prohibit our ability to dispose of certain assets, change our line of business, and engage in other significant transactions. Such restrictions will affect, and in many respects limit or prohibit, our ability and the ability of our subsidiaries to, among other things:</w:t>
      </w:r>
    </w:p>
    <w:p>
      <w:pPr>
        <w:spacing w:after="0" w:line="142" w:lineRule="exact"/>
        <w:rPr>
          <w:sz w:val="20"/>
          <w:szCs w:val="20"/>
          <w:color w:val="auto"/>
        </w:rPr>
      </w:pPr>
    </w:p>
    <w:p>
      <w:pPr>
        <w:ind w:left="2760" w:hanging="898"/>
        <w:spacing w:after="0"/>
        <w:tabs>
          <w:tab w:leader="none" w:pos="2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dispose of certain assets;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our line of business;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acquisitions or consolidations;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on assets;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make contributions or repurchase our capital stock; and</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certain transactions with affiliates.</w:t>
      </w:r>
    </w:p>
    <w:p>
      <w:pPr>
        <w:spacing w:after="0" w:line="97"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This indebtedness may create additional financing risk for us, particularly if our business or prevailing financial market conditions are not conducive to paying off or refinancing the outstanding debt obligations at maturity. If we draw down any of the remaining tranches under the Pharmakon Loan Agreement, our indebtedness will increase, which would further increase our risk of being unable to pay off or refinance our outstanding debt obligations at maturity.</w:t>
      </w:r>
    </w:p>
    <w:p>
      <w:pPr>
        <w:spacing w:after="0" w:line="14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Our indebtedness could also have important negative consequences, including:</w:t>
      </w:r>
    </w:p>
    <w:p>
      <w:pPr>
        <w:spacing w:after="0" w:line="183" w:lineRule="exact"/>
        <w:rPr>
          <w:sz w:val="20"/>
          <w:szCs w:val="20"/>
          <w:color w:val="auto"/>
        </w:rPr>
      </w:pPr>
    </w:p>
    <w:p>
      <w:pPr>
        <w:ind w:left="2760" w:right="979" w:hanging="898"/>
        <w:spacing w:after="0" w:line="274" w:lineRule="auto"/>
        <w:tabs>
          <w:tab w:leader="none" w:pos="2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repay the indebtedness by making payments of interest and principal, which will reduce the amount of cash available to finance our operations, our research and development efforts and other general corporate activities; and</w:t>
      </w:r>
    </w:p>
    <w:p>
      <w:pPr>
        <w:spacing w:after="0" w:line="50" w:lineRule="exact"/>
        <w:rPr>
          <w:rFonts w:ascii="Times New Roman" w:cs="Times New Roman" w:eastAsia="Times New Roman" w:hAnsi="Times New Roman"/>
          <w:sz w:val="14"/>
          <w:szCs w:val="14"/>
          <w:color w:val="auto"/>
        </w:rPr>
      </w:pPr>
    </w:p>
    <w:p>
      <w:pPr>
        <w:ind w:left="2760" w:right="999" w:hanging="898"/>
        <w:spacing w:after="0" w:line="267" w:lineRule="auto"/>
        <w:tabs>
          <w:tab w:leader="none" w:pos="2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the obligations of our affirmative and restrictive covenants in the Pharmakon Loan Agreement could result in an event of default that, if not cured or waived, would permit the Lenders to accelerate our obligation to repay this indebtedness, and the Lenders could seek to enforce their security interest in the assets securing such indebtedness.</w:t>
      </w:r>
    </w:p>
    <w:p>
      <w:pPr>
        <w:spacing w:after="0" w:line="229" w:lineRule="exact"/>
        <w:rPr>
          <w:sz w:val="20"/>
          <w:szCs w:val="20"/>
          <w:color w:val="auto"/>
        </w:rPr>
      </w:pPr>
    </w:p>
    <w:p>
      <w:pPr>
        <w:ind w:left="960" w:right="1099" w:firstLine="902"/>
        <w:spacing w:after="0" w:line="274" w:lineRule="auto"/>
        <w:rPr>
          <w:sz w:val="20"/>
          <w:szCs w:val="20"/>
          <w:color w:val="auto"/>
        </w:rPr>
      </w:pPr>
      <w:r>
        <w:rPr>
          <w:rFonts w:ascii="Times New Roman" w:cs="Times New Roman" w:eastAsia="Times New Roman" w:hAnsi="Times New Roman"/>
          <w:sz w:val="14"/>
          <w:szCs w:val="14"/>
          <w:color w:val="auto"/>
        </w:rPr>
        <w:t>In addition, we may borrow additional capital in the future to fund clinical development and our future growth, including pursuant to the Pharmakon Loan Agreement or potentially pursuant to new arrangements with different lenders. To the extent additional debt is added to our current debt levels, the risks described above could increase.</w:t>
      </w:r>
    </w:p>
    <w:p>
      <w:pPr>
        <w:spacing w:after="0" w:line="293" w:lineRule="exact"/>
        <w:rPr>
          <w:sz w:val="20"/>
          <w:szCs w:val="20"/>
          <w:color w:val="auto"/>
        </w:rPr>
      </w:pPr>
    </w:p>
    <w:p>
      <w:pPr>
        <w:ind w:left="9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have cash available in an amount sufficient to enable us to make interest or principal payments on our indebtedness when due.</w:t>
      </w:r>
    </w:p>
    <w:p>
      <w:pPr>
        <w:spacing w:after="0" w:line="120" w:lineRule="exact"/>
        <w:rPr>
          <w:sz w:val="20"/>
          <w:szCs w:val="20"/>
          <w:color w:val="auto"/>
        </w:rPr>
      </w:pPr>
    </w:p>
    <w:p>
      <w:pPr>
        <w:ind w:left="960" w:right="979" w:firstLine="902"/>
        <w:spacing w:after="0" w:line="262" w:lineRule="auto"/>
        <w:rPr>
          <w:sz w:val="20"/>
          <w:szCs w:val="20"/>
          <w:color w:val="auto"/>
        </w:rPr>
      </w:pPr>
      <w:r>
        <w:rPr>
          <w:rFonts w:ascii="Times New Roman" w:cs="Times New Roman" w:eastAsia="Times New Roman" w:hAnsi="Times New Roman"/>
          <w:sz w:val="14"/>
          <w:szCs w:val="14"/>
          <w:color w:val="auto"/>
        </w:rPr>
        <w:t>Our ability to make scheduled interest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spacing w:after="0" w:line="144" w:lineRule="exact"/>
        <w:rPr>
          <w:sz w:val="20"/>
          <w:szCs w:val="20"/>
          <w:color w:val="auto"/>
        </w:rPr>
      </w:pPr>
    </w:p>
    <w:p>
      <w:pPr>
        <w:ind w:left="960" w:right="1139" w:firstLine="902"/>
        <w:spacing w:after="0" w:line="274" w:lineRule="auto"/>
        <w:rPr>
          <w:sz w:val="20"/>
          <w:szCs w:val="20"/>
          <w:color w:val="auto"/>
        </w:rPr>
      </w:pPr>
      <w:r>
        <w:rPr>
          <w:rFonts w:ascii="Times New Roman" w:cs="Times New Roman" w:eastAsia="Times New Roman" w:hAnsi="Times New Roman"/>
          <w:sz w:val="14"/>
          <w:szCs w:val="14"/>
          <w:color w:val="auto"/>
        </w:rPr>
        <w:t>Failure to satisfy our current and future debt obligations under the Pharmakon Loan Agreement or to comply with certain covenants in the Pharmakon Loan Agreement could result in an event of default, the occurrence and continuance of which provides the lenders with the right to demand immediate repayment of all outstanding obligations</w:t>
      </w:r>
    </w:p>
    <w:p>
      <w:pPr>
        <w:sectPr>
          <w:pgSz w:w="11900" w:h="16838" w:orient="portrait"/>
          <w:cols w:equalWidth="0" w:num="1">
            <w:col w:w="9019"/>
          </w:cols>
          <w:pgMar w:left="1440" w:top="211" w:right="1440" w:bottom="0" w:gutter="0" w:footer="0" w:header="0"/>
        </w:sectPr>
      </w:pPr>
    </w:p>
    <w:bookmarkStart w:id="38" w:name="page39"/>
    <w:bookmarkEnd w:id="38"/>
    <w:p>
      <w:pPr>
        <w:spacing w:after="0" w:line="66" w:lineRule="exact"/>
        <w:rPr>
          <w:sz w:val="20"/>
          <w:szCs w:val="20"/>
          <w:color w:val="auto"/>
        </w:rPr>
      </w:pPr>
    </w:p>
    <w:p>
      <w:pPr>
        <w:ind w:left="960" w:right="1059"/>
        <w:spacing w:after="0" w:line="192" w:lineRule="auto"/>
        <w:rPr>
          <w:sz w:val="20"/>
          <w:szCs w:val="20"/>
          <w:color w:val="auto"/>
        </w:rPr>
      </w:pPr>
      <w:r>
        <w:rPr>
          <w:rFonts w:ascii="Times New Roman" w:cs="Times New Roman" w:eastAsia="Times New Roman" w:hAnsi="Times New Roman"/>
          <w:sz w:val="13"/>
          <w:szCs w:val="13"/>
          <w:color w:val="auto"/>
        </w:rPr>
        <w:t>under the Pharmakon Loan Agreement (and in the case of certain insolvency, liquidation, bankruptcy or similar events, automatically requires immediate repayment of all outstanding obligations under the Pharmakon Loan Agreement),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-134620</wp:posOffset>
            </wp:positionV>
            <wp:extent cx="5584190" cy="678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6781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99"/>
        <w:spacing w:after="0" w:line="292" w:lineRule="auto"/>
        <w:rPr>
          <w:sz w:val="20"/>
          <w:szCs w:val="20"/>
          <w:color w:val="auto"/>
        </w:rPr>
      </w:pPr>
      <w:r>
        <w:rPr>
          <w:rFonts w:ascii="Times New Roman" w:cs="Times New Roman" w:eastAsia="Times New Roman" w:hAnsi="Times New Roman"/>
          <w:sz w:val="14"/>
          <w:szCs w:val="14"/>
          <w:color w:val="auto"/>
        </w:rPr>
        <w:t>exercise remedies against us and the collateral securing the Pharmakon Loan Agreement. These events of default include, among other things:</w:t>
      </w:r>
    </w:p>
    <w:p>
      <w:pPr>
        <w:spacing w:after="0" w:line="124" w:lineRule="exact"/>
        <w:rPr>
          <w:sz w:val="20"/>
          <w:szCs w:val="20"/>
          <w:color w:val="auto"/>
        </w:rPr>
      </w:pPr>
    </w:p>
    <w:p>
      <w:pPr>
        <w:ind w:left="2760" w:hanging="898"/>
        <w:spacing w:after="0"/>
        <w:tabs>
          <w:tab w:leader="none" w:pos="2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insolvency, liquidation, bankruptcy or similar events;</w:t>
      </w:r>
    </w:p>
    <w:p>
      <w:pPr>
        <w:spacing w:after="0" w:line="182" w:lineRule="exact"/>
        <w:rPr>
          <w:rFonts w:ascii="Times New Roman" w:cs="Times New Roman" w:eastAsia="Times New Roman" w:hAnsi="Times New Roman"/>
          <w:sz w:val="14"/>
          <w:szCs w:val="14"/>
          <w:color w:val="auto"/>
        </w:rPr>
      </w:pPr>
    </w:p>
    <w:p>
      <w:pPr>
        <w:ind w:left="2760" w:right="1039" w:hanging="898"/>
        <w:spacing w:after="0" w:line="292" w:lineRule="auto"/>
        <w:tabs>
          <w:tab w:leader="none" w:pos="2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observe covenants under the Pharmakon Loan Agreement and ancillary collateral documents, which failure, in certain limited cases, is not cured within 10 or 20 days;</w:t>
      </w:r>
    </w:p>
    <w:p>
      <w:pPr>
        <w:spacing w:after="0" w:line="123"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withdrawal event in respect to RYTELO;</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material adverse change;</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misrepresentations;</w:t>
      </w:r>
    </w:p>
    <w:p>
      <w:pPr>
        <w:spacing w:after="0" w:line="182" w:lineRule="exact"/>
        <w:rPr>
          <w:rFonts w:ascii="Times New Roman" w:cs="Times New Roman" w:eastAsia="Times New Roman" w:hAnsi="Times New Roman"/>
          <w:sz w:val="14"/>
          <w:szCs w:val="14"/>
          <w:color w:val="auto"/>
        </w:rPr>
      </w:pPr>
    </w:p>
    <w:p>
      <w:pPr>
        <w:ind w:left="2760" w:right="1099" w:hanging="898"/>
        <w:spacing w:after="0" w:line="292" w:lineRule="auto"/>
        <w:tabs>
          <w:tab w:leader="none" w:pos="2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cross-default of third-party indebtedness or certain default or termination events of hedging assessments;</w:t>
      </w:r>
    </w:p>
    <w:p>
      <w:pPr>
        <w:spacing w:after="0" w:line="123" w:lineRule="exact"/>
        <w:rPr>
          <w:rFonts w:ascii="Times New Roman" w:cs="Times New Roman" w:eastAsia="Times New Roman" w:hAnsi="Times New Roman"/>
          <w:sz w:val="14"/>
          <w:szCs w:val="14"/>
          <w:color w:val="auto"/>
        </w:rPr>
      </w:pPr>
    </w:p>
    <w:p>
      <w:pPr>
        <w:ind w:left="2760" w:right="1059" w:hanging="898"/>
        <w:spacing w:after="0" w:line="292" w:lineRule="auto"/>
        <w:tabs>
          <w:tab w:leader="none" w:pos="2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money judgments being entered against us which are not timely paid, discharged or stayed; and</w:t>
      </w:r>
    </w:p>
    <w:p>
      <w:pPr>
        <w:spacing w:after="0" w:line="123"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assets are attached or seized.</w:t>
      </w:r>
    </w:p>
    <w:p>
      <w:pPr>
        <w:spacing w:after="0" w:line="183" w:lineRule="exact"/>
        <w:rPr>
          <w:sz w:val="20"/>
          <w:szCs w:val="20"/>
          <w:color w:val="auto"/>
        </w:rPr>
      </w:pPr>
    </w:p>
    <w:p>
      <w:pPr>
        <w:ind w:left="960" w:right="999" w:firstLine="938"/>
        <w:spacing w:after="0" w:line="261" w:lineRule="auto"/>
        <w:rPr>
          <w:sz w:val="20"/>
          <w:szCs w:val="20"/>
          <w:color w:val="auto"/>
        </w:rPr>
      </w:pPr>
      <w:r>
        <w:rPr>
          <w:rFonts w:ascii="Times New Roman" w:cs="Times New Roman" w:eastAsia="Times New Roman" w:hAnsi="Times New Roman"/>
          <w:sz w:val="14"/>
          <w:szCs w:val="14"/>
          <w:color w:val="auto"/>
        </w:rPr>
        <w:t>In the event of default, the lenders could accelerate all of the amounts due under the Pharmakon Loan Agreement. Under such circumstances, we may not have enough available cash or be able to raise additional funds through equity or debt financings to repay such indebtedness at the time of such acceleration. We may be required to delay, limit, reduce or terminate our RYTELO development or commercialization efforts or grant to others rights to develop and market RYTELO. The lenders could also exercise their rights to take possession and dispose of the collateral securing the Pharmakon Loan Agreement, which collateral includes substantially all of our property including, without limitation, our intellectual property, subject to certain exceptions. Our business, financial condition and results of operations could be materially adversely affected as a result of any of these events.</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The Royalty Pharma Agreement places certain restrictions on our operational flexibility.</w:t>
      </w:r>
    </w:p>
    <w:p>
      <w:pPr>
        <w:spacing w:after="0" w:line="187"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The Royalty Pharma Agreement contains covenants that impose on us certain obligations with respect to royalty payments, diligence, reporting, indemnification and includes restrictions on intellectual property transfers and out-licenses, and certain other actions. For example, we are obligated to make royalty payments each quarter based on U.S. net sales of RYTELO at the royalty rates set forth in the Royalty Pharma Agreement, until the date when the aggregate Royalty Payments equal or exceed 1.65 times the Purchase Price, if this occurs by June 30, 2031. However, in the event we are unable to repay our obligation to Royalty Pharma before June 30, 2031, we will be required to make royalty payments equal to or exceeding 2.0 times the Purchase Price thereafter, which may negatively impact our business, financial condition and results of operations. The Royalty Pharma Agreement also limits our ability to create or incur liens or dispose of certain assets related to imetelstat. We have no rights to repurchase the revenue interests in RYTELO sold to Royalty Pharma (other than in connection with a change of control event), thereby limiting our ability to eliminate future applicability of the covenants contained in the Royalty Pharma Agreement. Compliance with these covenants may limit our flexibility in operating our business and our ability to take actions that might otherwise be advantageous to us and our stockholders.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PROTECTING OUR INTELLECTUAL PROPERTY</w:t>
      </w:r>
    </w:p>
    <w:p>
      <w:pPr>
        <w:spacing w:after="0" w:line="181" w:lineRule="exact"/>
        <w:rPr>
          <w:sz w:val="20"/>
          <w:szCs w:val="20"/>
          <w:color w:val="auto"/>
        </w:rPr>
      </w:pPr>
    </w:p>
    <w:p>
      <w:pPr>
        <w:ind w:left="960" w:right="9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spacing w:after="0" w:line="134"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Protection of our proprietary technology is critically important to our business. Our success and the success of our commercialization and planned future development of RYTELO will depend on our ability to protect our technologies and RYTELO through patents, regulatory exclusivity, and other intellectual property rights. Our success will depend in part on our ability to obtain, maintain, enforce, and extend our patents and maintain trade secrets, both in the U.S. and in other countries.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24923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4190" cy="24923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As a result of the Leahy-Smith America Invents Act, or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spacing w:after="0" w:line="321" w:lineRule="exact"/>
        <w:rPr>
          <w:sz w:val="20"/>
          <w:szCs w:val="20"/>
          <w:color w:val="auto"/>
        </w:rPr>
      </w:pPr>
    </w:p>
    <w:p>
      <w:pPr>
        <w:jc w:val="both"/>
        <w:ind w:left="960" w:right="1099" w:firstLine="902"/>
        <w:spacing w:after="0" w:line="265"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RYTELO or our technology and/or limit the duration of the patent protection for RYTELO and our technology.</w:t>
      </w:r>
    </w:p>
    <w:p>
      <w:pPr>
        <w:sectPr>
          <w:pgSz w:w="11900" w:h="16904" w:orient="portrait"/>
          <w:cols w:equalWidth="0" w:num="1">
            <w:col w:w="9019"/>
          </w:cols>
          <w:pgMar w:left="1440" w:top="114" w:right="1440" w:bottom="0" w:gutter="0" w:footer="0" w:header="0"/>
        </w:sectPr>
      </w:pPr>
    </w:p>
    <w:bookmarkStart w:id="39" w:name="page40"/>
    <w:bookmarkEnd w:id="39"/>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721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4190" cy="4721860"/>
                    </a:xfrm>
                    <a:prstGeom prst="rect">
                      <a:avLst/>
                    </a:prstGeom>
                    <a:noFill/>
                  </pic:spPr>
                </pic:pic>
              </a:graphicData>
            </a:graphic>
          </wp:anchor>
        </w:drawing>
        <w:t>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product for our approved indications, physicians may prescribe or use these generic products “off-label,” which would result in decreased sales for us.</w:t>
      </w:r>
    </w:p>
    <w:p>
      <w:pPr>
        <w:spacing w:after="0" w:line="144"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In addition to our patents covering RYTELO, we also expect to rely on regulatory exclusivity, including orphan drug exclusivity of up to seven years in the U.S. and ten years in the EU following approval, to protect our rights to commercialize RYTELO for its approved uses, but such regulatory exclusivity may be limited or withdrawn. See “</w:t>
      </w:r>
      <w:r>
        <w:rPr>
          <w:rFonts w:ascii="Times New Roman" w:cs="Times New Roman" w:eastAsia="Times New Roman" w:hAnsi="Times New Roman"/>
          <w:sz w:val="14"/>
          <w:szCs w:val="14"/>
          <w:i w:val="1"/>
          <w:iCs w:val="1"/>
          <w:color w:val="auto"/>
        </w:rPr>
        <w:t>Risks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Related to Regulatory Approval of RYTELO -- 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r>
        <w:rPr>
          <w:rFonts w:ascii="Times New Roman" w:cs="Times New Roman" w:eastAsia="Times New Roman" w:hAnsi="Times New Roman"/>
          <w:sz w:val="14"/>
          <w:szCs w:val="14"/>
          <w:color w:val="auto"/>
        </w:rPr>
        <w:t>”</w:t>
      </w:r>
    </w:p>
    <w:p>
      <w:pPr>
        <w:spacing w:after="0" w:line="321" w:lineRule="exact"/>
        <w:rPr>
          <w:sz w:val="20"/>
          <w:szCs w:val="20"/>
          <w:color w:val="auto"/>
        </w:rPr>
      </w:pPr>
    </w:p>
    <w:p>
      <w:pPr>
        <w:ind w:left="960" w:right="1039" w:firstLine="902"/>
        <w:spacing w:after="0" w:line="262" w:lineRule="auto"/>
        <w:rPr>
          <w:sz w:val="20"/>
          <w:szCs w:val="20"/>
          <w:color w:val="auto"/>
        </w:rPr>
      </w:pPr>
      <w:r>
        <w:rPr>
          <w:rFonts w:ascii="Times New Roman" w:cs="Times New Roman" w:eastAsia="Times New Roman" w:hAnsi="Times New Roman"/>
          <w:sz w:val="14"/>
          <w:szCs w:val="14"/>
          <w:color w:val="auto"/>
        </w:rPr>
        <w:t>In addition to orphan drug exclusivity, we expect to rely on other forms of regulatory exclusivity to protect our ability to commercialize RYTELO. In the U.S., New Chemical Entity, or NCE, exclusivity would entitle us to four years of data exclusivity and one year of market exclusivity, for a total of five years of NCE exclusivity from the date of approval of the first-approved indication. Our request for NCE exclusivity is still pending with FDA, and might not be awarded or could be awarded and then later withdrawn. In the EU, imetelstat is designated as a New Active Substance, or NAS. For this NAS, regulatory data protection entitles us to eight years of data exclusivity and two years of market exclusivity, for a total of ten years in parallel to orphan market exclusivity.</w:t>
      </w:r>
    </w:p>
    <w:p>
      <w:pPr>
        <w:spacing w:after="0" w:line="144" w:lineRule="exact"/>
        <w:rPr>
          <w:sz w:val="20"/>
          <w:szCs w:val="20"/>
          <w:color w:val="auto"/>
        </w:rPr>
      </w:pPr>
    </w:p>
    <w:p>
      <w:pPr>
        <w:ind w:left="960" w:right="1099" w:firstLine="902"/>
        <w:spacing w:after="0" w:line="262" w:lineRule="auto"/>
        <w:rPr>
          <w:sz w:val="20"/>
          <w:szCs w:val="20"/>
          <w:color w:val="auto"/>
        </w:rPr>
      </w:pPr>
      <w:r>
        <w:rPr>
          <w:rFonts w:ascii="Times New Roman" w:cs="Times New Roman" w:eastAsia="Times New Roman" w:hAnsi="Times New Roman"/>
          <w:sz w:val="14"/>
          <w:szCs w:val="14"/>
          <w:color w:val="auto"/>
        </w:rPr>
        <w:t>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spacing w:after="0" w:line="140" w:lineRule="exact"/>
        <w:rPr>
          <w:sz w:val="20"/>
          <w:szCs w:val="20"/>
          <w:color w:val="auto"/>
        </w:rPr>
      </w:pPr>
    </w:p>
    <w:p>
      <w:pPr>
        <w:jc w:val="both"/>
        <w:ind w:left="960" w:right="9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4" w:lineRule="exact"/>
        <w:rPr>
          <w:sz w:val="20"/>
          <w:szCs w:val="20"/>
          <w:color w:val="auto"/>
        </w:rPr>
      </w:pPr>
    </w:p>
    <w:p>
      <w:pPr>
        <w:ind w:left="960" w:right="1059" w:firstLine="902"/>
        <w:spacing w:after="0" w:line="292" w:lineRule="auto"/>
        <w:rPr>
          <w:sz w:val="20"/>
          <w:szCs w:val="20"/>
          <w:color w:val="auto"/>
        </w:rPr>
      </w:pPr>
      <w:r>
        <w:rPr>
          <w:rFonts w:ascii="Times New Roman" w:cs="Times New Roman" w:eastAsia="Times New Roman" w:hAnsi="Times New Roman"/>
          <w:sz w:val="14"/>
          <w:szCs w:val="14"/>
          <w:color w:val="auto"/>
        </w:rPr>
        <w:t>The U.S. Patent and Trademark Office, or USPTO, and various governmental patent agencies in other countries require compliance with a number of procedural, documentary, fee payment, periodic maintenance fees, renewal</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731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84190" cy="57315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59"/>
        <w:spacing w:after="0" w:line="262" w:lineRule="auto"/>
        <w:rPr>
          <w:sz w:val="20"/>
          <w:szCs w:val="20"/>
          <w:color w:val="auto"/>
        </w:rPr>
      </w:pPr>
      <w:r>
        <w:rPr>
          <w:rFonts w:ascii="Times New Roman" w:cs="Times New Roman" w:eastAsia="Times New Roman" w:hAnsi="Times New Roman"/>
          <w:sz w:val="14"/>
          <w:szCs w:val="14"/>
          <w:color w:val="auto"/>
        </w:rPr>
        <w:t>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RYTELO for an adequate amount of time.</w:t>
      </w:r>
    </w:p>
    <w:p>
      <w:pPr>
        <w:spacing w:after="0" w:line="187" w:lineRule="exact"/>
        <w:rPr>
          <w:sz w:val="20"/>
          <w:szCs w:val="20"/>
          <w:color w:val="auto"/>
        </w:rPr>
      </w:pPr>
    </w:p>
    <w:p>
      <w:pPr>
        <w:ind w:left="960" w:right="1099" w:firstLine="902"/>
        <w:spacing w:after="0" w:line="274" w:lineRule="auto"/>
        <w:rPr>
          <w:sz w:val="20"/>
          <w:szCs w:val="20"/>
          <w:color w:val="auto"/>
        </w:rPr>
      </w:pPr>
      <w:r>
        <w:rPr>
          <w:rFonts w:ascii="Times New Roman" w:cs="Times New Roman" w:eastAsia="Times New Roman" w:hAnsi="Times New Roman"/>
          <w:sz w:val="14"/>
          <w:szCs w:val="14"/>
          <w:color w:val="auto"/>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spacing w:after="0" w:line="136"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In the U.S., the Hatch-Waxman Act permits one patent per approved product to receive one patent term extension of up to five years beyond its normal expiration. The USPTO, in consultation with the FDA, reviews and approves the application for any patent term extension or restoration. The length of the patent term extension is typically calculated as one half of period between the effective date of an IND and the submission date of an NDA less any time the sponsor did not act with due diligence during the period, plus the time between the submission date of an NDA and the approval of that application less any time the sponsor did not act with due diligence during the period. There is also a limit on the patent term extension to a term that is no greater than fourteen years from drug approval. We have applied to the USPTO for patent term extension of some of our patents. Currently, communication of patent term extension approval and the length of the granted extension period by the USPTO may occur up to several years from filing of an application for patent term extension. If the USPTO and the FDA determine the extension period for each proposed eligible patent, we will 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USPTO and could differ from our calculation.</w:t>
      </w:r>
    </w:p>
    <w:p>
      <w:pPr>
        <w:spacing w:after="0" w:line="319" w:lineRule="exact"/>
        <w:rPr>
          <w:sz w:val="20"/>
          <w:szCs w:val="20"/>
          <w:color w:val="auto"/>
        </w:rPr>
      </w:pPr>
    </w:p>
    <w:p>
      <w:pPr>
        <w:ind w:left="960" w:right="1119" w:firstLine="902"/>
        <w:spacing w:after="0" w:line="274" w:lineRule="auto"/>
        <w:rPr>
          <w:sz w:val="20"/>
          <w:szCs w:val="20"/>
          <w:color w:val="auto"/>
        </w:rPr>
      </w:pPr>
      <w:r>
        <w:rPr>
          <w:rFonts w:ascii="Times New Roman" w:cs="Times New Roman" w:eastAsia="Times New Roman" w:hAnsi="Times New Roman"/>
          <w:sz w:val="14"/>
          <w:szCs w:val="14"/>
          <w:color w:val="auto"/>
        </w:rPr>
        <w:t>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including:</w:t>
      </w:r>
    </w:p>
    <w:p>
      <w:pPr>
        <w:spacing w:after="0" w:line="136" w:lineRule="exact"/>
        <w:rPr>
          <w:sz w:val="20"/>
          <w:szCs w:val="20"/>
          <w:color w:val="auto"/>
        </w:rPr>
      </w:pPr>
    </w:p>
    <w:p>
      <w:pPr>
        <w:ind w:left="2760" w:hanging="898"/>
        <w:spacing w:after="0"/>
        <w:tabs>
          <w:tab w:leader="none" w:pos="2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adhere to the required filing deadlines;</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of a patent term extension application after the underlying patents have expired;</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exercise due diligence during clinical development or regulatory review; or</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otherwise meet the applicable criteria.</w:t>
      </w:r>
    </w:p>
    <w:p>
      <w:pPr>
        <w:spacing w:after="0" w:line="183" w:lineRule="exact"/>
        <w:rPr>
          <w:sz w:val="20"/>
          <w:szCs w:val="20"/>
          <w:color w:val="auto"/>
        </w:rPr>
      </w:pPr>
    </w:p>
    <w:p>
      <w:pPr>
        <w:ind w:left="960" w:right="1079" w:firstLine="938"/>
        <w:spacing w:after="0" w:line="262" w:lineRule="auto"/>
        <w:rPr>
          <w:sz w:val="20"/>
          <w:szCs w:val="20"/>
          <w:color w:val="auto"/>
        </w:rPr>
      </w:pPr>
      <w:r>
        <w:rPr>
          <w:rFonts w:ascii="Times New Roman" w:cs="Times New Roman" w:eastAsia="Times New Roman" w:hAnsi="Times New Roman"/>
          <w:sz w:val="14"/>
          <w:szCs w:val="14"/>
          <w:color w:val="auto"/>
        </w:rPr>
        <w:t>Moreover, the applicable authorities, including the FDA and the USPTO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If we do not have sufficient patent life and regulatory exclusivity to protect RYTELO, our financial results, business and business prospects would be materially and adversely affected, which might cause us to cease operations.</w:t>
      </w:r>
    </w:p>
    <w:p>
      <w:pPr>
        <w:sectPr>
          <w:pgSz w:w="11900" w:h="16838" w:orient="portrait"/>
          <w:cols w:equalWidth="0" w:num="1">
            <w:col w:w="9019"/>
          </w:cols>
          <w:pgMar w:left="1440" w:top="275" w:right="1440" w:bottom="0" w:gutter="0" w:footer="0" w:header="0"/>
        </w:sectPr>
      </w:pPr>
    </w:p>
    <w:bookmarkStart w:id="40" w:name="page41"/>
    <w:bookmarkEnd w:id="40"/>
    <w:p>
      <w:pPr>
        <w:jc w:val="both"/>
        <w:ind w:left="960" w:right="1159" w:firstLine="902"/>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482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1482725"/>
                    </a:xfrm>
                    <a:prstGeom prst="rect">
                      <a:avLst/>
                    </a:prstGeom>
                    <a:noFill/>
                  </pic:spPr>
                </pic:pic>
              </a:graphicData>
            </a:graphic>
          </wp:anchor>
        </w:drawing>
        <w:t>In Europe and other jurisdictions, our composition of matter patent coverage expired in September 2024, and our method of treatment patent rights for MDS and MF expire in November 2033. Our method of treatment patents may be eligible for patent term extension of up to five years under an SPC, permitted under European Council (EC)</w:t>
      </w:r>
    </w:p>
    <w:p>
      <w:pPr>
        <w:spacing w:after="0" w:line="2" w:lineRule="exact"/>
        <w:rPr>
          <w:sz w:val="20"/>
          <w:szCs w:val="20"/>
          <w:color w:val="auto"/>
        </w:rPr>
      </w:pPr>
    </w:p>
    <w:p>
      <w:pPr>
        <w:ind w:left="960" w:right="1019"/>
        <w:spacing w:after="0" w:line="261" w:lineRule="auto"/>
        <w:rPr>
          <w:sz w:val="20"/>
          <w:szCs w:val="20"/>
          <w:color w:val="auto"/>
        </w:rPr>
      </w:pPr>
      <w:r>
        <w:rPr>
          <w:rFonts w:ascii="Times New Roman" w:cs="Times New Roman" w:eastAsia="Times New Roman" w:hAnsi="Times New Roman"/>
          <w:sz w:val="14"/>
          <w:szCs w:val="14"/>
          <w:color w:val="auto"/>
        </w:rPr>
        <w:t>Regulation No. 469/2009, or the European SPC Regulation, upon receipt of marketing authorization, such as, for example, our method of treatment patent for MDS. In Europe, we have separate method of treatment patents covering MDS and MF, and an SPC may only be applied for once with respect to a product. Accordingly, in countries of the European Economic Area, or EEA, we must rely on regulatory exclusivity and our method of treatment patents.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firstLine="902"/>
        <w:spacing w:after="0" w:line="262" w:lineRule="auto"/>
        <w:rPr>
          <w:sz w:val="20"/>
          <w:szCs w:val="20"/>
          <w:color w:val="auto"/>
        </w:rPr>
      </w:pPr>
      <w:r>
        <w:rPr>
          <w:rFonts w:ascii="Times New Roman" w:cs="Times New Roman" w:eastAsia="Times New Roman" w:hAnsi="Times New Roman"/>
          <w:sz w:val="14"/>
          <w:szCs w:val="14"/>
          <w:color w:val="auto"/>
        </w:rPr>
        <w:t>If regulatory approval of RYTELO occurs after a patent has expired in a country that does not allow interim patent term extensions, as is the case in many jurisdictions and territories including in Europe, we will be unable to obtain any patent term extension of that expired patent, and the duration of our patent rights may be limited. Accordingly, in Europe and such other similar jurisdictions and territories, we will not be able to seek patent term extension of our composition of matter patent, as it expired in September 2024. If we do not have sufficient patent life and regulatory exclusivity to protect RYTELO, our financial results, business and business prospects would be materially and adversely affected, which might cause us to cease operations.</w:t>
      </w:r>
    </w:p>
    <w:p>
      <w:pPr>
        <w:spacing w:after="0" w:line="144" w:lineRule="exact"/>
        <w:rPr>
          <w:sz w:val="20"/>
          <w:szCs w:val="20"/>
          <w:color w:val="auto"/>
        </w:rPr>
      </w:pPr>
    </w:p>
    <w:p>
      <w:pPr>
        <w:ind w:left="960" w:right="1019" w:firstLine="902"/>
        <w:spacing w:after="0" w:line="262" w:lineRule="auto"/>
        <w:rPr>
          <w:sz w:val="20"/>
          <w:szCs w:val="20"/>
          <w:color w:val="auto"/>
        </w:rPr>
      </w:pPr>
      <w:r>
        <w:rPr>
          <w:rFonts w:ascii="Times New Roman" w:cs="Times New Roman" w:eastAsia="Times New Roman" w:hAnsi="Times New Roman"/>
          <w:sz w:val="14"/>
          <w:szCs w:val="14"/>
          <w:color w:val="auto"/>
        </w:rPr>
        <w:t>Additionally,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spacing w:after="0" w:line="200" w:lineRule="exact"/>
        <w:rPr>
          <w:sz w:val="20"/>
          <w:szCs w:val="20"/>
          <w:color w:val="auto"/>
        </w:rPr>
      </w:pPr>
    </w:p>
    <w:p>
      <w:pPr>
        <w:spacing w:after="0" w:line="277" w:lineRule="exact"/>
        <w:rPr>
          <w:sz w:val="20"/>
          <w:szCs w:val="20"/>
          <w:color w:val="auto"/>
        </w:rPr>
      </w:pPr>
    </w:p>
    <w:p>
      <w:pPr>
        <w:ind w:left="960" w:right="9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validity, scope and enforceability of any patents listed in the Orange Book that cover RYTELO or its methods of use can be challenged by third parties and may not protect us from generic or innovator competition.</w:t>
      </w:r>
    </w:p>
    <w:p>
      <w:pPr>
        <w:spacing w:after="0" w:line="120"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If a third party files an application under Section 505(b)(2) of the FDCA or an abbreviated new drug application, or ANDA, under Section 505(j) to obtain permission to sell a generic or follow-on version of RYTELO, and relies in whole or in part on studies conducted by or for us, the third-party will be required to certify to the FDA that either:</w:t>
      </w:r>
    </w:p>
    <w:p>
      <w:pPr>
        <w:spacing w:after="0" w:line="2" w:lineRule="exact"/>
        <w:rPr>
          <w:sz w:val="20"/>
          <w:szCs w:val="20"/>
          <w:color w:val="auto"/>
        </w:rPr>
      </w:pPr>
    </w:p>
    <w:p>
      <w:pPr>
        <w:ind w:left="960" w:right="999"/>
        <w:spacing w:after="0" w:line="257" w:lineRule="auto"/>
        <w:tabs>
          <w:tab w:leader="none" w:pos="116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patent information listed in the Orange Book with respect to our NDA for RYTELO;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 paragraph IV certification. If the third-party submits a paragraph IV certification to the FDA, a notice of the paragraph IV certification must also be sent to us within 20 days after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after the NDA holder’s receipt of the notice of Paragraph IV Certification, the expiration of the patent, certain settlements of the lawsuit, or the court reaches a decision in the infringement lawsuit in favor of the third-party. If the product has NCE exclusivity and the notice is given and the suit filed in the fifth year of exclusivity, the regulatory stay extends until 7.5 years after approval of the reference product. If we do not file a patent infringement lawsuit within the required 45-day period, the third-party’s ANDA will not be subject to the 30-month stay of FDA approval. However,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spacing w:after="0" w:line="320" w:lineRule="exact"/>
        <w:rPr>
          <w:sz w:val="20"/>
          <w:szCs w:val="20"/>
          <w:color w:val="auto"/>
        </w:rPr>
      </w:pPr>
    </w:p>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t>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w:t>
      </w:r>
    </w:p>
    <w:p>
      <w:pPr>
        <w:spacing w:after="0" w:line="144"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687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84190" cy="16871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60" w:right="13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U.S. or international patent law or interpretations of such patent laws could diminish the value of our patents in general, thereby impairing our ability to protect our technologies and RYTELO.</w:t>
      </w:r>
    </w:p>
    <w:p>
      <w:pPr>
        <w:spacing w:after="0" w:line="120" w:lineRule="exact"/>
        <w:rPr>
          <w:sz w:val="20"/>
          <w:szCs w:val="20"/>
          <w:color w:val="auto"/>
        </w:rPr>
      </w:pPr>
    </w:p>
    <w:p>
      <w:pPr>
        <w:ind w:left="960" w:right="1219" w:firstLine="902"/>
        <w:spacing w:after="0" w:line="268" w:lineRule="auto"/>
        <w:rPr>
          <w:sz w:val="20"/>
          <w:szCs w:val="20"/>
          <w:color w:val="auto"/>
        </w:rPr>
      </w:pPr>
      <w:r>
        <w:rPr>
          <w:rFonts w:ascii="Times New Roman" w:cs="Times New Roman" w:eastAsia="Times New Roman" w:hAnsi="Times New Roman"/>
          <w:sz w:val="14"/>
          <w:szCs w:val="14"/>
          <w:color w:val="auto"/>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w:t>
      </w:r>
    </w:p>
    <w:p>
      <w:pPr>
        <w:spacing w:after="0" w:line="14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For instance, the U.S. has enacted and implemented wide-ranging patent reform legislation, including AIA,</w:t>
      </w:r>
    </w:p>
    <w:p>
      <w:pPr>
        <w:sectPr>
          <w:pgSz w:w="11900" w:h="16838" w:orient="portrait"/>
          <w:cols w:equalWidth="0" w:num="1">
            <w:col w:w="9019"/>
          </w:cols>
          <w:pgMar w:left="1440" w:top="157" w:right="1440" w:bottom="0" w:gutter="0" w:footer="0" w:header="0"/>
        </w:sectPr>
      </w:pPr>
    </w:p>
    <w:bookmarkStart w:id="41" w:name="page42"/>
    <w:bookmarkEnd w:id="41"/>
    <w:p>
      <w:pPr>
        <w:spacing w:after="0" w:line="14" w:lineRule="exact"/>
        <w:rPr>
          <w:sz w:val="20"/>
          <w:szCs w:val="20"/>
          <w:color w:val="auto"/>
        </w:rPr>
      </w:pPr>
    </w:p>
    <w:p>
      <w:pPr>
        <w:ind w:left="960" w:right="1159"/>
        <w:spacing w:after="0" w:line="192" w:lineRule="auto"/>
        <w:rPr>
          <w:sz w:val="20"/>
          <w:szCs w:val="20"/>
          <w:color w:val="auto"/>
        </w:rPr>
      </w:pPr>
      <w:r>
        <w:rPr>
          <w:rFonts w:ascii="Times New Roman" w:cs="Times New Roman" w:eastAsia="Times New Roman" w:hAnsi="Times New Roman"/>
          <w:sz w:val="13"/>
          <w:szCs w:val="13"/>
          <w:color w:val="auto"/>
        </w:rPr>
        <w:t>signed into law on September 16, 2011. The U.S. Supreme Court has ruled on several patent cases in recent years, either narrowing the scope of patent protection available in certain circumstances or weakening the rights of patent owners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-134620</wp:posOffset>
            </wp:positionV>
            <wp:extent cx="5584190" cy="55264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4190" cy="5526405"/>
                    </a:xfrm>
                    <a:prstGeom prst="rect">
                      <a:avLst/>
                    </a:prstGeom>
                    <a:noFill/>
                  </pic:spPr>
                </pic:pic>
              </a:graphicData>
            </a:graphic>
          </wp:anchor>
        </w:drawing>
      </w:r>
    </w:p>
    <w:p>
      <w:pPr>
        <w:ind w:left="960" w:right="979"/>
        <w:spacing w:after="0" w:line="258" w:lineRule="auto"/>
        <w:rPr>
          <w:sz w:val="20"/>
          <w:szCs w:val="20"/>
          <w:color w:val="auto"/>
        </w:rPr>
      </w:pPr>
      <w:r>
        <w:rPr>
          <w:rFonts w:ascii="Times New Roman" w:cs="Times New Roman" w:eastAsia="Times New Roman" w:hAnsi="Times New Roman"/>
          <w:sz w:val="14"/>
          <w:szCs w:val="14"/>
          <w:color w:val="auto"/>
        </w:rPr>
        <w:t>certain situations. Depending on actions by Congress, the federal courts, and the USPTO, the laws and regulations governing patents could change in unpredictable ways that would weaken our ability to obtain new patents or to enforce our existing patents or patents that we might obtain in the future. Similarly, changes in patent law, regulations in other jurisdictions or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spacing w:after="0" w:line="321"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color w:val="auto"/>
        </w:rPr>
        <w:t>In 2012, the European Patent Package, or EU Patent Package, was approved and included regulations with the goal of providing for the possibility of a single Unitary Patent covering the Contracting Member States, and a new Unified Patent Court, or UPC, for litigation of Unitary Patents and as well as European patents not opted out from the UPC system. The EU Patent Package entered into force fully in June 2023 and currently covers 18 EU Member States. As of June 1, 2023, all European patents, including those issued prior to June 1, 2023 in principle fall under the jurisdiction of the UPC and allow for the possibility of obtaining injunctions for the UPC Member States and are at risk of central revocation at the UPC in participating UPC Member States. Under the EU Patent Package, patent holders are permitted to “opt out” their European patents (but not their Unitary Patents) from the UPC on a patent-by-patent basis during an initial seven year transitional period after June 1, 2023. Owners of European patent applications who receive notice of grant after the EU Patent Package came into effect could, for the UPC Member States, either obtain a Unitary Patent or validate the European patent nationally and optionally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European jurisdictions and/or the UPC is not fully known.</w:t>
      </w:r>
    </w:p>
    <w:p>
      <w:pPr>
        <w:spacing w:after="0" w:line="155" w:lineRule="exact"/>
        <w:rPr>
          <w:sz w:val="20"/>
          <w:szCs w:val="20"/>
          <w:color w:val="auto"/>
        </w:rPr>
      </w:pPr>
    </w:p>
    <w:p>
      <w:pPr>
        <w:ind w:left="960" w:right="1039" w:firstLine="902"/>
        <w:spacing w:after="0" w:line="249" w:lineRule="auto"/>
        <w:rPr>
          <w:sz w:val="20"/>
          <w:szCs w:val="20"/>
          <w:color w:val="auto"/>
        </w:rPr>
      </w:pPr>
      <w:r>
        <w:rPr>
          <w:rFonts w:ascii="Times New Roman" w:cs="Times New Roman" w:eastAsia="Times New Roman" w:hAnsi="Times New Roman"/>
          <w:sz w:val="14"/>
          <w:szCs w:val="14"/>
          <w:color w:val="auto"/>
        </w:rPr>
        <w:t>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be issued with claims that cover RYTELO and our technologies.</w:t>
      </w:r>
    </w:p>
    <w:p>
      <w:pPr>
        <w:spacing w:after="0" w:line="310" w:lineRule="exact"/>
        <w:rPr>
          <w:sz w:val="20"/>
          <w:szCs w:val="20"/>
          <w:color w:val="auto"/>
        </w:rPr>
      </w:pPr>
    </w:p>
    <w:p>
      <w:pPr>
        <w:ind w:left="960" w:right="10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or other intellectual property rights, which could be expensive, time consuming and unsuccessful, and which could result in the invalidity or unenforceability of our patents covering RYTELO or its methods of use.</w:t>
      </w:r>
    </w:p>
    <w:p>
      <w:pPr>
        <w:spacing w:after="0" w:line="134" w:lineRule="exact"/>
        <w:rPr>
          <w:sz w:val="20"/>
          <w:szCs w:val="20"/>
          <w:color w:val="auto"/>
        </w:rPr>
      </w:pPr>
    </w:p>
    <w:p>
      <w:pPr>
        <w:ind w:left="960" w:right="1139" w:firstLine="902"/>
        <w:spacing w:after="0" w:line="274" w:lineRule="auto"/>
        <w:rPr>
          <w:sz w:val="20"/>
          <w:szCs w:val="20"/>
          <w:color w:val="auto"/>
        </w:rPr>
      </w:pPr>
      <w:r>
        <w:rPr>
          <w:rFonts w:ascii="Times New Roman" w:cs="Times New Roman" w:eastAsia="Times New Roman" w:hAnsi="Times New Roman"/>
          <w:sz w:val="14"/>
          <w:szCs w:val="14"/>
          <w:color w:val="auto"/>
        </w:rPr>
        <w:t>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w:t>
      </w:r>
    </w:p>
    <w:p>
      <w:pPr>
        <w:spacing w:after="0" w:line="136"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The initiation of a claim against a third party by us may also cause the third 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926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4190" cy="492633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59"/>
        <w:spacing w:after="0" w:line="292" w:lineRule="auto"/>
        <w:rPr>
          <w:sz w:val="20"/>
          <w:szCs w:val="20"/>
          <w:color w:val="auto"/>
        </w:rPr>
      </w:pPr>
      <w:r>
        <w:rPr>
          <w:rFonts w:ascii="Times New Roman" w:cs="Times New Roman" w:eastAsia="Times New Roman" w:hAnsi="Times New Roman"/>
          <w:sz w:val="14"/>
          <w:szCs w:val="14"/>
          <w:color w:val="auto"/>
        </w:rPr>
        <w:t>in post-grant proceedings such as ex parte reexaminations, inter partes review, or IPR, or post-grant review, or oppositions or similar proceedings outside the U.S., in parallel with litigation or even outside the context of litigation.</w:t>
      </w:r>
    </w:p>
    <w:p>
      <w:pPr>
        <w:spacing w:after="0" w:line="124"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that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spacing w:after="0" w:line="151" w:lineRule="exact"/>
        <w:rPr>
          <w:sz w:val="20"/>
          <w:szCs w:val="20"/>
          <w:color w:val="auto"/>
        </w:rPr>
      </w:pPr>
    </w:p>
    <w:p>
      <w:pPr>
        <w:ind w:left="960" w:right="1139" w:firstLine="902"/>
        <w:spacing w:after="0" w:line="268" w:lineRule="auto"/>
        <w:rPr>
          <w:sz w:val="20"/>
          <w:szCs w:val="20"/>
          <w:color w:val="auto"/>
        </w:rPr>
      </w:pPr>
      <w:r>
        <w:rPr>
          <w:rFonts w:ascii="Times New Roman" w:cs="Times New Roman" w:eastAsia="Times New Roman" w:hAnsi="Times New Roman"/>
          <w:sz w:val="14"/>
          <w:szCs w:val="14"/>
          <w:color w:val="auto"/>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spacing w:after="0" w:line="140" w:lineRule="exact"/>
        <w:rPr>
          <w:sz w:val="20"/>
          <w:szCs w:val="20"/>
          <w:color w:val="auto"/>
        </w:rPr>
      </w:pPr>
    </w:p>
    <w:p>
      <w:pPr>
        <w:ind w:left="960" w:right="1059" w:firstLine="902"/>
        <w:spacing w:after="0" w:line="274" w:lineRule="auto"/>
        <w:rPr>
          <w:sz w:val="20"/>
          <w:szCs w:val="20"/>
          <w:color w:val="auto"/>
        </w:rPr>
      </w:pPr>
      <w:r>
        <w:rPr>
          <w:rFonts w:ascii="Times New Roman" w:cs="Times New Roman" w:eastAsia="Times New Roman" w:hAnsi="Times New Roman"/>
          <w:sz w:val="14"/>
          <w:szCs w:val="14"/>
          <w:color w:val="auto"/>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stock.</w:t>
      </w:r>
    </w:p>
    <w:p>
      <w:pPr>
        <w:spacing w:after="0" w:line="136" w:lineRule="exact"/>
        <w:rPr>
          <w:sz w:val="20"/>
          <w:szCs w:val="20"/>
          <w:color w:val="auto"/>
        </w:rPr>
      </w:pPr>
    </w:p>
    <w:p>
      <w:pPr>
        <w:ind w:left="960" w:right="1079" w:firstLine="902"/>
        <w:spacing w:after="0" w:line="261"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w:t>
      </w:r>
    </w:p>
    <w:p>
      <w:pPr>
        <w:spacing w:after="0" w:line="142" w:lineRule="exact"/>
        <w:rPr>
          <w:sz w:val="20"/>
          <w:szCs w:val="20"/>
          <w:color w:val="auto"/>
        </w:rPr>
      </w:pPr>
    </w:p>
    <w:p>
      <w:pPr>
        <w:ind w:left="960" w:right="11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spacing w:after="0" w:line="134" w:lineRule="exact"/>
        <w:rPr>
          <w:sz w:val="20"/>
          <w:szCs w:val="20"/>
          <w:color w:val="auto"/>
        </w:rPr>
      </w:pPr>
    </w:p>
    <w:p>
      <w:pPr>
        <w:ind w:left="960" w:right="979" w:firstLine="902"/>
        <w:spacing w:after="0" w:line="268" w:lineRule="auto"/>
        <w:rPr>
          <w:sz w:val="20"/>
          <w:szCs w:val="20"/>
          <w:color w:val="auto"/>
        </w:rPr>
      </w:pPr>
      <w:r>
        <w:rPr>
          <w:rFonts w:ascii="Times New Roman" w:cs="Times New Roman" w:eastAsia="Times New Roman" w:hAnsi="Times New Roman"/>
          <w:sz w:val="14"/>
          <w:szCs w:val="14"/>
          <w:color w:val="auto"/>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USPTO</w:t>
      </w:r>
    </w:p>
    <w:p>
      <w:pPr>
        <w:sectPr>
          <w:pgSz w:w="11900" w:h="16853" w:orient="portrait"/>
          <w:cols w:equalWidth="0" w:num="1">
            <w:col w:w="9019"/>
          </w:cols>
          <w:pgMar w:left="1440" w:top="114" w:right="1440" w:bottom="0" w:gutter="0" w:footer="0" w:header="0"/>
        </w:sectPr>
      </w:pPr>
    </w:p>
    <w:bookmarkStart w:id="42" w:name="page43"/>
    <w:bookmarkEnd w:id="42"/>
    <w:p>
      <w:pPr>
        <w:spacing w:after="0" w:line="25" w:lineRule="exact"/>
        <w:rPr>
          <w:sz w:val="20"/>
          <w:szCs w:val="20"/>
          <w:color w:val="auto"/>
        </w:rPr>
      </w:pPr>
    </w:p>
    <w:p>
      <w:pPr>
        <w:ind w:left="960" w:right="1079"/>
        <w:spacing w:after="0" w:line="218" w:lineRule="auto"/>
        <w:rPr>
          <w:sz w:val="20"/>
          <w:szCs w:val="20"/>
          <w:color w:val="auto"/>
        </w:rPr>
      </w:pPr>
      <w:r>
        <w:rPr>
          <w:rFonts w:ascii="Times New Roman" w:cs="Times New Roman" w:eastAsia="Times New Roman" w:hAnsi="Times New Roman"/>
          <w:sz w:val="14"/>
          <w:szCs w:val="14"/>
          <w:color w:val="auto"/>
        </w:rPr>
        <w:t>may declare an interference proceeding in order to ascertain the party to which the patent should be issued. Patent interferences are typically complex, highly contested legal proceedings, subject to appeal. They are usually expensive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-168275</wp:posOffset>
            </wp:positionV>
            <wp:extent cx="5584190" cy="2287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4190" cy="2287270"/>
                    </a:xfrm>
                    <a:prstGeom prst="rect">
                      <a:avLst/>
                    </a:prstGeom>
                    <a:noFill/>
                  </pic:spPr>
                </pic:pic>
              </a:graphicData>
            </a:graphic>
          </wp:anchor>
        </w:drawing>
      </w:r>
    </w:p>
    <w:p>
      <w:pPr>
        <w:ind w:left="960" w:right="979"/>
        <w:spacing w:after="0" w:line="260" w:lineRule="auto"/>
        <w:rPr>
          <w:sz w:val="20"/>
          <w:szCs w:val="20"/>
          <w:color w:val="auto"/>
        </w:rPr>
      </w:pPr>
      <w:r>
        <w:rPr>
          <w:rFonts w:ascii="Times New Roman" w:cs="Times New Roman" w:eastAsia="Times New Roman" w:hAnsi="Times New Roman"/>
          <w:sz w:val="14"/>
          <w:szCs w:val="14"/>
          <w:color w:val="auto"/>
        </w:rPr>
        <w:t>prolonged and can cause significant delays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spacing w:after="0" w:line="145"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IPR, covered business method post-grant reviews and other post-grant reviews. This applies to all our U.S. patents and those we have licensed and may license from others, even those issued before March 16, 2013. A third party could attempt to use the USPTO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99"/>
        <w:spacing w:after="0" w:line="292" w:lineRule="auto"/>
        <w:rPr>
          <w:sz w:val="20"/>
          <w:szCs w:val="20"/>
          <w:color w:val="auto"/>
        </w:rPr>
      </w:pPr>
      <w:r>
        <w:rPr>
          <w:rFonts w:ascii="Times New Roman" w:cs="Times New Roman" w:eastAsia="Times New Roman" w:hAnsi="Times New Roman"/>
          <w:sz w:val="14"/>
          <w:szCs w:val="14"/>
          <w:color w:val="auto"/>
        </w:rPr>
        <w:t>challenge the validity of certain patents. Significant impairment of our RYTELO patent rights could severely and adversely affect our financial results, business and business prospects, which might cause us to cease operations.</w:t>
      </w:r>
    </w:p>
    <w:p>
      <w:pPr>
        <w:spacing w:after="0" w:line="124" w:lineRule="exact"/>
        <w:rPr>
          <w:sz w:val="20"/>
          <w:szCs w:val="20"/>
          <w:color w:val="auto"/>
        </w:rPr>
      </w:pPr>
    </w:p>
    <w:p>
      <w:pPr>
        <w:ind w:left="960" w:right="979" w:firstLine="902"/>
        <w:spacing w:after="0" w:line="268" w:lineRule="auto"/>
        <w:rPr>
          <w:sz w:val="20"/>
          <w:szCs w:val="20"/>
          <w:color w:val="auto"/>
        </w:rPr>
      </w:pPr>
      <w:r>
        <w:rPr>
          <w:rFonts w:ascii="Times New Roman" w:cs="Times New Roman" w:eastAsia="Times New Roman" w:hAnsi="Times New Roman"/>
          <w:sz w:val="14"/>
          <w:szCs w:val="14"/>
          <w:color w:val="auto"/>
        </w:rPr>
        <w:t>Certain jurisdictions, such as Europe, China, Japan, New Zealand and Australia, permit third parties to file third party observations, oppositions or invalidation trials against granted patents and/or patent applications. Because we seek to enable potential global commercialization of RYTELO, securing both proprietary protection and freedom to operate outside of the U.S. is important to our business.</w:t>
      </w:r>
    </w:p>
    <w:p>
      <w:pPr>
        <w:spacing w:after="0" w:line="140" w:lineRule="exact"/>
        <w:rPr>
          <w:sz w:val="20"/>
          <w:szCs w:val="20"/>
          <w:color w:val="auto"/>
        </w:rPr>
      </w:pPr>
    </w:p>
    <w:p>
      <w:pPr>
        <w:ind w:left="960" w:right="1019" w:firstLine="902"/>
        <w:spacing w:after="0" w:line="274" w:lineRule="auto"/>
        <w:rPr>
          <w:sz w:val="20"/>
          <w:szCs w:val="20"/>
          <w:color w:val="auto"/>
        </w:rPr>
      </w:pPr>
      <w:r>
        <w:rPr>
          <w:rFonts w:ascii="Times New Roman" w:cs="Times New Roman" w:eastAsia="Times New Roman" w:hAnsi="Times New Roman"/>
          <w:sz w:val="14"/>
          <w:szCs w:val="14"/>
          <w:color w:val="auto"/>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spacing w:after="0" w:line="136"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spacing w:after="0" w:line="144" w:lineRule="exact"/>
        <w:rPr>
          <w:sz w:val="20"/>
          <w:szCs w:val="20"/>
          <w:color w:val="auto"/>
        </w:rPr>
      </w:pPr>
    </w:p>
    <w:p>
      <w:pPr>
        <w:ind w:left="2760" w:hanging="898"/>
        <w:spacing w:after="0"/>
        <w:tabs>
          <w:tab w:leader="none" w:pos="2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us to lose patent rights in the relevant jurisdiction(s);</w:t>
      </w:r>
    </w:p>
    <w:p>
      <w:pPr>
        <w:spacing w:after="0" w:line="182" w:lineRule="exact"/>
        <w:rPr>
          <w:rFonts w:ascii="Times New Roman" w:cs="Times New Roman" w:eastAsia="Times New Roman" w:hAnsi="Times New Roman"/>
          <w:sz w:val="14"/>
          <w:szCs w:val="14"/>
          <w:color w:val="auto"/>
        </w:rPr>
      </w:pPr>
    </w:p>
    <w:p>
      <w:pPr>
        <w:ind w:left="2760" w:right="1419" w:hanging="898"/>
        <w:spacing w:after="0" w:line="292" w:lineRule="auto"/>
        <w:tabs>
          <w:tab w:leader="none" w:pos="2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us to litigation, or other types of proceedings aimed at preventing us from commercializing RYTELO in the relevant jurisdiction(s);</w:t>
      </w:r>
    </w:p>
    <w:p>
      <w:pPr>
        <w:spacing w:after="0" w:line="123"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obtain licenses to certain patents and patent applications;</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forcing us to cease using the disputed technology; or</w:t>
      </w:r>
    </w:p>
    <w:p>
      <w:pPr>
        <w:spacing w:after="0" w:line="182"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develop or obtain alternative technologies.</w:t>
      </w:r>
    </w:p>
    <w:p>
      <w:pPr>
        <w:spacing w:after="0" w:line="179" w:lineRule="exact"/>
        <w:rPr>
          <w:sz w:val="20"/>
          <w:szCs w:val="20"/>
          <w:color w:val="auto"/>
        </w:rPr>
      </w:pPr>
    </w:p>
    <w:p>
      <w:pPr>
        <w:ind w:left="960" w:right="9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infringement claims that are costly to defend, and such claims may limit our ability to use disputed technologies and prevent us from pursuing research, development, manufacturing or commercialization of RYTELO.</w:t>
      </w:r>
    </w:p>
    <w:p>
      <w:pPr>
        <w:spacing w:after="0" w:line="120" w:lineRule="exact"/>
        <w:rPr>
          <w:sz w:val="20"/>
          <w:szCs w:val="20"/>
          <w:color w:val="auto"/>
        </w:rPr>
      </w:pPr>
    </w:p>
    <w:p>
      <w:pPr>
        <w:ind w:left="960" w:right="1019" w:firstLine="902"/>
        <w:spacing w:after="0" w:line="260" w:lineRule="auto"/>
        <w:rPr>
          <w:sz w:val="20"/>
          <w:szCs w:val="20"/>
          <w:color w:val="auto"/>
        </w:rPr>
      </w:pPr>
      <w:r>
        <w:rPr>
          <w:rFonts w:ascii="Times New Roman" w:cs="Times New Roman" w:eastAsia="Times New Roman" w:hAnsi="Times New Roman"/>
          <w:sz w:val="14"/>
          <w:szCs w:val="14"/>
          <w:color w:val="auto"/>
        </w:rPr>
        <w:t>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they are invalid and/or would not be infringed by the manufacture, use or sale of RYTELO, it is possible that the owner(s) of these patents will assert claims against us in the future.</w:t>
      </w:r>
    </w:p>
    <w:p>
      <w:pPr>
        <w:spacing w:after="0" w:line="146" w:lineRule="exact"/>
        <w:rPr>
          <w:sz w:val="20"/>
          <w:szCs w:val="20"/>
          <w:color w:val="auto"/>
        </w:rPr>
      </w:pPr>
    </w:p>
    <w:p>
      <w:pPr>
        <w:ind w:left="960" w:right="1019" w:firstLine="902"/>
        <w:spacing w:after="0" w:line="262" w:lineRule="auto"/>
        <w:rPr>
          <w:sz w:val="20"/>
          <w:szCs w:val="20"/>
          <w:color w:val="auto"/>
        </w:rPr>
      </w:pPr>
      <w:r>
        <w:rPr>
          <w:rFonts w:ascii="Times New Roman" w:cs="Times New Roman" w:eastAsia="Times New Roman" w:hAnsi="Times New Roman"/>
          <w:sz w:val="14"/>
          <w:szCs w:val="14"/>
          <w:color w:val="auto"/>
        </w:rPr>
        <w:t>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alternative non-infringing technologies, which we may not be able to do at an acceptable cost or on acceptable terms, or at all, or cease the commercialization and continued development of RYTELO. If we are unable to resolve an infringement claim successfully, we could be subject to an injunction that would prevent us from commercializing RYTELO and could also require us to pay substantial damages.</w:t>
      </w:r>
    </w:p>
    <w:p>
      <w:pPr>
        <w:spacing w:after="0" w:line="144" w:lineRule="exact"/>
        <w:rPr>
          <w:sz w:val="20"/>
          <w:szCs w:val="20"/>
          <w:color w:val="auto"/>
        </w:rPr>
      </w:pPr>
    </w:p>
    <w:p>
      <w:pPr>
        <w:ind w:left="960" w:right="979" w:firstLine="902"/>
        <w:spacing w:after="0" w:line="265" w:lineRule="auto"/>
        <w:rPr>
          <w:sz w:val="20"/>
          <w:szCs w:val="20"/>
          <w:color w:val="auto"/>
        </w:rPr>
      </w:pPr>
      <w:r>
        <w:rPr>
          <w:rFonts w:ascii="Times New Roman" w:cs="Times New Roman" w:eastAsia="Times New Roman" w:hAnsi="Times New Roman"/>
          <w:sz w:val="14"/>
          <w:szCs w:val="14"/>
          <w:color w:val="auto"/>
        </w:rPr>
        <w:t>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Our success therefore depends significantly on our ability to operate without infringing patents and the proprietary rights of others.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8826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4190" cy="8826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firstLine="902"/>
        <w:spacing w:after="0" w:line="268" w:lineRule="auto"/>
        <w:rPr>
          <w:sz w:val="20"/>
          <w:szCs w:val="20"/>
          <w:color w:val="auto"/>
        </w:rPr>
      </w:pPr>
      <w:r>
        <w:rPr>
          <w:rFonts w:ascii="Times New Roman" w:cs="Times New Roman" w:eastAsia="Times New Roman" w:hAnsi="Times New Roman"/>
          <w:sz w:val="14"/>
          <w:szCs w:val="14"/>
          <w:color w:val="auto"/>
        </w:rPr>
        <w:t>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w:t>
      </w:r>
    </w:p>
    <w:p>
      <w:pPr>
        <w:sectPr>
          <w:pgSz w:w="11900" w:h="16863" w:orient="portrait"/>
          <w:cols w:equalWidth="0" w:num="1">
            <w:col w:w="9019"/>
          </w:cols>
          <w:pgMar w:left="1440" w:top="114" w:right="1440" w:bottom="0" w:gutter="0" w:footer="0" w:header="0"/>
        </w:sectPr>
      </w:pPr>
    </w:p>
    <w:bookmarkStart w:id="43" w:name="page44"/>
    <w:bookmarkEnd w:id="43"/>
    <w:p>
      <w:pPr>
        <w:spacing w:after="0" w:line="36" w:lineRule="exact"/>
        <w:rPr>
          <w:sz w:val="20"/>
          <w:szCs w:val="20"/>
          <w:color w:val="auto"/>
        </w:rPr>
      </w:pPr>
    </w:p>
    <w:p>
      <w:pPr>
        <w:ind w:left="960" w:right="1079"/>
        <w:spacing w:after="0" w:line="226" w:lineRule="auto"/>
        <w:rPr>
          <w:sz w:val="20"/>
          <w:szCs w:val="20"/>
          <w:color w:val="auto"/>
        </w:rPr>
      </w:pPr>
      <w:r>
        <w:rPr>
          <w:rFonts w:ascii="Times New Roman" w:cs="Times New Roman" w:eastAsia="Times New Roman" w:hAnsi="Times New Roman"/>
          <w:sz w:val="14"/>
          <w:szCs w:val="14"/>
          <w:color w:val="auto"/>
        </w:rPr>
        <w:t>at all, or such licenses may be terminated on certain grounds, including as a result of our failure to comply with any material obligations under such licenses. If we do not obtain a necessary license or if such a license is terminated, we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-175260</wp:posOffset>
            </wp:positionV>
            <wp:extent cx="5584190" cy="63315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4190" cy="6331585"/>
                    </a:xfrm>
                    <a:prstGeom prst="rect">
                      <a:avLst/>
                    </a:prstGeom>
                    <a:noFill/>
                  </pic:spPr>
                </pic:pic>
              </a:graphicData>
            </a:graphic>
          </wp:anchor>
        </w:drawing>
      </w:r>
    </w:p>
    <w:p>
      <w:pPr>
        <w:ind w:left="960" w:right="979"/>
        <w:spacing w:after="0" w:line="258" w:lineRule="auto"/>
        <w:rPr>
          <w:sz w:val="20"/>
          <w:szCs w:val="20"/>
          <w:color w:val="auto"/>
        </w:rPr>
      </w:pPr>
      <w:r>
        <w:rPr>
          <w:rFonts w:ascii="Times New Roman" w:cs="Times New Roman" w:eastAsia="Times New Roman" w:hAnsi="Times New Roman"/>
          <w:sz w:val="14"/>
          <w:szCs w:val="14"/>
          <w:color w:val="auto"/>
        </w:rPr>
        <w:t>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w:t>
      </w:r>
    </w:p>
    <w:p>
      <w:pPr>
        <w:spacing w:after="0" w:line="304" w:lineRule="exact"/>
        <w:rPr>
          <w:sz w:val="20"/>
          <w:szCs w:val="20"/>
          <w:color w:val="auto"/>
        </w:rPr>
      </w:pPr>
    </w:p>
    <w:p>
      <w:pPr>
        <w:ind w:left="9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registered trademark, RYTELO, for our product and failure to maintain such trademark could adversely affect our business.</w:t>
      </w:r>
    </w:p>
    <w:p>
      <w:pPr>
        <w:spacing w:after="0" w:line="120"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We have a registered trademark, RYTELO, which is the commercial trade name for imetelstat, in a number of countries and regions, including in the U.S. and Europe. Our product trademark, RYTELO, is approved for use as name of the imetelstat medicinal product by the FDA and the EC. Opposition or cancellation proceedings, however, may be filed against our trademarks, and our trademarks may not survive such proceedings. If our U.S. trademark application which forms the basis for our international registration, or IR, for our commercial trade name is withdrawn or abandoned within the first five years of our IR, we will lose our IR registrations which could adversely affect our business. We may be unable to maintain or enforce our current and future trademarks, and if we fail to satisfy the applicable regulatory requirements, we may not have enforceable trademark rights or registrations in such jurisdictions.</w:t>
      </w:r>
    </w:p>
    <w:p>
      <w:pPr>
        <w:spacing w:after="0" w:line="142" w:lineRule="exact"/>
        <w:rPr>
          <w:sz w:val="20"/>
          <w:szCs w:val="20"/>
          <w:color w:val="auto"/>
        </w:rPr>
      </w:pPr>
    </w:p>
    <w:p>
      <w:pPr>
        <w:ind w:left="960" w:right="11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spacing w:after="0" w:line="139"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w:t>
      </w:r>
    </w:p>
    <w:p>
      <w:pPr>
        <w:spacing w:after="0" w:line="147" w:lineRule="exact"/>
        <w:rPr>
          <w:sz w:val="20"/>
          <w:szCs w:val="20"/>
          <w:color w:val="auto"/>
        </w:rPr>
      </w:pPr>
    </w:p>
    <w:p>
      <w:pPr>
        <w:ind w:left="960" w:right="12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20"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In addition to patent and trademark protection, we rely on trade secrets to protect our proprietary technology, especially in circumstances in which we believe patent protection is not appropriate or available. We attempt to protect our proprietary technology in part by entering into confidentiality agreements with our employees, consultants, collaborators and contractors. However, certain consultants and third parties with whom we have business relationships, and to whom in some cases we have disclosed trade secrets and other proprietary knowledge, may also provide services to other parties in the medical device/pharmaceutical industry, including companies, universities and research organizations that are developing competing products. In addition, some of our former employees who were exposed to certain of our trade secrets and other proprietary knowledge in the course of their employment may seek employment with, and become employed by, our competitors. We cannot provide assurance that these agreements will not be breached, that we would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1217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4190" cy="41217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259"/>
        <w:spacing w:after="0" w:line="292" w:lineRule="auto"/>
        <w:rPr>
          <w:sz w:val="20"/>
          <w:szCs w:val="20"/>
          <w:color w:val="auto"/>
        </w:rPr>
      </w:pPr>
      <w:r>
        <w:rPr>
          <w:rFonts w:ascii="Times New Roman" w:cs="Times New Roman" w:eastAsia="Times New Roman" w:hAnsi="Times New Roman"/>
          <w:sz w:val="14"/>
          <w:szCs w:val="14"/>
          <w:color w:val="auto"/>
        </w:rPr>
        <w:t>have adequate remedies for any breach, or that our trade secrets will not otherwise become known or be independently discovered by competitors, any of which would harm our business significantly.</w:t>
      </w:r>
    </w:p>
    <w:p>
      <w:pPr>
        <w:spacing w:after="0" w:line="124" w:lineRule="exact"/>
        <w:rPr>
          <w:sz w:val="20"/>
          <w:szCs w:val="20"/>
          <w:color w:val="auto"/>
        </w:rPr>
      </w:pPr>
    </w:p>
    <w:p>
      <w:pPr>
        <w:ind w:left="960" w:right="1079" w:firstLine="902"/>
        <w:spacing w:after="0" w:line="265" w:lineRule="auto"/>
        <w:rPr>
          <w:sz w:val="20"/>
          <w:szCs w:val="20"/>
          <w:color w:val="auto"/>
        </w:rPr>
      </w:pPr>
      <w:r>
        <w:rPr>
          <w:rFonts w:ascii="Times New Roman" w:cs="Times New Roman" w:eastAsia="Times New Roman" w:hAnsi="Times New Roman"/>
          <w:sz w:val="14"/>
          <w:szCs w:val="14"/>
          <w:color w:val="auto"/>
        </w:rPr>
        <w:t>Trade secret protection does not prevent independent discovery of the technology or proprietary information or use of the same. Competitors may independently duplicate or exceed our technology in whole or in part. If any of our trade secrets were to be lawfully obtained or independently developed by a competitor, we would have no right to prevent them, or those to whom they communicate it, from using that technology or information to compete with us in countries where we do not have patent protection.</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RISKS RELATED TO MANAGING OUR GROWTH AND OTHER BUSINESS OPERATIONS</w:t>
      </w:r>
    </w:p>
    <w:p>
      <w:pPr>
        <w:spacing w:after="0" w:line="181" w:lineRule="exact"/>
        <w:rPr>
          <w:sz w:val="20"/>
          <w:szCs w:val="20"/>
          <w:color w:val="auto"/>
        </w:rPr>
      </w:pPr>
    </w:p>
    <w:p>
      <w:pPr>
        <w:ind w:left="960" w:right="10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strategic restructuring plan and the associated workforce reduction implemented in December 2025 may not result in anticipated savings and long-term value creation, could result in total costs and operating expenses that are greater than expected and could disrupt our business.</w:t>
      </w:r>
    </w:p>
    <w:p>
      <w:pPr>
        <w:spacing w:after="0" w:line="134"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color w:val="auto"/>
        </w:rPr>
        <w:t>In connection with our strategic restructuring plan announced in December 2025, we implemented a workforce reduction, representing approximately one-third of our workforce prior to the reduction in headcount. We may not realize, in full or in part, the anticipated benefits on our 2026 operating expenses from our restructuring efforts due to unforeseen difficulties, delays or unexpected costs. We incurred approximately $17.0 million in restructuring and restructuring-related charges for the year ended December 31, 2025, primarily consisting of one-time employee severance payments, healthcare and related benefits, and other employee-related costs, and we estimate the workforce reduction will be substantially completed in the first quarter of 2026. If we are unable to realize the expected operational efficiencies and cost savings from the restructuring, our operating results and financial condition could be adversely affected. We also cannot guarantee that we will not have to undertake additional workforce reductions or restructuring activities in the future. Furthermore, our workforce reduction may be disruptive to our operations, or could yield unanticipated consequences, such as attrition beyond planned staff reductions, or disruptions in our day-to-day operations. Our workforce reductions could also harm our ability to attract and retain qualified management, scientific, clinical, and manufacturing personnel who are critical to our business. Any failure to attract or retain qualified personnel could prevent us from successfully developing and commercializing our product candidates in the future, if approved.</w:t>
      </w:r>
    </w:p>
    <w:p>
      <w:pPr>
        <w:spacing w:after="0" w:line="151" w:lineRule="exact"/>
        <w:rPr>
          <w:sz w:val="20"/>
          <w:szCs w:val="20"/>
          <w:color w:val="auto"/>
        </w:rPr>
      </w:pPr>
    </w:p>
    <w:p>
      <w:pPr>
        <w:ind w:left="960" w:right="15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successfully retain or recruit key personnel to support the commercialization and further development of RYTELO or to otherwise successfully manage our growth.</w:t>
      </w:r>
    </w:p>
    <w:p>
      <w:pPr>
        <w:spacing w:after="0" w:line="1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Our ability to successfully commercialize RYTELO in the U.S. and in the EU for lower-risk MDS, and to</w:t>
      </w:r>
    </w:p>
    <w:p>
      <w:pPr>
        <w:sectPr>
          <w:pgSz w:w="11900" w:h="16874" w:orient="portrait"/>
          <w:cols w:equalWidth="0" w:num="1">
            <w:col w:w="9019"/>
          </w:cols>
          <w:pgMar w:left="1440" w:top="114" w:right="1440" w:bottom="0" w:gutter="0" w:footer="0" w:header="0"/>
        </w:sectPr>
      </w:pPr>
    </w:p>
    <w:bookmarkStart w:id="44" w:name="page45"/>
    <w:bookmarkEnd w:id="44"/>
    <w:p>
      <w:pPr>
        <w:ind w:left="960" w:right="979"/>
        <w:spacing w:after="0" w:line="265" w:lineRule="auto"/>
        <w:rPr>
          <w:sz w:val="20"/>
          <w:szCs w:val="20"/>
          <w:color w:val="auto"/>
        </w:rPr>
      </w:pPr>
      <w:r>
        <w:rPr>
          <w:rFonts w:ascii="Times New Roman" w:cs="Times New Roman" w:eastAsia="Times New Roman" w:hAnsi="Times New Roman"/>
          <w:sz w:val="14"/>
          <w:szCs w:val="14"/>
          <w:color w:val="auto"/>
        </w:rPr>
        <w:t>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 operations, pricing, clinical science, biostatistics, clinical operations, pharmacovigilance, quality, manufacturing, regulatory affairs, medical affairs, legal affairs, and compliance to enable us to further commercialize and further develop RYTELO.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-547370</wp:posOffset>
            </wp:positionV>
            <wp:extent cx="5584190" cy="30918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4190" cy="3091815"/>
                    </a:xfrm>
                    <a:prstGeom prst="rect">
                      <a:avLst/>
                    </a:prstGeom>
                    <a:noFill/>
                  </pic:spPr>
                </pic:pic>
              </a:graphicData>
            </a:graphic>
          </wp:anchor>
        </w:drawing>
      </w:r>
    </w:p>
    <w:p>
      <w:pPr>
        <w:spacing w:after="0" w:line="123" w:lineRule="exact"/>
        <w:rPr>
          <w:sz w:val="20"/>
          <w:szCs w:val="20"/>
          <w:color w:val="auto"/>
        </w:rPr>
      </w:pPr>
    </w:p>
    <w:p>
      <w:pPr>
        <w:ind w:left="960" w:right="1039" w:firstLine="902"/>
        <w:spacing w:after="0" w:line="260" w:lineRule="auto"/>
        <w:rPr>
          <w:sz w:val="20"/>
          <w:szCs w:val="20"/>
          <w:color w:val="auto"/>
        </w:rPr>
      </w:pPr>
      <w:r>
        <w:rPr>
          <w:rFonts w:ascii="Times New Roman" w:cs="Times New Roman" w:eastAsia="Times New Roman" w:hAnsi="Times New Roman"/>
          <w:sz w:val="14"/>
          <w:szCs w:val="14"/>
          <w:color w:val="auto"/>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w:t>
      </w:r>
    </w:p>
    <w:p>
      <w:pPr>
        <w:spacing w:after="0" w:line="146" w:lineRule="exact"/>
        <w:rPr>
          <w:sz w:val="20"/>
          <w:szCs w:val="20"/>
          <w:color w:val="auto"/>
        </w:rPr>
      </w:pPr>
    </w:p>
    <w:p>
      <w:pPr>
        <w:ind w:left="960" w:right="959" w:firstLine="902"/>
        <w:spacing w:after="0" w:line="274" w:lineRule="auto"/>
        <w:rPr>
          <w:sz w:val="20"/>
          <w:szCs w:val="20"/>
          <w:color w:val="auto"/>
        </w:rPr>
      </w:pPr>
      <w:r>
        <w:rPr>
          <w:rFonts w:ascii="Times New Roman" w:cs="Times New Roman" w:eastAsia="Times New Roman" w:hAnsi="Times New Roman"/>
          <w:sz w:val="14"/>
          <w:szCs w:val="14"/>
          <w:color w:val="auto"/>
        </w:rPr>
        <w:t>In addition, our personnel are currently performing their duties in multiple jurisdictions, and if we are unable or fail to comply with employment, tax, benefits and other laws in such jurisdictions, we may face penalties, fines or litigation.</w:t>
      </w:r>
    </w:p>
    <w:p>
      <w:pPr>
        <w:spacing w:after="0" w:line="136" w:lineRule="exact"/>
        <w:rPr>
          <w:sz w:val="20"/>
          <w:szCs w:val="20"/>
          <w:color w:val="auto"/>
        </w:rPr>
      </w:pPr>
    </w:p>
    <w:p>
      <w:pPr>
        <w:ind w:left="960" w:right="1019" w:firstLine="902"/>
        <w:spacing w:after="0" w:line="274" w:lineRule="auto"/>
        <w:rPr>
          <w:sz w:val="20"/>
          <w:szCs w:val="20"/>
          <w:color w:val="auto"/>
        </w:rPr>
      </w:pPr>
      <w:r>
        <w:rPr>
          <w:rFonts w:ascii="Times New Roman" w:cs="Times New Roman" w:eastAsia="Times New Roman" w:hAnsi="Times New Roman"/>
          <w:sz w:val="14"/>
          <w:szCs w:val="14"/>
          <w:color w:val="auto"/>
        </w:rPr>
        <w:t>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spacing w:after="0" w:line="268" w:lineRule="auto"/>
        <w:rPr>
          <w:sz w:val="20"/>
          <w:szCs w:val="20"/>
          <w:color w:val="auto"/>
        </w:rPr>
      </w:pPr>
      <w:r>
        <w:rPr>
          <w:rFonts w:ascii="Times New Roman" w:cs="Times New Roman" w:eastAsia="Times New Roman" w:hAnsi="Times New Roman"/>
          <w:sz w:val="14"/>
          <w:szCs w:val="14"/>
          <w:color w:val="auto"/>
        </w:rPr>
        <w:t>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Management transition creates uncertainties and could harm our business.</w:t>
      </w:r>
    </w:p>
    <w:p>
      <w:pPr>
        <w:spacing w:after="0" w:line="187"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color w:val="auto"/>
        </w:rPr>
        <w:t>Over the past few years, we have experienced significant changes in executive leadership, and more could occur. For example, on August 6, 2025, we announced the appointment of Harout Semerjian as our President and Chief Executive Officer and a member of our board of directors, effective August 7, 2025. In addition, in October 2025, we appointed a new EVP, Chief Commercial Officer and in November 2024, we appointed a new EVP of Research and Development. Additionally, in connection with our strategic restructuring plan announced in December 2025, we implemented a workforce reduction, representing approximately one-third of our workforce prior to the reduction in headcount. Changes to company strategy, which can often times occur with the appointment of new executives and departure of prior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transition inherently causes some loss of institutional knowledge, which may have a disruptive impact on our ability to implement our strategy and could have a material adverse effect on our financial condition and our business and business prospects can negatively affect strategy and execution. Until we integrate new personnel, and unless they are able to succeed in their positions, we may be unable to successfully manage and grow our business, and our results of operations and financial condition could suffer as a result.</w:t>
      </w:r>
    </w:p>
    <w:p>
      <w:pPr>
        <w:spacing w:after="0" w:line="149" w:lineRule="exact"/>
        <w:rPr>
          <w:sz w:val="20"/>
          <w:szCs w:val="20"/>
          <w:color w:val="auto"/>
        </w:rPr>
      </w:pPr>
    </w:p>
    <w:p>
      <w:pPr>
        <w:ind w:left="960" w:right="13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Although we intend to establish potential future collaborative arrangements for RYTELO, we may be unable to establish such collaborative arrangements on acceptable terms, or at all, and may have to delay, alter or abandon commercialization or further development of RYTELO.</w:t>
      </w:r>
    </w:p>
    <w:p>
      <w:pPr>
        <w:spacing w:after="0" w:line="134"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We intend to develop RYTELO broadly for hematologic malignancies, and to continue to commercialize, market and sell RYTELO in the U.S. for certain patients with lower-risk MDS ourselves. At this time, we do not plan to commercialize RYTELO independently in the EU (or in any other regions outside of the U.S. where RYTELO may be approved for marketing in the future). Accordingly, we plan to work with experienced third parties for the commercialization and marketing of RYTELO in the EU, including on critical path activities for the planned launch of RYTELO in the EU, such as reimbursement, Health Technology Assessment, or HTA, submissions, market access and distribution, and we may otherwise seek collaborative partners, at an appropriate time, to assist us in the potential development and commercialization of RYTELO outside the U.S., and to provide funding for such activities. We face significant competition in seeking appropriate collaborative partners, and these potential collaborative arrangements are complex and time consuming to negotiate, document and implement. In addition, the terms of our Pharmakon Loan Agreement may limit our ability to enter into certain collaborative arrangements and any future debt agreements may continue or further limit our ability to enter into such agreements. We may not be able to establish collaborative arrangements on acceptable terms, or at all. In this regard, collaborative arrangements with third parties may require us to relinquish material rights, including revenue from commercialization, or assume material ongoing development obligations that we would have to fund or otherwise support.</w:t>
      </w:r>
    </w:p>
    <w:p>
      <w:pPr>
        <w:spacing w:after="0" w:line="32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If we are unable to negotiate collaborative arrangements, we may have to:</w:t>
      </w:r>
    </w:p>
    <w:p>
      <w:pPr>
        <w:spacing w:after="0" w:line="97" w:lineRule="exact"/>
        <w:rPr>
          <w:sz w:val="20"/>
          <w:szCs w:val="20"/>
          <w:color w:val="auto"/>
        </w:rPr>
      </w:pPr>
    </w:p>
    <w:p>
      <w:pPr>
        <w:ind w:left="2760" w:hanging="898"/>
        <w:spacing w:after="0"/>
        <w:tabs>
          <w:tab w:leader="none" w:pos="2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curtail or abandon the additional development of RYTELO;</w:t>
      </w:r>
    </w:p>
    <w:p>
      <w:pPr>
        <w:spacing w:after="0" w:line="96" w:lineRule="exact"/>
        <w:rPr>
          <w:rFonts w:ascii="Times New Roman" w:cs="Times New Roman" w:eastAsia="Times New Roman" w:hAnsi="Times New Roman"/>
          <w:sz w:val="14"/>
          <w:szCs w:val="14"/>
          <w:color w:val="auto"/>
        </w:rPr>
      </w:pPr>
    </w:p>
    <w:p>
      <w:pPr>
        <w:ind w:left="2760" w:right="1259" w:hanging="898"/>
        <w:spacing w:after="0" w:line="292" w:lineRule="auto"/>
        <w:tabs>
          <w:tab w:leader="none" w:pos="2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curtail or abandon the commercialization of RYTELO in jurisdictions where it is approved;</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scope of potential future sales or marketing activities; or</w:t>
      </w:r>
    </w:p>
    <w:p>
      <w:pPr>
        <w:spacing w:after="0" w:line="96" w:lineRule="exact"/>
        <w:rPr>
          <w:rFonts w:ascii="Times New Roman" w:cs="Times New Roman" w:eastAsia="Times New Roman" w:hAnsi="Times New Roman"/>
          <w:sz w:val="14"/>
          <w:szCs w:val="14"/>
          <w:color w:val="auto"/>
        </w:rPr>
      </w:pPr>
    </w:p>
    <w:p>
      <w:pPr>
        <w:ind w:left="2760" w:right="999" w:hanging="898"/>
        <w:spacing w:after="0" w:line="292" w:lineRule="auto"/>
        <w:tabs>
          <w:tab w:leader="none" w:pos="2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expenditures and undertake development or commercialization activities at our own expense, which will require additional capital than our current resources.</w:t>
      </w:r>
    </w:p>
    <w:p>
      <w:pPr>
        <w:sectPr>
          <w:pgSz w:w="11900" w:h="16838"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81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84190" cy="78105"/>
                    </a:xfrm>
                    <a:prstGeom prst="rect">
                      <a:avLst/>
                    </a:prstGeom>
                    <a:noFill/>
                  </pic:spPr>
                </pic:pic>
              </a:graphicData>
            </a:graphic>
          </wp:anchor>
        </w:drawing>
      </w:r>
    </w:p>
    <w:p>
      <w:pPr>
        <w:sectPr>
          <w:pgSz w:w="11900" w:h="16838" w:orient="portrait"/>
          <w:cols w:equalWidth="0" w:num="1">
            <w:col w:w="9019"/>
          </w:cols>
          <w:pgMar w:left="1440" w:top="114" w:right="1440" w:bottom="0" w:gutter="0" w:footer="0" w:header="0"/>
          <w:type w:val="continuous"/>
        </w:sectPr>
      </w:pPr>
    </w:p>
    <w:bookmarkStart w:id="45" w:name="page46"/>
    <w:bookmarkEnd w:id="45"/>
    <w:p>
      <w:pPr>
        <w:ind w:left="9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36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84190" cy="7136130"/>
                    </a:xfrm>
                    <a:prstGeom prst="rect">
                      <a:avLst/>
                    </a:prstGeom>
                    <a:noFill/>
                  </pic:spPr>
                </pic:pic>
              </a:graphicData>
            </a:graphic>
          </wp:anchor>
        </w:drawing>
        <w:t>Table of Contents</w:t>
      </w:r>
    </w:p>
    <w:p>
      <w:pPr>
        <w:spacing w:after="0" w:line="286" w:lineRule="exact"/>
        <w:rPr>
          <w:sz w:val="20"/>
          <w:szCs w:val="20"/>
          <w:color w:val="auto"/>
        </w:rPr>
      </w:pPr>
    </w:p>
    <w:p>
      <w:pPr>
        <w:ind w:left="96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established subsidiaries in the United Kingdom and the Netherlands, which exposes us to additional costs and risks.</w:t>
      </w:r>
    </w:p>
    <w:p>
      <w:pPr>
        <w:spacing w:after="0" w:line="120" w:lineRule="exact"/>
        <w:rPr>
          <w:sz w:val="20"/>
          <w:szCs w:val="20"/>
          <w:color w:val="auto"/>
        </w:rPr>
      </w:pPr>
    </w:p>
    <w:p>
      <w:pPr>
        <w:ind w:left="960" w:right="1159" w:firstLine="902"/>
        <w:spacing w:after="0" w:line="292" w:lineRule="auto"/>
        <w:rPr>
          <w:sz w:val="20"/>
          <w:szCs w:val="20"/>
          <w:color w:val="auto"/>
        </w:rPr>
      </w:pPr>
      <w:r>
        <w:rPr>
          <w:rFonts w:ascii="Times New Roman" w:cs="Times New Roman" w:eastAsia="Times New Roman" w:hAnsi="Times New Roman"/>
          <w:sz w:val="14"/>
          <w:szCs w:val="14"/>
          <w:color w:val="auto"/>
        </w:rPr>
        <w:t>The wholly-owned subsidiaries we have established in the U.K. and the Netherlands subject us to certain additional costs and risks associated with doing business outside the U.S., including:</w:t>
      </w:r>
    </w:p>
    <w:p>
      <w:pPr>
        <w:spacing w:after="0" w:line="38" w:lineRule="exact"/>
        <w:rPr>
          <w:sz w:val="20"/>
          <w:szCs w:val="20"/>
          <w:color w:val="auto"/>
        </w:rPr>
      </w:pPr>
    </w:p>
    <w:p>
      <w:pPr>
        <w:ind w:left="2760" w:right="1479" w:hanging="898"/>
        <w:spacing w:after="0" w:line="292" w:lineRule="auto"/>
        <w:tabs>
          <w:tab w:leader="none" w:pos="2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increased complexity and costs inherent in managing international operations in geographically disparate locations;</w:t>
      </w:r>
    </w:p>
    <w:p>
      <w:pPr>
        <w:spacing w:after="0" w:line="37" w:lineRule="exact"/>
        <w:rPr>
          <w:rFonts w:ascii="Times New Roman" w:cs="Times New Roman" w:eastAsia="Times New Roman" w:hAnsi="Times New Roman"/>
          <w:sz w:val="14"/>
          <w:szCs w:val="14"/>
          <w:color w:val="auto"/>
        </w:rPr>
      </w:pPr>
    </w:p>
    <w:p>
      <w:pPr>
        <w:ind w:left="2760" w:right="979" w:hanging="898"/>
        <w:spacing w:after="0" w:line="292" w:lineRule="auto"/>
        <w:tabs>
          <w:tab w:leader="none" w:pos="2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and costs of complying with diverse regulatory, financial and legal requirements, which are subject to change at any time;</w:t>
      </w:r>
    </w:p>
    <w:p>
      <w:pPr>
        <w:spacing w:after="0" w:line="37" w:lineRule="exact"/>
        <w:rPr>
          <w:rFonts w:ascii="Times New Roman" w:cs="Times New Roman" w:eastAsia="Times New Roman" w:hAnsi="Times New Roman"/>
          <w:sz w:val="14"/>
          <w:szCs w:val="14"/>
          <w:color w:val="auto"/>
        </w:rPr>
      </w:pPr>
    </w:p>
    <w:p>
      <w:pPr>
        <w:ind w:left="2760" w:right="1499" w:hanging="898"/>
        <w:spacing w:after="0" w:line="292" w:lineRule="auto"/>
        <w:tabs>
          <w:tab w:leader="none" w:pos="2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adverse tax consequences, including changes in applicable tax laws and regulations;</w:t>
      </w:r>
    </w:p>
    <w:p>
      <w:pPr>
        <w:spacing w:after="0" w:line="37" w:lineRule="exact"/>
        <w:rPr>
          <w:rFonts w:ascii="Times New Roman" w:cs="Times New Roman" w:eastAsia="Times New Roman" w:hAnsi="Times New Roman"/>
          <w:sz w:val="14"/>
          <w:szCs w:val="14"/>
          <w:color w:val="auto"/>
        </w:rPr>
      </w:pPr>
    </w:p>
    <w:p>
      <w:pPr>
        <w:jc w:val="both"/>
        <w:ind w:left="2760" w:right="1019" w:hanging="898"/>
        <w:spacing w:after="0" w:line="292" w:lineRule="auto"/>
        <w:tabs>
          <w:tab w:leader="none" w:pos="2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costly trade laws, tariffs, export quotas, custom duties or other trade restrictions, and any changes to them, including in connection with new Trump administration changes;</w:t>
      </w:r>
    </w:p>
    <w:p>
      <w:pPr>
        <w:spacing w:after="0" w:line="37" w:lineRule="exact"/>
        <w:rPr>
          <w:rFonts w:ascii="Times New Roman" w:cs="Times New Roman" w:eastAsia="Times New Roman" w:hAnsi="Times New Roman"/>
          <w:sz w:val="14"/>
          <w:szCs w:val="14"/>
          <w:color w:val="auto"/>
        </w:rPr>
      </w:pPr>
    </w:p>
    <w:p>
      <w:pPr>
        <w:ind w:left="2760" w:right="1279" w:hanging="898"/>
        <w:spacing w:after="0" w:line="292" w:lineRule="auto"/>
        <w:tabs>
          <w:tab w:leader="none" w:pos="2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37" w:lineRule="exact"/>
        <w:rPr>
          <w:rFonts w:ascii="Times New Roman" w:cs="Times New Roman" w:eastAsia="Times New Roman" w:hAnsi="Times New Roman"/>
          <w:sz w:val="14"/>
          <w:szCs w:val="14"/>
          <w:color w:val="auto"/>
        </w:rPr>
      </w:pPr>
    </w:p>
    <w:p>
      <w:pPr>
        <w:ind w:left="2760" w:right="979" w:hanging="898"/>
        <w:spacing w:after="0" w:line="274" w:lineRule="auto"/>
        <w:tabs>
          <w:tab w:leader="none" w:pos="2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inherent in efficiently managing employees in diverse geographies, including the need to adapt systems, policies, benefits and compliance programs to differing labor and other regulations;</w:t>
      </w:r>
    </w:p>
    <w:p>
      <w:pPr>
        <w:spacing w:after="0" w:line="50" w:lineRule="exact"/>
        <w:rPr>
          <w:rFonts w:ascii="Times New Roman" w:cs="Times New Roman" w:eastAsia="Times New Roman" w:hAnsi="Times New Roman"/>
          <w:sz w:val="14"/>
          <w:szCs w:val="14"/>
          <w:color w:val="auto"/>
        </w:rPr>
      </w:pPr>
    </w:p>
    <w:p>
      <w:pPr>
        <w:ind w:left="2760" w:right="1039" w:hanging="898"/>
        <w:spacing w:after="0" w:line="274" w:lineRule="auto"/>
        <w:tabs>
          <w:tab w:leader="none" w:pos="2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political and economic instability, including terrorism and civil and political unrest, outbreak of health epidemics, and the resulting global economic and social impacts; and</w:t>
      </w:r>
    </w:p>
    <w:p>
      <w:pPr>
        <w:spacing w:after="0" w:line="50"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U.S.</w:t>
      </w:r>
    </w:p>
    <w:p>
      <w:pPr>
        <w:spacing w:after="0" w:line="179" w:lineRule="exact"/>
        <w:rPr>
          <w:sz w:val="20"/>
          <w:szCs w:val="20"/>
          <w:color w:val="auto"/>
        </w:rPr>
      </w:pPr>
    </w:p>
    <w:p>
      <w:pPr>
        <w:ind w:left="96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experience additional risks related to operating outside of the U.S. that could materially adversely affect our business.</w:t>
      </w:r>
    </w:p>
    <w:p>
      <w:pPr>
        <w:spacing w:after="0" w:line="120" w:lineRule="exact"/>
        <w:rPr>
          <w:sz w:val="20"/>
          <w:szCs w:val="20"/>
          <w:color w:val="auto"/>
        </w:rPr>
      </w:pPr>
    </w:p>
    <w:p>
      <w:pPr>
        <w:ind w:left="960" w:right="1019" w:firstLine="902"/>
        <w:spacing w:after="0" w:line="274" w:lineRule="auto"/>
        <w:rPr>
          <w:sz w:val="20"/>
          <w:szCs w:val="20"/>
          <w:color w:val="auto"/>
        </w:rPr>
      </w:pPr>
      <w:r>
        <w:rPr>
          <w:rFonts w:ascii="Times New Roman" w:cs="Times New Roman" w:eastAsia="Times New Roman" w:hAnsi="Times New Roman"/>
          <w:sz w:val="14"/>
          <w:szCs w:val="14"/>
          <w:color w:val="auto"/>
        </w:rPr>
        <w:t>We have employees located outside of the U.S., conduct clinical trials outside of the U.S., and are pursuing paths to make RYTELO available to LR-MDS patients outside of the U.S., including in the EU, which may subject us to additional risks, including risks related to operating outside of the U.S., such as:</w:t>
      </w:r>
    </w:p>
    <w:p>
      <w:pPr>
        <w:spacing w:after="0" w:line="136" w:lineRule="exact"/>
        <w:rPr>
          <w:sz w:val="20"/>
          <w:szCs w:val="20"/>
          <w:color w:val="auto"/>
        </w:rPr>
      </w:pPr>
    </w:p>
    <w:p>
      <w:pPr>
        <w:ind w:left="2760" w:right="1439" w:hanging="898"/>
        <w:spacing w:after="0" w:line="292" w:lineRule="auto"/>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unexpected changes in tariffs, trade barriers, price and exchange controls and other regulatory requirements;</w:t>
      </w:r>
    </w:p>
    <w:p>
      <w:pPr>
        <w:spacing w:after="0" w:line="37" w:lineRule="exact"/>
        <w:rPr>
          <w:rFonts w:ascii="Times New Roman" w:cs="Times New Roman" w:eastAsia="Times New Roman" w:hAnsi="Times New Roman"/>
          <w:sz w:val="14"/>
          <w:szCs w:val="14"/>
          <w:color w:val="auto"/>
        </w:rPr>
      </w:pPr>
    </w:p>
    <w:p>
      <w:pPr>
        <w:ind w:left="2760" w:right="1059" w:hanging="898"/>
        <w:spacing w:after="0" w:line="292" w:lineRule="auto"/>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potential noncompliance by us or by any third parties we engage with legal requirements applicable to privacy, data protection, information security and other matters;</w:t>
      </w:r>
    </w:p>
    <w:p>
      <w:pPr>
        <w:spacing w:after="0" w:line="37" w:lineRule="exact"/>
        <w:rPr>
          <w:rFonts w:ascii="Times New Roman" w:cs="Times New Roman" w:eastAsia="Times New Roman" w:hAnsi="Times New Roman"/>
          <w:sz w:val="14"/>
          <w:szCs w:val="14"/>
          <w:color w:val="auto"/>
        </w:rPr>
      </w:pPr>
    </w:p>
    <w:p>
      <w:pPr>
        <w:ind w:left="2760" w:right="1239" w:hanging="898"/>
        <w:spacing w:after="0" w:line="292" w:lineRule="auto"/>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potential noncompliance with tax, employment, immigration and labor laws for employees living or traveling abroad;</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taxes outside of the U.S., including withholding and payroll taxes;</w:t>
      </w:r>
    </w:p>
    <w:p>
      <w:pPr>
        <w:spacing w:after="0" w:line="96" w:lineRule="exact"/>
        <w:rPr>
          <w:rFonts w:ascii="Times New Roman" w:cs="Times New Roman" w:eastAsia="Times New Roman" w:hAnsi="Times New Roman"/>
          <w:sz w:val="14"/>
          <w:szCs w:val="14"/>
          <w:color w:val="auto"/>
        </w:rPr>
      </w:pPr>
    </w:p>
    <w:p>
      <w:pPr>
        <w:ind w:left="2760" w:right="979" w:hanging="898"/>
        <w:spacing w:after="0" w:line="292" w:lineRule="auto"/>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staffing and managing operations outside of the U.S.;</w:t>
      </w:r>
    </w:p>
    <w:p>
      <w:pPr>
        <w:spacing w:after="0" w:line="96" w:lineRule="exact"/>
        <w:rPr>
          <w:rFonts w:ascii="Times New Roman" w:cs="Times New Roman" w:eastAsia="Times New Roman" w:hAnsi="Times New Roman"/>
          <w:sz w:val="14"/>
          <w:szCs w:val="14"/>
          <w:color w:val="auto"/>
        </w:rPr>
      </w:pPr>
    </w:p>
    <w:p>
      <w:pPr>
        <w:ind w:left="2760" w:right="1499" w:hanging="898"/>
        <w:spacing w:after="0" w:line="292" w:lineRule="auto"/>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complexities associated with managing multiple payor reimbursement regimes and government payors in foreign countries;</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U.S.;</w:t>
      </w:r>
    </w:p>
    <w:p>
      <w:pPr>
        <w:spacing w:after="0" w:line="96" w:lineRule="exact"/>
        <w:rPr>
          <w:rFonts w:ascii="Times New Roman" w:cs="Times New Roman" w:eastAsia="Times New Roman" w:hAnsi="Times New Roman"/>
          <w:sz w:val="14"/>
          <w:szCs w:val="14"/>
          <w:color w:val="auto"/>
        </w:rPr>
      </w:pPr>
    </w:p>
    <w:p>
      <w:pPr>
        <w:ind w:left="2760" w:right="1599" w:hanging="898"/>
        <w:spacing w:after="0" w:line="292" w:lineRule="auto"/>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under the Foreign Corrupt Practices Act of 1977 or comparable regulations outside of the U.S.; and</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w:t>
      </w:r>
    </w:p>
    <w:p>
      <w:pPr>
        <w:spacing w:after="0" w:line="97"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For example, the current administration in the U.S. has called for substantial changes to foreign trade policy and has recently imposed significant increases in tariffs on international trade and the renegotiation of international trade agreements. We cannot predict what effects these and potential additional tariffs or renegotiation of existing international</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317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84190" cy="33172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spacing w:after="0" w:line="263" w:lineRule="auto"/>
        <w:rPr>
          <w:sz w:val="20"/>
          <w:szCs w:val="20"/>
          <w:color w:val="auto"/>
        </w:rPr>
      </w:pPr>
      <w:r>
        <w:rPr>
          <w:rFonts w:ascii="Times New Roman" w:cs="Times New Roman" w:eastAsia="Times New Roman" w:hAnsi="Times New Roman"/>
          <w:sz w:val="14"/>
          <w:szCs w:val="14"/>
          <w:color w:val="auto"/>
        </w:rPr>
        <w:t>trade agreements, scope and nature of tariffs in the future, including as a result of litigation or or other challenges, will have on our business, including in the context of escalating global trade and political tensions. However, such tariffs and other trade restrictions could increase our cost of doing business, reduce our gross margins or otherwise negatively impact our financial results. See the risk factor titled, “</w:t>
      </w:r>
      <w:r>
        <w:rPr>
          <w:rFonts w:ascii="Times New Roman" w:cs="Times New Roman" w:eastAsia="Times New Roman" w:hAnsi="Times New Roman"/>
          <w:sz w:val="14"/>
          <w:szCs w:val="14"/>
          <w:i w:val="1"/>
          <w:iCs w:val="1"/>
          <w:color w:val="auto"/>
        </w:rPr>
        <w:t>Global trade issues and changes in and uncertainties with respect to trade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policies and export regulations, including import and export license requirements, trade sanctions, tariffs and international trade disputes, could increase our costs and negatively impact net revenues from sales of RYTELO </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960" w:right="1079" w:firstLine="902"/>
        <w:spacing w:after="0" w:line="261" w:lineRule="auto"/>
        <w:rPr>
          <w:sz w:val="20"/>
          <w:szCs w:val="20"/>
          <w:color w:val="auto"/>
        </w:rPr>
      </w:pPr>
      <w:r>
        <w:rPr>
          <w:rFonts w:ascii="Times New Roman" w:cs="Times New Roman" w:eastAsia="Times New Roman" w:hAnsi="Times New Roman"/>
          <w:sz w:val="14"/>
          <w:szCs w:val="14"/>
          <w:color w:val="auto"/>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foreign jurisdictions and increase our costs. We cannot predict the impact of such changes and future regulation on our business or the results of our operations. These and other risks associated with international operations may materially adversely affect our ability to attain or maintain profitable operations.</w:t>
      </w:r>
    </w:p>
    <w:p>
      <w:pPr>
        <w:spacing w:after="0" w:line="142" w:lineRule="exact"/>
        <w:rPr>
          <w:sz w:val="20"/>
          <w:szCs w:val="20"/>
          <w:color w:val="auto"/>
        </w:rPr>
      </w:pPr>
    </w:p>
    <w:p>
      <w:pPr>
        <w:jc w:val="both"/>
        <w:ind w:left="960" w:right="12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w:t>
      </w:r>
    </w:p>
    <w:p>
      <w:pPr>
        <w:spacing w:after="0" w:line="134" w:lineRule="exact"/>
        <w:rPr>
          <w:sz w:val="20"/>
          <w:szCs w:val="20"/>
          <w:color w:val="auto"/>
        </w:rPr>
      </w:pPr>
    </w:p>
    <w:p>
      <w:pPr>
        <w:ind w:left="960" w:right="1079" w:firstLine="902"/>
        <w:spacing w:after="0" w:line="263" w:lineRule="auto"/>
        <w:rPr>
          <w:sz w:val="20"/>
          <w:szCs w:val="20"/>
          <w:color w:val="auto"/>
        </w:rPr>
      </w:pPr>
      <w:r>
        <w:rPr>
          <w:rFonts w:ascii="Times New Roman" w:cs="Times New Roman" w:eastAsia="Times New Roman" w:hAnsi="Times New Roman"/>
          <w:sz w:val="14"/>
          <w:szCs w:val="14"/>
          <w:color w:val="auto"/>
        </w:rPr>
        <w:t>There is inherent risk, based on the complex relationships among the U.S. and the countries in which we now conduct or may in the future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products may create delays in the introduction of RYTELO in international markets, including in the EU, or, in some cases, prevent the export of RYTELO to some countries altogether. Furthermore, U.S. export control laws and economic sanctions prohibit the provision of</w:t>
      </w:r>
    </w:p>
    <w:p>
      <w:pPr>
        <w:sectPr>
          <w:pgSz w:w="11900" w:h="16838" w:orient="portrait"/>
          <w:cols w:equalWidth="0" w:num="1">
            <w:col w:w="9019"/>
          </w:cols>
          <w:pgMar w:left="1440" w:top="189" w:right="1440" w:bottom="0" w:gutter="0" w:footer="0" w:header="0"/>
        </w:sectPr>
      </w:pPr>
    </w:p>
    <w:bookmarkStart w:id="46" w:name="page47"/>
    <w:bookmarkEnd w:id="46"/>
    <w:p>
      <w:pPr>
        <w:ind w:left="960" w:right="1139"/>
        <w:spacing w:after="0" w:line="186" w:lineRule="auto"/>
        <w:rPr>
          <w:sz w:val="20"/>
          <w:szCs w:val="20"/>
          <w:color w:val="auto"/>
        </w:rPr>
      </w:pPr>
      <w:r>
        <w:rPr>
          <w:rFonts w:ascii="Times New Roman" w:cs="Times New Roman" w:eastAsia="Times New Roman" w:hAnsi="Times New Roman"/>
          <w:sz w:val="14"/>
          <w:szCs w:val="14"/>
          <w:color w:val="auto"/>
        </w:rPr>
        <w:t>certain products and services to countries, governments and persons targeted by U.S. sanctions. The U.S. and other countries have imposed and may continue to impose new trade restrictions and export regulations, have levied tariffs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-141605</wp:posOffset>
            </wp:positionV>
            <wp:extent cx="5584190" cy="38969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84190" cy="3896995"/>
                    </a:xfrm>
                    <a:prstGeom prst="rect">
                      <a:avLst/>
                    </a:prstGeom>
                    <a:noFill/>
                  </pic:spPr>
                </pic:pic>
              </a:graphicData>
            </a:graphic>
          </wp:anchor>
        </w:drawing>
      </w:r>
    </w:p>
    <w:p>
      <w:pPr>
        <w:ind w:left="960" w:right="1119"/>
        <w:spacing w:after="0" w:line="258" w:lineRule="auto"/>
        <w:rPr>
          <w:sz w:val="20"/>
          <w:szCs w:val="20"/>
          <w:color w:val="auto"/>
        </w:rPr>
      </w:pPr>
      <w:r>
        <w:rPr>
          <w:rFonts w:ascii="Times New Roman" w:cs="Times New Roman" w:eastAsia="Times New Roman" w:hAnsi="Times New Roman"/>
          <w:sz w:val="14"/>
          <w:szCs w:val="14"/>
          <w:color w:val="auto"/>
        </w:rPr>
        <w:t>taxes on certain goods, and could continue to significantly increase tariffs on a broad array of goods, including pharmaceutical and biological products. Notwithstanding the U.S. Supreme Court’s recent decision invalidating tariffs imposed under the International Emergency Economic Powers Act, the magnitude and impact of tariffs are uncertain and are subject to a variety of factors, including the effective date and duration of additional tariffs, changes in the amount, scope and nature of tariffs in the future, including as a result of litigation or other challenges, any retaliatory tariffs that other countries may impose in response to tariffs levied by the United States and any mitigating actions that may become available.</w:t>
      </w:r>
    </w:p>
    <w:p>
      <w:pPr>
        <w:spacing w:after="0" w:line="149" w:lineRule="exact"/>
        <w:rPr>
          <w:sz w:val="20"/>
          <w:szCs w:val="20"/>
          <w:color w:val="auto"/>
        </w:rPr>
      </w:pPr>
    </w:p>
    <w:p>
      <w:pPr>
        <w:ind w:left="960" w:right="959" w:firstLine="902"/>
        <w:spacing w:after="0" w:line="257" w:lineRule="auto"/>
        <w:rPr>
          <w:sz w:val="20"/>
          <w:szCs w:val="20"/>
          <w:color w:val="auto"/>
        </w:rPr>
      </w:pPr>
      <w:r>
        <w:rPr>
          <w:rFonts w:ascii="Times New Roman" w:cs="Times New Roman" w:eastAsia="Times New Roman" w:hAnsi="Times New Roman"/>
          <w:sz w:val="14"/>
          <w:szCs w:val="14"/>
          <w:color w:val="auto"/>
        </w:rPr>
        <w:t xml:space="preserve">The ongoing trade tensions between the U.S. and other jurisdictions have resulted in multiple rounds of tariffs and potential tariffs affecting pharmaceuticals and pharmaceutical ingredients, including finished drug products, manufacturing equipment, and related supplies. In April 2025, the U.S. government imposed a 10% baseline global tariff and in August 2025, the U.S. imposed higher “reciprocal” tariffs on numerous other territories, including EU Member States and South Korea. While the U.S. Supreme Court recently issued a ruling invalidating tariffs imposed by the Trump administration under the International Emergency Economic Powers Act, other tariffs imposed by the U.S. government remain in place, including the 10% global tariff imposed by the Trump administration under Section 122 of the Trade Act of 1974 following the U.S. Supreme Court decision. Moreover, the Bureau of Industry and Security, U.S. Department of Commerce, has initiated an investigation to determine whether pharmaceutical ingredients, including finished drug product, manufactured outside the U.S. pose a national security risk and should be subject to additional tariffs. Unlike consumer goods, pharmaceuticals face unique regulatory constraints that make rapid supply chain adjustments particularly difficult and costly. </w:t>
      </w:r>
      <w:r>
        <w:rPr>
          <w:rFonts w:ascii="Times New Roman" w:cs="Times New Roman" w:eastAsia="Times New Roman" w:hAnsi="Times New Roman"/>
          <w:sz w:val="14"/>
          <w:szCs w:val="14"/>
          <w:color w:val="auto"/>
          <w:highlight w:val="white"/>
        </w:rPr>
        <w:t>Although a significant portion of our supply chain for imetelstat is currently based in the U.S., the active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 xml:space="preserve">pharmaceutical ingredient, or API, for imetelstat is manufactured in South Korea and our 47mg vial of RYTELO drug product is currently manufactured in Italy. In addition, in the future we may choose to utilize other contract manufacturers for different presentations of imetelstat and source materials for our supply chain from other international jurisdictions. Accordingly, such global or industry-specific tariffs, or the renegotiation of current international trade agreements, or other trade restrictions could result in additional costs on our business, including generally increasing our manufacturing costs, and may decrease our gross margins and increase our supply chain complexity. </w:t>
      </w:r>
      <w:r>
        <w:rPr>
          <w:rFonts w:ascii="Times New Roman" w:cs="Times New Roman" w:eastAsia="Times New Roman" w:hAnsi="Times New Roman"/>
          <w:sz w:val="14"/>
          <w:szCs w:val="14"/>
          <w:color w:val="auto"/>
        </w:rPr>
        <w:t>Moreover, other governments have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imposed and may continue to impose retaliatory tariffs, trade restrictions or trade barriers impacting RYTELO, which could impose additional costs and complexity on our business, including with respect to our planned commercialization of RYTELO in select EU markets in 2026 or restrict our ability to sell RYTELO in the EU or in other international markets where we may obtain approval of RYTELO.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65563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84190" cy="65563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119" w:firstLine="902"/>
        <w:spacing w:after="0" w:line="263" w:lineRule="auto"/>
        <w:rPr>
          <w:sz w:val="20"/>
          <w:szCs w:val="20"/>
          <w:color w:val="auto"/>
        </w:rPr>
      </w:pPr>
      <w:r>
        <w:rPr>
          <w:rFonts w:ascii="Times New Roman" w:cs="Times New Roman" w:eastAsia="Times New Roman" w:hAnsi="Times New Roman"/>
          <w:sz w:val="14"/>
          <w:szCs w:val="14"/>
          <w:color w:val="auto"/>
        </w:rPr>
        <w:t>Further, the continued threats of new or increased tariffs, sanctions, trade restrictions and trade barriers as well as ongoing changes in U.S. and foreign government trade policies, including potential modifications to existing international trade agreements, have had and may continue to have a generally disruptive impact on the global economy and, therefore, could negatively impact revenues from sales of RYTELO. Given the significant volatility and uncertainty regarding the scope and duration of such tariffs and other aspects of U.S. and foreign government trade policies, the ultimate impact on our operations and financial results is uncertain and could be significant in the future.</w:t>
      </w:r>
    </w:p>
    <w:p>
      <w:pPr>
        <w:spacing w:after="0" w:line="140" w:lineRule="exact"/>
        <w:rPr>
          <w:sz w:val="20"/>
          <w:szCs w:val="20"/>
          <w:color w:val="auto"/>
        </w:rPr>
      </w:pPr>
    </w:p>
    <w:p>
      <w:pPr>
        <w:ind w:left="960" w:right="10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obtain or maintain sufficient insurance on commercially reasonable terms or with adequate coverage against potential liabilities in order to protect ourselves against claims such as product liability or personal injury claims arising from our commercialization of RYTELO, claims related to clinical trial conduct, or claims related to data protection.</w:t>
      </w:r>
    </w:p>
    <w:p>
      <w:pPr>
        <w:spacing w:after="0" w:line="139" w:lineRule="exact"/>
        <w:rPr>
          <w:sz w:val="20"/>
          <w:szCs w:val="20"/>
          <w:color w:val="auto"/>
        </w:rPr>
      </w:pPr>
    </w:p>
    <w:p>
      <w:pPr>
        <w:ind w:left="960" w:right="1019" w:firstLine="902"/>
        <w:spacing w:after="0" w:line="258" w:lineRule="auto"/>
        <w:rPr>
          <w:sz w:val="20"/>
          <w:szCs w:val="20"/>
          <w:color w:val="auto"/>
        </w:rPr>
      </w:pPr>
      <w:r>
        <w:rPr>
          <w:rFonts w:ascii="Times New Roman" w:cs="Times New Roman" w:eastAsia="Times New Roman" w:hAnsi="Times New Roman"/>
          <w:sz w:val="14"/>
          <w:szCs w:val="14"/>
          <w:color w:val="auto"/>
        </w:rPr>
        <w:t>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limit or cease our commercialization and further development of RYTELO.</w:t>
      </w:r>
    </w:p>
    <w:p>
      <w:pPr>
        <w:spacing w:after="0" w:line="319" w:lineRule="exact"/>
        <w:rPr>
          <w:sz w:val="20"/>
          <w:szCs w:val="20"/>
          <w:color w:val="auto"/>
        </w:rPr>
      </w:pPr>
    </w:p>
    <w:p>
      <w:pPr>
        <w:ind w:left="960" w:right="107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spacing w:after="0" w:line="140"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Securities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On March 13 and March 14, 2025, we and certain of our current and former officers were named as defendants in two putative securities class action lawsuits filed in the United States District Court for the Northern District of California captioned Dabestani v. Geron Corporation, et al., No. 3:25-cv-02507 and Potvin v. Geron Corporation, et al., No. 3:25-cv-02563, respectively. Both lawsuits allege violation of Sections 10(b) and 20(a) of the Securities Exchange Act of 1934, as amended,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Dabestani and Potvin cases into one consolidated action captioned In re Geron Corporation Securities Litigation, or the Securities Class Action, and appointed lead plaintiffs and counsel for lead plaintiffs. On August 8, 2025, lead plaintiffs filed a consolidated amended complaint. On October 7, 2025, we filed our motion to dismiss the consolidated amended complaint. A hearing on the motion to dismiss is scheduled for March 19, 2026.</w:t>
      </w:r>
    </w:p>
    <w:p>
      <w:pPr>
        <w:sectPr>
          <w:pgSz w:w="11900" w:h="16838" w:orient="portrait"/>
          <w:cols w:equalWidth="0" w:num="1">
            <w:col w:w="9019"/>
          </w:cols>
          <w:pgMar w:left="1440" w:top="114" w:right="1440" w:bottom="0" w:gutter="0" w:footer="0" w:header="0"/>
        </w:sectPr>
      </w:pPr>
    </w:p>
    <w:bookmarkStart w:id="47" w:name="page48"/>
    <w:bookmarkEnd w:id="47"/>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57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84190" cy="6578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 xml:space="preserve">In addition, on April 15, 2025 and April 16, 2025, three purported stockholders filed derivative complaints, each filed in the United States District Court for the Northern District of California, captioned </w:t>
      </w:r>
      <w:r>
        <w:rPr>
          <w:rFonts w:ascii="Times New Roman" w:cs="Times New Roman" w:eastAsia="Times New Roman" w:hAnsi="Times New Roman"/>
          <w:sz w:val="14"/>
          <w:szCs w:val="14"/>
          <w:i w:val="1"/>
          <w:iCs w:val="1"/>
          <w:color w:val="auto"/>
        </w:rPr>
        <w:t>Bishop v. Scarlett, et al., 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3:25-cv-03356, Lerner v. Scarlett, et al.</w:t>
      </w:r>
      <w:r>
        <w:rPr>
          <w:rFonts w:ascii="Times New Roman" w:cs="Times New Roman" w:eastAsia="Times New Roman" w:hAnsi="Times New Roman"/>
          <w:sz w:val="14"/>
          <w:szCs w:val="14"/>
          <w:color w:val="auto"/>
        </w:rPr>
        <w:t>, No. 3:25-cv-03401, and</w:t>
      </w:r>
      <w:r>
        <w:rPr>
          <w:rFonts w:ascii="Times New Roman" w:cs="Times New Roman" w:eastAsia="Times New Roman" w:hAnsi="Times New Roman"/>
          <w:sz w:val="14"/>
          <w:szCs w:val="14"/>
          <w:i w:val="1"/>
          <w:iCs w:val="1"/>
          <w:color w:val="auto"/>
        </w:rPr>
        <w:t xml:space="preserve"> Willis v. Scarlett, et al., </w:t>
      </w:r>
      <w:r>
        <w:rPr>
          <w:rFonts w:ascii="Times New Roman" w:cs="Times New Roman" w:eastAsia="Times New Roman" w:hAnsi="Times New Roman"/>
          <w:sz w:val="14"/>
          <w:szCs w:val="14"/>
          <w:color w:val="auto"/>
        </w:rPr>
        <w:t>No: 3:25-cv-03396,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three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two aforementioned securities class action lawsuits, which these lawsuits are premised on. The plaintiff seeks damages and interest, and an award of reasonable costs, including attorneys' and experts' fees. The plaintiffs in </w:t>
      </w:r>
      <w:r>
        <w:rPr>
          <w:rFonts w:ascii="Times New Roman" w:cs="Times New Roman" w:eastAsia="Times New Roman" w:hAnsi="Times New Roman"/>
          <w:sz w:val="14"/>
          <w:szCs w:val="14"/>
          <w:i w:val="1"/>
          <w:iCs w:val="1"/>
          <w:color w:val="auto"/>
        </w:rPr>
        <w:t>Bishop v. Scarlett, et al.</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Willis v. Scarlett, et al.</w:t>
      </w:r>
      <w:r>
        <w:rPr>
          <w:rFonts w:ascii="Times New Roman" w:cs="Times New Roman" w:eastAsia="Times New Roman" w:hAnsi="Times New Roman"/>
          <w:sz w:val="14"/>
          <w:szCs w:val="14"/>
          <w:color w:val="auto"/>
        </w:rPr>
        <w:t xml:space="preserve"> also seek punitive damages. On May 16, 2025, the Court consolidated the three derivative complaints into one consolidated action captioned </w:t>
      </w:r>
      <w:r>
        <w:rPr>
          <w:rFonts w:ascii="Times New Roman" w:cs="Times New Roman" w:eastAsia="Times New Roman" w:hAnsi="Times New Roman"/>
          <w:sz w:val="14"/>
          <w:szCs w:val="14"/>
          <w:i w:val="1"/>
          <w:iCs w:val="1"/>
          <w:color w:val="auto"/>
        </w:rPr>
        <w:t>In re Geron Corporation Derivative Litigation</w:t>
      </w:r>
      <w:r>
        <w:rPr>
          <w:rFonts w:ascii="Times New Roman" w:cs="Times New Roman" w:eastAsia="Times New Roman" w:hAnsi="Times New Roman"/>
          <w:sz w:val="14"/>
          <w:szCs w:val="14"/>
          <w:color w:val="auto"/>
        </w:rPr>
        <w:t>, or the Consolidated Derivative Action. On June 17, 2025, the Court stayed the Consolidated Derivative Action pending a final ruling on the anticipated motion to dismiss in the Securities Class Action.</w:t>
      </w:r>
    </w:p>
    <w:p>
      <w:pPr>
        <w:spacing w:after="0" w:line="149"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On August 29, 2025, a purported stockholder made a demand on our board of directors to commence a civil action against certain of our current and former directors for breaching their fiduciary duties and violating the securities laws by issuing allegedly false and misleading statements concerning the commercial potential of RYTELO. On September 19, 2025, the board of directors responded that it would defer a final decision on the demand given the other pending derivative lawsuits and the Securities Class Action. On October 7, 2025, the purported stockholder filed a suit in the United States District Court for the Northern District of California, captioned Jae Hyung v. Bir, et al., No. 3:25-cv-08575. The derivative lawsuit names certain of our current and former directors and officers. The allegations in the derivative lawsuit are substantially similar to the Securities Class Action and the aforementioned derivative lawsuits. The plaintiffs seek damages and an award of reasonable costs, including attorneys’ and experts’ fees. On January 23 and February 19, 2026, respectively, two additional purported stockholders each made a similar demand on our board of directors.</w:t>
      </w:r>
    </w:p>
    <w:p>
      <w:pPr>
        <w:spacing w:after="0" w:line="318" w:lineRule="exact"/>
        <w:rPr>
          <w:sz w:val="20"/>
          <w:szCs w:val="20"/>
          <w:color w:val="auto"/>
        </w:rPr>
      </w:pPr>
    </w:p>
    <w:p>
      <w:pPr>
        <w:ind w:left="960" w:right="1039" w:firstLine="902"/>
        <w:spacing w:after="0" w:line="264" w:lineRule="auto"/>
        <w:rPr>
          <w:sz w:val="20"/>
          <w:szCs w:val="20"/>
          <w:color w:val="auto"/>
        </w:rPr>
      </w:pPr>
      <w:r>
        <w:rPr>
          <w:rFonts w:ascii="Times New Roman" w:cs="Times New Roman" w:eastAsia="Times New Roman" w:hAnsi="Times New Roman"/>
          <w:sz w:val="14"/>
          <w:szCs w:val="14"/>
          <w:color w:val="auto"/>
        </w:rPr>
        <w:t>We have also been subject to securities class action lawsuits in the past. In 2020, three securities class action lawsuits were filed against us and certain of our officers. One of the lawsuits was voluntarily dismissed, and we settled the other two lawsuits and a final judgment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were dismissed with prejudice.</w:t>
      </w:r>
    </w:p>
    <w:p>
      <w:pPr>
        <w:spacing w:after="0" w:line="317" w:lineRule="exact"/>
        <w:rPr>
          <w:sz w:val="20"/>
          <w:szCs w:val="20"/>
          <w:color w:val="auto"/>
        </w:rPr>
      </w:pPr>
    </w:p>
    <w:p>
      <w:pPr>
        <w:ind w:left="960" w:right="959" w:firstLine="902"/>
        <w:spacing w:after="0" w:line="258" w:lineRule="auto"/>
        <w:rPr>
          <w:sz w:val="20"/>
          <w:szCs w:val="20"/>
          <w:color w:val="auto"/>
        </w:rPr>
      </w:pPr>
      <w:r>
        <w:rPr>
          <w:rFonts w:ascii="Times New Roman" w:cs="Times New Roman" w:eastAsia="Times New Roman" w:hAnsi="Times New Roman"/>
          <w:sz w:val="14"/>
          <w:szCs w:val="14"/>
          <w:color w:val="auto"/>
        </w:rPr>
        <w:t>It is possible that additional lawsuits might be filed, or allegations might be received from stockholders, with respect to these same matters as alleged in the pending lawsuits or other matters and also naming us and/or our officers and directors as defendants. Such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the defense of the pending lawsuits and any related or additional lawsuits, and we may not prevail. Monitoring, initiating and defending against legal actions is also time-consuming for our management, is likely to be expensive and may detract from our ability to fully focus our internal resources on our business activities. Given the early stage of these lawsuits and the inherent uncertainly of litigation, we cannot predict how long it may take to resolve the pending lawsuits or the amount of costs we may incur, or the potential outcome or the possible amount of any damages we may be required to pay. A decision adverse to our interests in the pending lawsuits or in similar or related litigation, could result in the payment of substantial damages or settlements, or possibly fines, and, although we maintain liability insurance, we may not be successful in having any such lawsuits dismissed or settled within the limits of our insurance coverage. If any judgment or settlement against us and costs or expenses associated with the pending litigation exceed our insurance coverage or insurance coverage is denied, we may be forced to bear some or all of these costs and expenses directly, which could be substantial and could have a material adverse effect on our business, our stock price, cash flow, results of operations and financial condition.</w:t>
      </w:r>
    </w:p>
    <w:p>
      <w:pPr>
        <w:spacing w:after="0" w:line="147" w:lineRule="exact"/>
        <w:rPr>
          <w:sz w:val="20"/>
          <w:szCs w:val="20"/>
          <w:color w:val="auto"/>
        </w:rPr>
      </w:pPr>
    </w:p>
    <w:p>
      <w:pPr>
        <w:ind w:left="960" w:right="10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third-party litigation, and such litigation would be costly to defend or pursue and uncertain in its outcome.</w:t>
      </w:r>
    </w:p>
    <w:p>
      <w:pPr>
        <w:spacing w:after="0" w:line="120" w:lineRule="exact"/>
        <w:rPr>
          <w:sz w:val="20"/>
          <w:szCs w:val="20"/>
          <w:color w:val="auto"/>
        </w:rPr>
      </w:pPr>
    </w:p>
    <w:p>
      <w:pPr>
        <w:ind w:left="960" w:right="1199" w:firstLine="902"/>
        <w:spacing w:after="0" w:line="265" w:lineRule="auto"/>
        <w:rPr>
          <w:sz w:val="20"/>
          <w:szCs w:val="20"/>
          <w:color w:val="auto"/>
        </w:rPr>
      </w:pPr>
      <w:r>
        <w:rPr>
          <w:rFonts w:ascii="Times New Roman" w:cs="Times New Roman" w:eastAsia="Times New Roman" w:hAnsi="Times New Roman"/>
          <w:sz w:val="14"/>
          <w:szCs w:val="14"/>
          <w:color w:val="auto"/>
        </w:rPr>
        <w:t>Our business may bring us into conflict with our licensees, licensors, or others with whom we have contractual or other business relationships, or with our competitors or others whose interests differ from ours. Our commercialization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25126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84190" cy="25126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79"/>
        <w:spacing w:after="0" w:line="274" w:lineRule="auto"/>
        <w:rPr>
          <w:sz w:val="20"/>
          <w:szCs w:val="20"/>
          <w:color w:val="auto"/>
        </w:rPr>
      </w:pPr>
      <w:r>
        <w:rPr>
          <w:rFonts w:ascii="Times New Roman" w:cs="Times New Roman" w:eastAsia="Times New Roman" w:hAnsi="Times New Roman"/>
          <w:sz w:val="14"/>
          <w:szCs w:val="14"/>
          <w:color w:val="auto"/>
        </w:rPr>
        <w:t>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w:t>
      </w:r>
    </w:p>
    <w:p>
      <w:pPr>
        <w:spacing w:after="0" w:line="136" w:lineRule="exact"/>
        <w:rPr>
          <w:sz w:val="20"/>
          <w:szCs w:val="20"/>
          <w:color w:val="auto"/>
        </w:rPr>
      </w:pPr>
    </w:p>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spacing w:after="0" w:line="140" w:lineRule="exact"/>
        <w:rPr>
          <w:sz w:val="20"/>
          <w:szCs w:val="20"/>
          <w:color w:val="auto"/>
        </w:rPr>
      </w:pPr>
    </w:p>
    <w:p>
      <w:pPr>
        <w:ind w:left="960" w:right="9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39" w:lineRule="exact"/>
        <w:rPr>
          <w:sz w:val="20"/>
          <w:szCs w:val="20"/>
          <w:color w:val="auto"/>
        </w:rPr>
      </w:pPr>
    </w:p>
    <w:p>
      <w:pPr>
        <w:ind w:left="960" w:right="1099" w:firstLine="902"/>
        <w:spacing w:after="0" w:line="274" w:lineRule="auto"/>
        <w:rPr>
          <w:sz w:val="20"/>
          <w:szCs w:val="20"/>
          <w:color w:val="auto"/>
        </w:rPr>
      </w:pPr>
      <w:r>
        <w:rPr>
          <w:rFonts w:ascii="Times New Roman" w:cs="Times New Roman" w:eastAsia="Times New Roman" w:hAnsi="Times New Roman"/>
          <w:sz w:val="14"/>
          <w:szCs w:val="14"/>
          <w:color w:val="auto"/>
        </w:rPr>
        <w:t>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w:t>
      </w:r>
    </w:p>
    <w:p>
      <w:pPr>
        <w:sectPr>
          <w:pgSz w:w="11900" w:h="16878" w:orient="portrait"/>
          <w:cols w:equalWidth="0" w:num="1">
            <w:col w:w="9019"/>
          </w:cols>
          <w:pgMar w:left="1440" w:top="812" w:right="1440" w:bottom="0" w:gutter="0" w:footer="0" w:header="0"/>
        </w:sectPr>
      </w:pPr>
    </w:p>
    <w:bookmarkStart w:id="48" w:name="page49"/>
    <w:bookmarkEnd w:id="48"/>
    <w:p>
      <w:pPr>
        <w:ind w:left="960" w:right="1059"/>
        <w:spacing w:after="0" w:line="234" w:lineRule="auto"/>
        <w:rPr>
          <w:sz w:val="20"/>
          <w:szCs w:val="20"/>
          <w:color w:val="auto"/>
        </w:rPr>
      </w:pPr>
      <w:r>
        <w:rPr>
          <w:rFonts w:ascii="Times New Roman" w:cs="Times New Roman" w:eastAsia="Times New Roman" w:hAnsi="Times New Roman"/>
          <w:sz w:val="14"/>
          <w:szCs w:val="14"/>
          <w:color w:val="auto"/>
        </w:rPr>
        <w:t>promising, offering, or providing, directly or indirectly, improper payments or anything else of value to recipients in the public or private sector. We may engage third parties to sell our products outside the U.S., to conduct clinical trials,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-182245</wp:posOffset>
            </wp:positionV>
            <wp:extent cx="5584190" cy="47015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84190" cy="4701540"/>
                    </a:xfrm>
                    <a:prstGeom prst="rect">
                      <a:avLst/>
                    </a:prstGeom>
                    <a:noFill/>
                  </pic:spPr>
                </pic:pic>
              </a:graphicData>
            </a:graphic>
          </wp:anchor>
        </w:drawing>
      </w:r>
    </w:p>
    <w:p>
      <w:pPr>
        <w:ind w:left="960" w:right="979"/>
        <w:spacing w:after="0" w:line="258" w:lineRule="auto"/>
        <w:rPr>
          <w:sz w:val="20"/>
          <w:szCs w:val="20"/>
          <w:color w:val="auto"/>
        </w:rPr>
      </w:pPr>
      <w:r>
        <w:rPr>
          <w:rFonts w:ascii="Times New Roman" w:cs="Times New Roman" w:eastAsia="Times New Roman" w:hAnsi="Times New Roman"/>
          <w:sz w:val="14"/>
          <w:szCs w:val="14"/>
          <w:color w:val="auto"/>
        </w:rPr>
        <w:t>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RISKS RELATED TO INFORMATION TECHNOLOGY SYSTEMS, DATA SECURITY AND DATA PRIVACY</w:t>
      </w:r>
    </w:p>
    <w:p>
      <w:pPr>
        <w:spacing w:after="0" w:line="181" w:lineRule="exact"/>
        <w:rPr>
          <w:sz w:val="20"/>
          <w:szCs w:val="20"/>
          <w:color w:val="auto"/>
        </w:rPr>
      </w:pPr>
    </w:p>
    <w:p>
      <w:pPr>
        <w:ind w:left="960" w:right="10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or data, or those of third parties with whom we work,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spacing w:after="0" w:line="139" w:lineRule="exact"/>
        <w:rPr>
          <w:sz w:val="20"/>
          <w:szCs w:val="20"/>
          <w:color w:val="auto"/>
        </w:rPr>
      </w:pPr>
    </w:p>
    <w:p>
      <w:pPr>
        <w:ind w:left="960" w:right="1019" w:firstLine="902"/>
        <w:spacing w:after="0" w:line="258" w:lineRule="auto"/>
        <w:rPr>
          <w:sz w:val="20"/>
          <w:szCs w:val="20"/>
          <w:color w:val="auto"/>
        </w:rPr>
      </w:pPr>
      <w:r>
        <w:rPr>
          <w:rFonts w:ascii="Times New Roman" w:cs="Times New Roman" w:eastAsia="Times New Roman" w:hAnsi="Times New Roman"/>
          <w:sz w:val="14"/>
          <w:szCs w:val="14"/>
          <w:color w:val="auto"/>
        </w:rPr>
        <w:t>In the ordinary course of our business, we and third parties with whom we work collect, receive, store, use, transfer, make accessible, protect, secure, dispose of, transmit, disclose, or otherwise process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including disaster recovery and business continuity procedures, over the information technology systems they provide us to operate our critical business systems, including cloud-based infrastructure and systems, employee email, and data storage and management systems. However, except for the initial cyber security assessments that we conduct for critical service providers and contractual duties and obligations, we have limited ability to control or monitor third parties’ safeguards and actions related to such matters.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of loss or theft of company devices as well as increased risks to our information technology systems and data, as employees utilize network connections, computers, and devices outside our premises and networks, including working at home and while in transit and in public locations.</w:t>
      </w:r>
    </w:p>
    <w:p>
      <w:pPr>
        <w:spacing w:after="0" w:line="155"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751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84190" cy="575183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Our information technology systems, including in our remote work environment, and those of the third parties with whom we work, have been in the past and may continue to be vulnerable to evolving threats. These threats are prevalent, continue to increase, and come from a variety of sources such as traditional “hackers,” threat actors, “hacktivists,” organized criminal threats actors, or internal bad actors, personnel, sophisticated nation states and nation-state-supported actors. These threats include, but are not limited to, social-engineering attacks, targeted phishing campaigns,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sensitive data and income, reputational harm, and diversion of funds.</w:t>
      </w:r>
    </w:p>
    <w:p>
      <w:pPr>
        <w:spacing w:after="0" w:line="151" w:lineRule="exact"/>
        <w:rPr>
          <w:sz w:val="20"/>
          <w:szCs w:val="20"/>
          <w:color w:val="auto"/>
        </w:rPr>
      </w:pPr>
    </w:p>
    <w:p>
      <w:pPr>
        <w:ind w:left="960" w:right="1059" w:firstLine="902"/>
        <w:spacing w:after="0" w:line="261" w:lineRule="auto"/>
        <w:rPr>
          <w:sz w:val="20"/>
          <w:szCs w:val="20"/>
          <w:color w:val="auto"/>
        </w:rPr>
      </w:pPr>
      <w:r>
        <w:rPr>
          <w:rFonts w:ascii="Times New Roman" w:cs="Times New Roman" w:eastAsia="Times New Roman" w:hAnsi="Times New Roman"/>
          <w:sz w:val="14"/>
          <w:szCs w:val="14"/>
          <w:color w:val="auto"/>
        </w:rPr>
        <w:t>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or the third-party information technology systems that support us and the services provided to us, or remediate and recover compromised systems in a timely manner.</w:t>
      </w:r>
    </w:p>
    <w:p>
      <w:pPr>
        <w:spacing w:after="0" w:line="146"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color w:val="auto"/>
        </w:rPr>
        <w:t>Such incidents or threats may result in unauthorized, unlawful or accidental loss, corruption, access, modification, destruction, alteration, acquisition or disclosure of sensitive information. The costs to us to attempt to protect against such security incidents could be significant, including potentially requiring us to modify our business, and while we have implemented security measures, policies and procedures designed to protect our information technology systems from cybersecurity threats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cybersecurity threats or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Unremediated high risk or critical vulnerabilities pose material risks to our business, particularly due to the reliance on software vendors to adequately patch and implement fixes to address critical or high-risk vulnerabilities in a timely manner. Further, we may be materially impacted by software updates applied by our software vendors if such updates cause significant downtime to our systems.</w:t>
      </w:r>
    </w:p>
    <w:p>
      <w:pPr>
        <w:spacing w:after="0" w:line="325" w:lineRule="exact"/>
        <w:rPr>
          <w:sz w:val="20"/>
          <w:szCs w:val="20"/>
          <w:color w:val="auto"/>
        </w:rPr>
      </w:pPr>
    </w:p>
    <w:p>
      <w:pPr>
        <w:ind w:left="960" w:right="1079" w:firstLine="902"/>
        <w:spacing w:after="0" w:line="260" w:lineRule="auto"/>
        <w:rPr>
          <w:sz w:val="20"/>
          <w:szCs w:val="20"/>
          <w:color w:val="auto"/>
        </w:rPr>
      </w:pPr>
      <w:r>
        <w:rPr>
          <w:rFonts w:ascii="Times New Roman" w:cs="Times New Roman" w:eastAsia="Times New Roman" w:hAnsi="Times New Roman"/>
          <w:sz w:val="14"/>
          <w:szCs w:val="14"/>
          <w:color w:val="auto"/>
        </w:rPr>
        <w:t>If we or third parties with whom we work experience or are perceived to have experienced a breach, we may experience material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or we may choose to voluntarily notify relevant stakeholders, or take other actions, such as providing credit monitoring and identity theft protection services, and we have done so in the past. Such disclosures are costly, and the disclosure or the failure to comply with such requirements could lead to adverse consequences.</w:t>
      </w:r>
    </w:p>
    <w:p>
      <w:pPr>
        <w:sectPr>
          <w:pgSz w:w="11900" w:h="16838" w:orient="portrait"/>
          <w:cols w:equalWidth="0" w:num="1">
            <w:col w:w="9019"/>
          </w:cols>
          <w:pgMar w:left="1440" w:top="114" w:right="1440" w:bottom="0" w:gutter="0" w:footer="0" w:header="0"/>
        </w:sectPr>
      </w:pPr>
    </w:p>
    <w:bookmarkStart w:id="49" w:name="page50"/>
    <w:bookmarkEnd w:id="49"/>
    <w:p>
      <w:pPr>
        <w:spacing w:after="0" w:line="57" w:lineRule="exact"/>
        <w:rPr>
          <w:sz w:val="20"/>
          <w:szCs w:val="20"/>
          <w:color w:val="auto"/>
        </w:rPr>
      </w:pPr>
    </w:p>
    <w:p>
      <w:pPr>
        <w:ind w:left="960" w:right="1179" w:firstLine="902"/>
        <w:spacing w:after="0" w:line="265" w:lineRule="auto"/>
        <w:rPr>
          <w:sz w:val="20"/>
          <w:szCs w:val="20"/>
          <w:color w:val="auto"/>
        </w:rPr>
      </w:pPr>
      <w:r>
        <w:rPr>
          <w:rFonts w:ascii="Times New Roman" w:cs="Times New Roman" w:eastAsia="Times New Roman" w:hAnsi="Times New Roman"/>
          <w:sz w:val="14"/>
          <w:szCs w:val="14"/>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-554355</wp:posOffset>
            </wp:positionV>
            <wp:extent cx="5584190" cy="1462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84190" cy="1462405"/>
                    </a:xfrm>
                    <a:prstGeom prst="rect">
                      <a:avLst/>
                    </a:prstGeom>
                    <a:noFill/>
                  </pic:spPr>
                </pic:pic>
              </a:graphicData>
            </a:graphic>
          </wp:anchor>
        </w:drawing>
      </w:r>
    </w:p>
    <w:p>
      <w:pPr>
        <w:spacing w:after="0" w:line="122" w:lineRule="exact"/>
        <w:rPr>
          <w:sz w:val="20"/>
          <w:szCs w:val="20"/>
          <w:color w:val="auto"/>
        </w:rPr>
      </w:pPr>
    </w:p>
    <w:p>
      <w:pPr>
        <w:ind w:left="960" w:right="1099" w:firstLine="902"/>
        <w:spacing w:after="0" w:line="274" w:lineRule="auto"/>
        <w:rPr>
          <w:sz w:val="20"/>
          <w:szCs w:val="20"/>
          <w:color w:val="auto"/>
        </w:rPr>
      </w:pPr>
      <w:r>
        <w:rPr>
          <w:rFonts w:ascii="Times New Roman" w:cs="Times New Roman" w:eastAsia="Times New Roman" w:hAnsi="Times New Roman"/>
          <w:sz w:val="14"/>
          <w:szCs w:val="14"/>
          <w:color w:val="auto"/>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99"/>
        <w:spacing w:after="0" w:line="265" w:lineRule="auto"/>
        <w:rPr>
          <w:sz w:val="20"/>
          <w:szCs w:val="20"/>
          <w:color w:val="auto"/>
        </w:rPr>
      </w:pPr>
      <w:r>
        <w:rPr>
          <w:rFonts w:ascii="Times New Roman" w:cs="Times New Roman" w:eastAsia="Times New Roman" w:hAnsi="Times New Roman"/>
          <w:sz w:val="14"/>
          <w:szCs w:val="14"/>
          <w:color w:val="auto"/>
        </w:rPr>
        <w:t>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 While we do maintain cyber liability insurance, our insurance coverages may not be sufficient in type or amount to cover us against any such losses, claims, or liabilities related to security breaches, cyber-attacks, cyber intrusion, or other related breaches or disruptions.</w:t>
      </w:r>
    </w:p>
    <w:p>
      <w:pPr>
        <w:spacing w:after="0" w:line="138" w:lineRule="exact"/>
        <w:rPr>
          <w:sz w:val="20"/>
          <w:szCs w:val="20"/>
          <w:color w:val="auto"/>
        </w:rPr>
      </w:pPr>
    </w:p>
    <w:p>
      <w:pPr>
        <w:ind w:left="960" w:right="103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and third parties with whom we work are subject to stringent and changing U.S. and foreign laws, regulations,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spacing w:after="0" w:line="143" w:lineRule="exact"/>
        <w:rPr>
          <w:sz w:val="20"/>
          <w:szCs w:val="20"/>
          <w:color w:val="auto"/>
        </w:rPr>
      </w:pPr>
    </w:p>
    <w:p>
      <w:pPr>
        <w:ind w:left="960" w:right="959" w:firstLine="902"/>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or conflict among jurisdictions.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149"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Outside the U.S., an increasing number of laws, regulations, and industry standards apply to data privacy and security. For example, the European Union’s General Data Protection Regulation, or the EU GDPR, and the United Kingdom’s GDPR, or the UK GDPR (collectively, the “GDPR”), impose strict requirements on the processing of personal data. For example, under GDPR, government regulators may impose temporary or definitive bans on data processing,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44" w:lineRule="exact"/>
        <w:rPr>
          <w:sz w:val="20"/>
          <w:szCs w:val="20"/>
          <w:color w:val="auto"/>
        </w:rPr>
      </w:pPr>
    </w:p>
    <w:p>
      <w:pPr>
        <w:ind w:left="960" w:right="979" w:firstLine="902"/>
        <w:spacing w:after="0" w:line="258" w:lineRule="auto"/>
        <w:rPr>
          <w:sz w:val="20"/>
          <w:szCs w:val="20"/>
          <w:color w:val="auto"/>
        </w:rPr>
      </w:pPr>
      <w:r>
        <w:rPr>
          <w:rFonts w:ascii="Times New Roman" w:cs="Times New Roman" w:eastAsia="Times New Roman" w:hAnsi="Times New Roman"/>
          <w:sz w:val="14"/>
          <w:szCs w:val="14"/>
          <w:color w:val="auto"/>
        </w:rPr>
        <w:t>In addition, we may be unable to transfer personal data from the EEA, the UK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and some EEA regulators have prevented companies from transferring personal data out of the EEA for allegedly violating the EU GDPR’s cross-border data transfer limitations.</w:t>
      </w:r>
    </w:p>
    <w:p>
      <w:pPr>
        <w:spacing w:after="0" w:line="148" w:lineRule="exact"/>
        <w:rPr>
          <w:sz w:val="20"/>
          <w:szCs w:val="20"/>
          <w:color w:val="auto"/>
        </w:rPr>
      </w:pPr>
    </w:p>
    <w:p>
      <w:pPr>
        <w:ind w:left="960" w:right="979" w:firstLine="902"/>
        <w:spacing w:after="0" w:line="265" w:lineRule="auto"/>
        <w:rPr>
          <w:sz w:val="20"/>
          <w:szCs w:val="20"/>
          <w:color w:val="auto"/>
        </w:rPr>
      </w:pPr>
      <w:r>
        <w:rPr>
          <w:rFonts w:ascii="Times New Roman" w:cs="Times New Roman" w:eastAsia="Times New Roman" w:hAnsi="Times New Roman"/>
          <w:sz w:val="14"/>
          <w:szCs w:val="14"/>
          <w:color w:val="auto"/>
        </w:rPr>
        <w:t>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7081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84190" cy="17081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99"/>
        <w:spacing w:after="0" w:line="260" w:lineRule="auto"/>
        <w:rPr>
          <w:sz w:val="20"/>
          <w:szCs w:val="20"/>
          <w:color w:val="auto"/>
        </w:rPr>
      </w:pPr>
      <w:r>
        <w:rPr>
          <w:rFonts w:ascii="Times New Roman" w:cs="Times New Roman" w:eastAsia="Times New Roman" w:hAnsi="Times New Roman"/>
          <w:sz w:val="14"/>
          <w:szCs w:val="14"/>
          <w:color w:val="auto"/>
        </w:rPr>
        <w:t>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data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spacing w:after="0" w:line="14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In Europe, the Network and Information Security Directive (“NIS2”) regulates resilience and incident</w:t>
      </w:r>
    </w:p>
    <w:p>
      <w:pPr>
        <w:sectPr>
          <w:pgSz w:w="11900" w:h="16896" w:orient="portrait"/>
          <w:cols w:equalWidth="0" w:num="1">
            <w:col w:w="9019"/>
          </w:cols>
          <w:pgMar w:left="1440" w:top="125" w:right="1440" w:bottom="0" w:gutter="0" w:footer="0" w:header="0"/>
        </w:sectPr>
      </w:pPr>
    </w:p>
    <w:bookmarkStart w:id="50" w:name="page51"/>
    <w:bookmarkEnd w:id="50"/>
    <w:p>
      <w:pPr>
        <w:jc w:val="both"/>
        <w:ind w:left="960" w:right="1159"/>
        <w:spacing w:after="0" w:line="274" w:lineRule="auto"/>
        <w:rPr>
          <w:sz w:val="20"/>
          <w:szCs w:val="20"/>
          <w:color w:val="auto"/>
        </w:rPr>
      </w:pPr>
      <w:r>
        <w:rPr>
          <w:rFonts w:ascii="Times New Roman" w:cs="Times New Roman" w:eastAsia="Times New Roman" w:hAnsi="Times New Roman"/>
          <w:sz w:val="14"/>
          <w:szCs w:val="14"/>
          <w:color w:val="auto"/>
        </w:rPr>
        <w:t>response capabilities of entities operating in a number of sectors, including the health sector. Non-compliance with NIS2 may lead up to administrative fines of a maximum of 10 million Euros or up to 2% of the total worldwide revenue of the preceding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-346710</wp:posOffset>
            </wp:positionV>
            <wp:extent cx="5584190" cy="55060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84190" cy="5506085"/>
                    </a:xfrm>
                    <a:prstGeom prst="rect">
                      <a:avLst/>
                    </a:prstGeom>
                    <a:noFill/>
                  </pic:spPr>
                </pic:pic>
              </a:graphicData>
            </a:graphic>
          </wp:anchor>
        </w:drawing>
      </w:r>
    </w:p>
    <w:p>
      <w:pPr>
        <w:spacing w:after="0" w:line="116"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42" w:lineRule="exact"/>
        <w:rPr>
          <w:sz w:val="20"/>
          <w:szCs w:val="20"/>
          <w:color w:val="auto"/>
        </w:rPr>
      </w:pPr>
    </w:p>
    <w:p>
      <w:pPr>
        <w:ind w:left="960" w:right="1019" w:firstLine="902"/>
        <w:spacing w:after="0" w:line="260" w:lineRule="auto"/>
        <w:rPr>
          <w:sz w:val="20"/>
          <w:szCs w:val="20"/>
          <w:color w:val="auto"/>
        </w:rPr>
      </w:pPr>
      <w:r>
        <w:rPr>
          <w:rFonts w:ascii="Times New Roman" w:cs="Times New Roman" w:eastAsia="Times New Roman" w:hAnsi="Times New Roman"/>
          <w:sz w:val="14"/>
          <w:szCs w:val="14"/>
          <w:color w:val="auto"/>
        </w:rPr>
        <w:t>In addition to data privacy and security laws, we are contractually subject to industry standards adopted by industry groups and we are, and may become in the future, subject to such obligations. Moreover, clinical trial participants or research subjects about whom we or our vendors obtain information, as well as the providers who share this information with us, may contractually limit our ability to use and disclose the information. We are also bound by other contractual obligations related to data privacy and security, and our efforts to comply with such obligations may not be successful. We may publish privacy policies, marketing materials, white papers, and other statements, such as statements relating to compliance with certain certifications or self-regulatory principles concerning data privacy and security. Regulators in the U.S.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46" w:lineRule="exact"/>
        <w:rPr>
          <w:sz w:val="20"/>
          <w:szCs w:val="20"/>
          <w:color w:val="auto"/>
        </w:rPr>
      </w:pPr>
    </w:p>
    <w:p>
      <w:pPr>
        <w:ind w:left="960" w:right="1059" w:firstLine="902"/>
        <w:spacing w:after="0" w:line="259" w:lineRule="auto"/>
        <w:rPr>
          <w:sz w:val="20"/>
          <w:szCs w:val="20"/>
          <w:color w:val="auto"/>
        </w:rPr>
      </w:pPr>
      <w:r>
        <w:rPr>
          <w:rFonts w:ascii="Times New Roman" w:cs="Times New Roman" w:eastAsia="Times New Roman" w:hAnsi="Times New Roman"/>
          <w:sz w:val="14"/>
          <w:szCs w:val="14"/>
          <w:color w:val="auto"/>
        </w:rPr>
        <w:t>It is possible that, in the future, we may fail or be perceived to have failed to comply with applicable data privacy and security obligations. Moreover, despite our best compliance efforts, we may not be successful in achieving compliance if our personnel or third parties with whom we work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RISKS RELATED TO OUR COMMON STOCK AND FINANCIAL REPORTING</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Historically, our stock price has been extremely volatile and your investment may suffer a decline in value.</w:t>
      </w:r>
    </w:p>
    <w:p>
      <w:pPr>
        <w:spacing w:after="0" w:line="187"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Historically, our stock price has been extremely volatile. Between January 1, 2015 and December 31, 2025, our stock has traded as high as $6.38 per share and as low as $0.89 per share. Between January 1, 2025 and December 31, 2025, the price has ranged between a high of $3.60 per share and a low of $1.07 per share. The significant market price fluctuations of our common stock have been due to and may in the future be influenced by a variety of factors, including:</w:t>
      </w:r>
    </w:p>
    <w:p>
      <w:pPr>
        <w:spacing w:after="0" w:line="54" w:lineRule="exact"/>
        <w:rPr>
          <w:sz w:val="20"/>
          <w:szCs w:val="20"/>
          <w:color w:val="auto"/>
        </w:rPr>
      </w:pPr>
    </w:p>
    <w:p>
      <w:pPr>
        <w:ind w:left="2760" w:hanging="898"/>
        <w:spacing w:after="0"/>
        <w:tabs>
          <w:tab w:leader="none" w:pos="2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and market opportunity for future sales of RYTELO;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9472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84190" cy="49472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2760" w:right="1199" w:hanging="898"/>
        <w:spacing w:after="0" w:line="274"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regulatory approval or non-approval of RYTELO in any other jurisdictions or indications, or specific label indications for RYTELO, or restrictions, warnings or limitations in its use;</w:t>
      </w:r>
    </w:p>
    <w:p>
      <w:pPr>
        <w:spacing w:after="0" w:line="50" w:lineRule="exact"/>
        <w:rPr>
          <w:rFonts w:ascii="Times New Roman" w:cs="Times New Roman" w:eastAsia="Times New Roman" w:hAnsi="Times New Roman"/>
          <w:sz w:val="14"/>
          <w:szCs w:val="14"/>
          <w:color w:val="auto"/>
        </w:rPr>
      </w:pPr>
    </w:p>
    <w:p>
      <w:pPr>
        <w:ind w:left="2760" w:right="979" w:hanging="898"/>
        <w:spacing w:after="0" w:line="268"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the research and development of imetelstat, or adverse efficacy or safety results of, further delays in the commencement, enrollment or conduct of, discontinuation of, or further modifications or refinements to any current or potential future clinical trials, or our inability to successfully continue the development of imetelstat;</w:t>
      </w:r>
    </w:p>
    <w:p>
      <w:pPr>
        <w:spacing w:after="0" w:line="54" w:lineRule="exact"/>
        <w:rPr>
          <w:rFonts w:ascii="Times New Roman" w:cs="Times New Roman" w:eastAsia="Times New Roman" w:hAnsi="Times New Roman"/>
          <w:sz w:val="14"/>
          <w:szCs w:val="14"/>
          <w:color w:val="auto"/>
        </w:rPr>
      </w:pPr>
    </w:p>
    <w:p>
      <w:pPr>
        <w:ind w:left="2760" w:right="1559" w:hanging="898"/>
        <w:spacing w:after="0" w:line="292"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capital, if and when needed, to further advance our development program;</w:t>
      </w:r>
    </w:p>
    <w:p>
      <w:pPr>
        <w:spacing w:after="0" w:line="37" w:lineRule="exact"/>
        <w:rPr>
          <w:rFonts w:ascii="Times New Roman" w:cs="Times New Roman" w:eastAsia="Times New Roman" w:hAnsi="Times New Roman"/>
          <w:sz w:val="14"/>
          <w:szCs w:val="14"/>
          <w:color w:val="auto"/>
        </w:rPr>
      </w:pPr>
    </w:p>
    <w:p>
      <w:pPr>
        <w:ind w:left="2760" w:right="999" w:hanging="898"/>
        <w:spacing w:after="0" w:line="274"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RYTELO, including laws or regulations concerning the commercialization of RYTELO or clinical trial requirements for approval or other regulatory developments related to RYTELO;</w:t>
      </w:r>
    </w:p>
    <w:p>
      <w:pPr>
        <w:spacing w:after="0" w:line="50" w:lineRule="exact"/>
        <w:rPr>
          <w:rFonts w:ascii="Times New Roman" w:cs="Times New Roman" w:eastAsia="Times New Roman" w:hAnsi="Times New Roman"/>
          <w:sz w:val="14"/>
          <w:szCs w:val="14"/>
          <w:color w:val="auto"/>
        </w:rPr>
      </w:pPr>
    </w:p>
    <w:p>
      <w:pPr>
        <w:ind w:left="2760" w:right="1339" w:hanging="898"/>
        <w:spacing w:after="0" w:line="292"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concerning our manufacturers, including our inability to obtain adequate product supply for RYTELO or inability to do so at acceptable prices;</w:t>
      </w:r>
    </w:p>
    <w:p>
      <w:pPr>
        <w:spacing w:after="0" w:line="37" w:lineRule="exact"/>
        <w:rPr>
          <w:rFonts w:ascii="Times New Roman" w:cs="Times New Roman" w:eastAsia="Times New Roman" w:hAnsi="Times New Roman"/>
          <w:sz w:val="14"/>
          <w:szCs w:val="14"/>
          <w:color w:val="auto"/>
        </w:rPr>
      </w:pPr>
    </w:p>
    <w:p>
      <w:pPr>
        <w:ind w:left="2760" w:right="1159" w:hanging="898"/>
        <w:spacing w:after="0" w:line="292"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of the market opportunity for RYTELO in its currently approved and any potential future approved indications;</w:t>
      </w:r>
    </w:p>
    <w:p>
      <w:pPr>
        <w:spacing w:after="0" w:line="37" w:lineRule="exact"/>
        <w:rPr>
          <w:rFonts w:ascii="Times New Roman" w:cs="Times New Roman" w:eastAsia="Times New Roman" w:hAnsi="Times New Roman"/>
          <w:sz w:val="14"/>
          <w:szCs w:val="14"/>
          <w:color w:val="auto"/>
        </w:rPr>
      </w:pPr>
    </w:p>
    <w:p>
      <w:pPr>
        <w:ind w:left="2760" w:right="1139" w:hanging="898"/>
        <w:spacing w:after="0" w:line="274"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RYTELO proprietary rights, including patents, litigation matters and our ability to obtain, enforce and defend patent protection and maintain regulatory exclusivity for RYTELO and our technologies;</w:t>
      </w:r>
    </w:p>
    <w:p>
      <w:pPr>
        <w:spacing w:after="0" w:line="50" w:lineRule="exact"/>
        <w:rPr>
          <w:rFonts w:ascii="Times New Roman" w:cs="Times New Roman" w:eastAsia="Times New Roman" w:hAnsi="Times New Roman"/>
          <w:sz w:val="14"/>
          <w:szCs w:val="14"/>
          <w:color w:val="auto"/>
        </w:rPr>
      </w:pPr>
    </w:p>
    <w:p>
      <w:pPr>
        <w:ind w:left="2760" w:right="1199" w:hanging="898"/>
        <w:spacing w:after="0" w:line="292"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future collaboration agreements for the further development and commercialization of RYTELO that we may establish;</w:t>
      </w:r>
    </w:p>
    <w:p>
      <w:pPr>
        <w:spacing w:after="0" w:line="37" w:lineRule="exact"/>
        <w:rPr>
          <w:rFonts w:ascii="Times New Roman" w:cs="Times New Roman" w:eastAsia="Times New Roman" w:hAnsi="Times New Roman"/>
          <w:sz w:val="14"/>
          <w:szCs w:val="14"/>
          <w:color w:val="auto"/>
        </w:rPr>
      </w:pPr>
    </w:p>
    <w:p>
      <w:pPr>
        <w:ind w:left="2760" w:right="1339" w:hanging="898"/>
        <w:spacing w:after="0" w:line="292"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collaborations, joint ventures or capital commitments by us or our competitors;</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or continuing operating losses;</w:t>
      </w:r>
    </w:p>
    <w:p>
      <w:pPr>
        <w:spacing w:after="0" w:line="96" w:lineRule="exact"/>
        <w:rPr>
          <w:rFonts w:ascii="Times New Roman" w:cs="Times New Roman" w:eastAsia="Times New Roman" w:hAnsi="Times New Roman"/>
          <w:sz w:val="14"/>
          <w:szCs w:val="14"/>
          <w:color w:val="auto"/>
        </w:rPr>
      </w:pPr>
    </w:p>
    <w:p>
      <w:pPr>
        <w:ind w:left="2760" w:right="1079" w:hanging="898"/>
        <w:spacing w:after="0" w:line="274"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domestic and international market conditions or market conditions relating to the biopharmaceutical and pharmaceutical industries, especially given the volatility caused by macroeconomic or other global conditions,</w:t>
      </w:r>
    </w:p>
    <w:p>
      <w:pPr>
        <w:spacing w:after="0" w:line="50" w:lineRule="exact"/>
        <w:rPr>
          <w:rFonts w:ascii="Times New Roman" w:cs="Times New Roman" w:eastAsia="Times New Roman" w:hAnsi="Times New Roman"/>
          <w:sz w:val="14"/>
          <w:szCs w:val="14"/>
          <w:color w:val="auto"/>
        </w:rPr>
      </w:pPr>
    </w:p>
    <w:p>
      <w:pPr>
        <w:ind w:left="2760" w:right="1239" w:hanging="898"/>
        <w:spacing w:after="0" w:line="292"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perceptions of the biotechnology and pharmaceutical industry by the public, legislature, regulators and the investment community;</w:t>
      </w:r>
    </w:p>
    <w:p>
      <w:pPr>
        <w:spacing w:after="0" w:line="37" w:lineRule="exact"/>
        <w:rPr>
          <w:rFonts w:ascii="Times New Roman" w:cs="Times New Roman" w:eastAsia="Times New Roman" w:hAnsi="Times New Roman"/>
          <w:sz w:val="14"/>
          <w:szCs w:val="14"/>
          <w:color w:val="auto"/>
        </w:rPr>
      </w:pPr>
    </w:p>
    <w:p>
      <w:pPr>
        <w:ind w:left="2760" w:right="1179" w:hanging="898"/>
        <w:spacing w:after="0" w:line="292"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 estimates and projections of the investment community or general public;</w:t>
      </w:r>
    </w:p>
    <w:p>
      <w:pPr>
        <w:spacing w:after="0" w:line="37" w:lineRule="exact"/>
        <w:rPr>
          <w:rFonts w:ascii="Times New Roman" w:cs="Times New Roman" w:eastAsia="Times New Roman" w:hAnsi="Times New Roman"/>
          <w:sz w:val="14"/>
          <w:szCs w:val="14"/>
          <w:color w:val="auto"/>
        </w:rPr>
      </w:pPr>
    </w:p>
    <w:p>
      <w:pPr>
        <w:ind w:left="2760" w:right="1059" w:hanging="898"/>
        <w:spacing w:after="0" w:line="274" w:lineRule="auto"/>
        <w:tabs>
          <w:tab w:leader="none" w:pos="2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commentary, articles or research reports about us or our industry, or positive or negative recommendations or withdrawal of research coverage by securities analysts, bloggers, news media or other third parties;</w:t>
      </w:r>
    </w:p>
    <w:p>
      <w:pPr>
        <w:sectPr>
          <w:pgSz w:w="11900" w:h="16838" w:orient="portrait"/>
          <w:cols w:equalWidth="0" w:num="1">
            <w:col w:w="9019"/>
          </w:cols>
          <w:pgMar w:left="1440" w:top="136" w:right="1440" w:bottom="0" w:gutter="0" w:footer="0" w:header="0"/>
        </w:sectPr>
      </w:pPr>
    </w:p>
    <w:bookmarkStart w:id="51" w:name="page52"/>
    <w:bookmarkEnd w:id="51"/>
    <w:p>
      <w:pPr>
        <w:ind w:left="2760" w:hanging="898"/>
        <w:spacing w:after="0"/>
        <w:tabs>
          <w:tab w:leader="none" w:pos="2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expected sales of common stock by stockholders;</w:t>
      </w:r>
    </w:p>
    <w:p>
      <w:pPr>
        <w:spacing w:after="0" w:line="1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or developments concerning pending and potential future litigation;</w:t>
      </w:r>
    </w:p>
    <w:p>
      <w:pPr>
        <w:spacing w:after="0" w:line="80"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instituted by activist shareholders or others;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that are beyond our control; and</w:t>
      </w:r>
    </w:p>
    <w:p>
      <w:pPr>
        <w:spacing w:after="0" w:line="96" w:lineRule="exact"/>
        <w:rPr>
          <w:rFonts w:ascii="Times New Roman" w:cs="Times New Roman" w:eastAsia="Times New Roman" w:hAnsi="Times New Roman"/>
          <w:sz w:val="14"/>
          <w:szCs w:val="14"/>
          <w:color w:val="auto"/>
        </w:rPr>
      </w:pPr>
    </w:p>
    <w:p>
      <w:pPr>
        <w:ind w:left="2760" w:right="1359" w:hanging="898"/>
        <w:spacing w:after="0" w:line="292" w:lineRule="auto"/>
        <w:tabs>
          <w:tab w:leader="none" w:pos="2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other risks and uncertainties discussed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-825500</wp:posOffset>
            </wp:positionV>
            <wp:extent cx="5584190" cy="2266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84190" cy="2266950"/>
                    </a:xfrm>
                    <a:prstGeom prst="rect">
                      <a:avLst/>
                    </a:prstGeom>
                    <a:noFill/>
                  </pic:spPr>
                </pic:pic>
              </a:graphicData>
            </a:graphic>
          </wp:anchor>
        </w:drawing>
      </w:r>
    </w:p>
    <w:p>
      <w:pPr>
        <w:spacing w:after="0" w:line="16" w:lineRule="exact"/>
        <w:rPr>
          <w:sz w:val="20"/>
          <w:szCs w:val="20"/>
          <w:color w:val="auto"/>
        </w:rPr>
      </w:pPr>
    </w:p>
    <w:p>
      <w:pPr>
        <w:ind w:left="960" w:right="1039" w:firstLine="902"/>
        <w:spacing w:after="0" w:line="261" w:lineRule="auto"/>
        <w:rPr>
          <w:sz w:val="20"/>
          <w:szCs w:val="20"/>
          <w:color w:val="auto"/>
        </w:rPr>
      </w:pPr>
      <w:r>
        <w:rPr>
          <w:rFonts w:ascii="Times New Roman" w:cs="Times New Roman" w:eastAsia="Times New Roman" w:hAnsi="Times New Roman"/>
          <w:sz w:val="14"/>
          <w:szCs w:val="14"/>
          <w:color w:val="auto"/>
        </w:rPr>
        <w:t>In addition, as further discussed in the Risk Factor above titled “</w:t>
      </w:r>
      <w:r>
        <w:rPr>
          <w:rFonts w:ascii="Times New Roman" w:cs="Times New Roman" w:eastAsia="Times New Roman" w:hAnsi="Times New Roman"/>
          <w:sz w:val="14"/>
          <w:szCs w:val="14"/>
          <w:i w:val="1"/>
          <w:iCs w:val="1"/>
          <w:color w:val="auto"/>
        </w:rPr>
        <w:t>We and certain of our current and former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may be costly to defend or pursue and are uncertain in their outcome</w:t>
      </w:r>
      <w:r>
        <w:rPr>
          <w:rFonts w:ascii="Times New Roman" w:cs="Times New Roman" w:eastAsia="Times New Roman" w:hAnsi="Times New Roman"/>
          <w:sz w:val="14"/>
          <w:szCs w:val="14"/>
          <w:color w:val="auto"/>
        </w:rPr>
        <w:t>,” we and certain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current and former officers and directors have been named as defendants in securities class action and derivative lawsuits. Such lawsuits have often been instituted against companies, including us, whose securities have experienced periods of volatility in market price. The pending lawsuits and any lawsuits brought against us in the future could result in substantial costs and divert our management’s attention and resources, which could have a material adverse effect on our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39"/>
        <w:spacing w:after="0" w:line="292" w:lineRule="auto"/>
        <w:rPr>
          <w:sz w:val="20"/>
          <w:szCs w:val="20"/>
          <w:color w:val="auto"/>
        </w:rPr>
      </w:pPr>
      <w:r>
        <w:rPr>
          <w:rFonts w:ascii="Times New Roman" w:cs="Times New Roman" w:eastAsia="Times New Roman" w:hAnsi="Times New Roman"/>
          <w:sz w:val="14"/>
          <w:szCs w:val="14"/>
          <w:color w:val="auto"/>
        </w:rPr>
        <w:t>financial condition and business operations and lead to increased volatility in our stock price and a decrease in the value of our stockholders’ investment in our securities.</w:t>
      </w:r>
    </w:p>
    <w:p>
      <w:pPr>
        <w:spacing w:after="0" w:line="120" w:lineRule="exact"/>
        <w:rPr>
          <w:sz w:val="20"/>
          <w:szCs w:val="20"/>
          <w:color w:val="auto"/>
        </w:rPr>
      </w:pPr>
    </w:p>
    <w:p>
      <w:pPr>
        <w:ind w:left="960" w:right="1119"/>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Our failure to maintain compliance with the continued listing requirements of the Nasdaq Global Select Market may result in our common stock being delisted from the Nasdaq Global Select Market, which could negatively impact the price of our common stock, liquidity, our ability to access the capital markets and our stockholders’ ability to sell their shares.</w:t>
      </w:r>
    </w:p>
    <w:p>
      <w:pPr>
        <w:spacing w:after="0" w:line="2" w:lineRule="exact"/>
        <w:rPr>
          <w:sz w:val="20"/>
          <w:szCs w:val="20"/>
          <w:color w:val="auto"/>
        </w:rPr>
      </w:pPr>
    </w:p>
    <w:p>
      <w:pPr>
        <w:ind w:left="960" w:right="999" w:firstLine="902"/>
        <w:spacing w:after="0" w:line="257" w:lineRule="auto"/>
        <w:rPr>
          <w:sz w:val="20"/>
          <w:szCs w:val="20"/>
          <w:color w:val="auto"/>
        </w:rPr>
      </w:pPr>
      <w:r>
        <w:rPr>
          <w:rFonts w:ascii="Times New Roman" w:cs="Times New Roman" w:eastAsia="Times New Roman" w:hAnsi="Times New Roman"/>
          <w:sz w:val="14"/>
          <w:szCs w:val="14"/>
          <w:color w:val="auto"/>
        </w:rPr>
        <w:t>Our common stock is currently listed on the Nasdaq Global Select Market, or Nasdaq, under the symbol “GERN.” The listing standards of Nasdaq provide that a company, in order to qualify for continued listing, must maintain a minimum stock price of $1.00 and satisfy standards relative to minimum stockholders’ equity, minimum market value of publicly held shares and various additional requirements. Historically, our stock price has been extremely volatile and recently, our stock has traded as low as $0.89 per share through February 20, 2026. While our common stock is currently listed on Nasdaq, we can give no assurance that we will be able to maintain compliance with the continued listing requirements for Nasdaq. If we fail to maintain compliance with any such continued listing requirement, there can also be no assurance that we will be able to regain compliance with any such continued listing requirement in the future or that our common stock will not be delisted in the future. If Nasdaq delists our securities from trading on its exchange for failure to meet the listing standards, we and our stockholders could face significant negative consequences including:</w:t>
      </w:r>
    </w:p>
    <w:p>
      <w:pPr>
        <w:spacing w:after="0" w:line="150" w:lineRule="exact"/>
        <w:rPr>
          <w:sz w:val="20"/>
          <w:szCs w:val="20"/>
          <w:color w:val="auto"/>
        </w:rPr>
      </w:pPr>
    </w:p>
    <w:p>
      <w:pPr>
        <w:ind w:left="2760" w:hanging="898"/>
        <w:spacing w:after="0"/>
        <w:tabs>
          <w:tab w:leader="none" w:pos="2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market quotations for our securities;</w:t>
      </w:r>
    </w:p>
    <w:p>
      <w:pPr>
        <w:spacing w:after="0" w:line="96" w:lineRule="exact"/>
        <w:rPr>
          <w:rFonts w:ascii="Times New Roman" w:cs="Times New Roman" w:eastAsia="Times New Roman" w:hAnsi="Times New Roman"/>
          <w:sz w:val="14"/>
          <w:szCs w:val="14"/>
          <w:color w:val="auto"/>
        </w:rPr>
      </w:pPr>
    </w:p>
    <w:p>
      <w:pPr>
        <w:ind w:left="2760" w:right="1219" w:hanging="898"/>
        <w:spacing w:after="0" w:line="268" w:lineRule="auto"/>
        <w:tabs>
          <w:tab w:leader="none" w:pos="2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54" w:lineRule="exact"/>
        <w:rPr>
          <w:rFonts w:ascii="Times New Roman" w:cs="Times New Roman" w:eastAsia="Times New Roman" w:hAnsi="Times New Roman"/>
          <w:sz w:val="14"/>
          <w:szCs w:val="14"/>
          <w:color w:val="auto"/>
        </w:rPr>
      </w:pPr>
    </w:p>
    <w:p>
      <w:pPr>
        <w:ind w:left="2800" w:hanging="938"/>
        <w:spacing w:after="0"/>
        <w:tabs>
          <w:tab w:leader="none" w:pos="28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analyst coverage, if any; and</w:t>
      </w:r>
    </w:p>
    <w:p>
      <w:pPr>
        <w:spacing w:after="0" w:line="96" w:lineRule="exact"/>
        <w:rPr>
          <w:rFonts w:ascii="Times New Roman" w:cs="Times New Roman" w:eastAsia="Times New Roman" w:hAnsi="Times New Roman"/>
          <w:sz w:val="14"/>
          <w:szCs w:val="14"/>
          <w:color w:val="auto"/>
        </w:rPr>
      </w:pPr>
    </w:p>
    <w:p>
      <w:pPr>
        <w:ind w:left="2800" w:hanging="938"/>
        <w:spacing w:after="0"/>
        <w:tabs>
          <w:tab w:leader="none" w:pos="28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97" w:lineRule="exact"/>
        <w:rPr>
          <w:sz w:val="20"/>
          <w:szCs w:val="20"/>
          <w:color w:val="auto"/>
        </w:rPr>
      </w:pPr>
    </w:p>
    <w:p>
      <w:pPr>
        <w:ind w:left="960" w:right="1279" w:firstLine="902"/>
        <w:spacing w:after="0" w:line="274" w:lineRule="auto"/>
        <w:rPr>
          <w:sz w:val="20"/>
          <w:szCs w:val="20"/>
          <w:color w:val="auto"/>
        </w:rPr>
      </w:pPr>
      <w:r>
        <w:rPr>
          <w:rFonts w:ascii="Times New Roman" w:cs="Times New Roman" w:eastAsia="Times New Roman" w:hAnsi="Times New Roman"/>
          <w:sz w:val="14"/>
          <w:szCs w:val="14"/>
          <w:color w:val="auto"/>
        </w:rPr>
        <w:t>Delisting from Nasdaq could also result in other negative consequences, including the potential loss of confidence by suppliers, customers and employees, the loss of institutional investor interest and fewer business development opportunities.</w:t>
      </w:r>
    </w:p>
    <w:p>
      <w:pPr>
        <w:spacing w:after="0" w:line="132" w:lineRule="exact"/>
        <w:rPr>
          <w:sz w:val="20"/>
          <w:szCs w:val="20"/>
          <w:color w:val="auto"/>
        </w:rPr>
      </w:pPr>
    </w:p>
    <w:p>
      <w:pPr>
        <w:ind w:left="960" w:right="11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w:t>
      </w:r>
    </w:p>
    <w:p>
      <w:pPr>
        <w:spacing w:after="0" w:line="134" w:lineRule="exact"/>
        <w:rPr>
          <w:sz w:val="20"/>
          <w:szCs w:val="20"/>
          <w:color w:val="auto"/>
        </w:rPr>
      </w:pPr>
    </w:p>
    <w:p>
      <w:pPr>
        <w:ind w:left="960" w:right="979" w:firstLine="902"/>
        <w:spacing w:after="0" w:line="265" w:lineRule="auto"/>
        <w:rPr>
          <w:sz w:val="20"/>
          <w:szCs w:val="20"/>
          <w:color w:val="auto"/>
        </w:rPr>
      </w:pPr>
      <w:r>
        <w:rPr>
          <w:rFonts w:ascii="Times New Roman" w:cs="Times New Roman" w:eastAsia="Times New Roman" w:hAnsi="Times New Roman"/>
          <w:sz w:val="14"/>
          <w:szCs w:val="14"/>
          <w:color w:val="auto"/>
        </w:rPr>
        <w:t>Provisions of our charter documents and bylaws may make it substantially more difficult for a third party to acquire control of us and may prevent changes in our management, including provisions that prevent stockholders from taking actions by written consent, divide the board of directors into separate classes with terms of office that are structured to prevent all of the directors from being elected in any one year and set forth procedures for nominating directors and submitting proposals for consideration at stockholders’ meetings.</w:t>
      </w:r>
    </w:p>
    <w:p>
      <w:pPr>
        <w:spacing w:after="0" w:line="142" w:lineRule="exact"/>
        <w:rPr>
          <w:sz w:val="20"/>
          <w:szCs w:val="20"/>
          <w:color w:val="auto"/>
        </w:rPr>
      </w:pPr>
    </w:p>
    <w:p>
      <w:pPr>
        <w:ind w:left="960" w:right="999" w:firstLine="938"/>
        <w:spacing w:after="0" w:line="265" w:lineRule="auto"/>
        <w:rPr>
          <w:sz w:val="20"/>
          <w:szCs w:val="20"/>
          <w:color w:val="auto"/>
        </w:rPr>
      </w:pPr>
      <w:r>
        <w:rPr>
          <w:rFonts w:ascii="Times New Roman" w:cs="Times New Roman" w:eastAsia="Times New Roman" w:hAnsi="Times New Roman"/>
          <w:sz w:val="14"/>
          <w:szCs w:val="14"/>
          <w:color w:val="auto"/>
        </w:rPr>
        <w:t>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spacing w:after="0" w:line="142" w:lineRule="exact"/>
        <w:rPr>
          <w:sz w:val="20"/>
          <w:szCs w:val="20"/>
          <w:color w:val="auto"/>
        </w:rPr>
      </w:pPr>
    </w:p>
    <w:p>
      <w:pPr>
        <w:ind w:left="960" w:right="1139" w:firstLine="902"/>
        <w:spacing w:after="0" w:line="268" w:lineRule="auto"/>
        <w:rPr>
          <w:sz w:val="20"/>
          <w:szCs w:val="20"/>
          <w:color w:val="auto"/>
        </w:rPr>
      </w:pPr>
      <w:r>
        <w:rPr>
          <w:rFonts w:ascii="Times New Roman" w:cs="Times New Roman" w:eastAsia="Times New Roman" w:hAnsi="Times New Roman"/>
          <w:sz w:val="14"/>
          <w:szCs w:val="14"/>
          <w:color w:val="auto"/>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140" w:lineRule="exact"/>
        <w:rPr>
          <w:sz w:val="20"/>
          <w:szCs w:val="20"/>
          <w:color w:val="auto"/>
        </w:rPr>
      </w:pPr>
    </w:p>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902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84190" cy="9029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14" w:right="1440" w:bottom="0" w:gutter="0" w:footer="0" w:header="0"/>
        </w:sectPr>
      </w:pPr>
    </w:p>
    <w:p>
      <w:pPr>
        <w:spacing w:after="0" w:line="286" w:lineRule="exact"/>
        <w:rPr>
          <w:sz w:val="20"/>
          <w:szCs w:val="20"/>
          <w:color w:val="auto"/>
        </w:rPr>
      </w:pPr>
    </w:p>
    <w:p>
      <w:pPr>
        <w:ind w:left="960" w:right="10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sectPr>
          <w:pgSz w:w="11900" w:h="16838" w:orient="portrait"/>
          <w:cols w:equalWidth="0" w:num="1">
            <w:col w:w="9019"/>
          </w:cols>
          <w:pgMar w:left="1440" w:top="114" w:right="1440" w:bottom="0" w:gutter="0" w:footer="0" w:header="0"/>
          <w:type w:val="continuous"/>
        </w:sectPr>
      </w:pPr>
    </w:p>
    <w:bookmarkStart w:id="52" w:name="page53"/>
    <w:bookmarkEnd w:id="52"/>
    <w:p>
      <w:pPr>
        <w:ind w:left="960" w:right="1099" w:firstLine="902"/>
        <w:spacing w:after="0" w:line="202" w:lineRule="auto"/>
        <w:rPr>
          <w:sz w:val="20"/>
          <w:szCs w:val="20"/>
          <w:color w:val="auto"/>
        </w:rPr>
      </w:pPr>
      <w:r>
        <w:rPr>
          <w:rFonts w:ascii="Times New Roman" w:cs="Times New Roman" w:eastAsia="Times New Roman" w:hAnsi="Times New Roman"/>
          <w:sz w:val="14"/>
          <w:szCs w:val="14"/>
          <w:color w:val="auto"/>
        </w:rPr>
        <w:t>Our amended and restated bylaws provide that, unless we consent to the selection of an alternative forum, the Court of Chancery of the State of Delaware (or, if and only if the Court of Chancery of the State of Delaware lacks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-154940</wp:posOffset>
            </wp:positionV>
            <wp:extent cx="5584190" cy="6310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84190" cy="6310630"/>
                    </a:xfrm>
                    <a:prstGeom prst="rect">
                      <a:avLst/>
                    </a:prstGeom>
                    <a:noFill/>
                  </pic:spPr>
                </pic:pic>
              </a:graphicData>
            </a:graphic>
          </wp:anchor>
        </w:drawing>
      </w:r>
    </w:p>
    <w:p>
      <w:pPr>
        <w:jc w:val="both"/>
        <w:ind w:left="960" w:right="1099"/>
        <w:spacing w:after="0" w:line="272" w:lineRule="auto"/>
        <w:rPr>
          <w:sz w:val="20"/>
          <w:szCs w:val="20"/>
          <w:color w:val="auto"/>
        </w:rPr>
      </w:pPr>
      <w:r>
        <w:rPr>
          <w:rFonts w:ascii="Times New Roman" w:cs="Times New Roman" w:eastAsia="Times New Roman" w:hAnsi="Times New Roman"/>
          <w:sz w:val="14"/>
          <w:szCs w:val="14"/>
          <w:color w:val="auto"/>
        </w:rPr>
        <w:t>subject matter jurisdiction, any state court located within the State of Delaware or, if and only if all such state courts lack subject matter jurisdiction, the federal district court for the District of Delaware) will be the sole and exclusive forum for:</w:t>
      </w:r>
    </w:p>
    <w:p>
      <w:pPr>
        <w:spacing w:after="0" w:line="137" w:lineRule="exact"/>
        <w:rPr>
          <w:sz w:val="20"/>
          <w:szCs w:val="20"/>
          <w:color w:val="auto"/>
        </w:rPr>
      </w:pPr>
    </w:p>
    <w:p>
      <w:pPr>
        <w:ind w:left="2760" w:hanging="898"/>
        <w:spacing w:after="0"/>
        <w:tabs>
          <w:tab w:leader="none" w:pos="2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claim or cause of action or proceeding brought on our behalf;</w:t>
      </w:r>
    </w:p>
    <w:p>
      <w:pPr>
        <w:spacing w:after="0" w:line="96" w:lineRule="exact"/>
        <w:rPr>
          <w:rFonts w:ascii="Times New Roman" w:cs="Times New Roman" w:eastAsia="Times New Roman" w:hAnsi="Times New Roman"/>
          <w:sz w:val="14"/>
          <w:szCs w:val="14"/>
          <w:color w:val="auto"/>
        </w:rPr>
      </w:pPr>
    </w:p>
    <w:p>
      <w:pPr>
        <w:ind w:left="2760" w:right="1179" w:hanging="898"/>
        <w:spacing w:after="0" w:line="274" w:lineRule="auto"/>
        <w:tabs>
          <w:tab w:leader="none" w:pos="2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or cause of action for breach of a fiduciary duty owed by any of our current or former directors, officers or other employees, or our stockholders, to us or to our stockholders;</w:t>
      </w:r>
    </w:p>
    <w:p>
      <w:pPr>
        <w:spacing w:after="0" w:line="50" w:lineRule="exact"/>
        <w:rPr>
          <w:rFonts w:ascii="Times New Roman" w:cs="Times New Roman" w:eastAsia="Times New Roman" w:hAnsi="Times New Roman"/>
          <w:sz w:val="14"/>
          <w:szCs w:val="14"/>
          <w:color w:val="auto"/>
        </w:rPr>
      </w:pPr>
    </w:p>
    <w:p>
      <w:pPr>
        <w:ind w:left="2760" w:right="1039" w:hanging="898"/>
        <w:spacing w:after="0" w:line="274" w:lineRule="auto"/>
        <w:tabs>
          <w:tab w:leader="none" w:pos="2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spacing w:after="0" w:line="50" w:lineRule="exact"/>
        <w:rPr>
          <w:rFonts w:ascii="Times New Roman" w:cs="Times New Roman" w:eastAsia="Times New Roman" w:hAnsi="Times New Roman"/>
          <w:sz w:val="14"/>
          <w:szCs w:val="14"/>
          <w:color w:val="auto"/>
        </w:rPr>
      </w:pPr>
    </w:p>
    <w:p>
      <w:pPr>
        <w:ind w:left="2760" w:right="1019" w:hanging="898"/>
        <w:spacing w:after="0" w:line="292" w:lineRule="auto"/>
        <w:tabs>
          <w:tab w:leader="none" w:pos="2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or cause of action seeking to interpret, apply, enforce or determine the validity of our certificate of incorporation or bylaws;</w:t>
      </w:r>
    </w:p>
    <w:p>
      <w:pPr>
        <w:spacing w:after="0" w:line="37" w:lineRule="exact"/>
        <w:rPr>
          <w:rFonts w:ascii="Times New Roman" w:cs="Times New Roman" w:eastAsia="Times New Roman" w:hAnsi="Times New Roman"/>
          <w:sz w:val="14"/>
          <w:szCs w:val="14"/>
          <w:color w:val="auto"/>
        </w:rPr>
      </w:pPr>
    </w:p>
    <w:p>
      <w:pPr>
        <w:ind w:left="2760" w:right="1399" w:hanging="898"/>
        <w:spacing w:after="0" w:line="292" w:lineRule="auto"/>
        <w:tabs>
          <w:tab w:leader="none" w:pos="2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or cause of action as to which the General Corporation Law of the State of Delaware confers jurisdiction on the Court of Chancery of the State of Delaware; or</w:t>
      </w:r>
    </w:p>
    <w:p>
      <w:pPr>
        <w:spacing w:after="0" w:line="37" w:lineRule="exact"/>
        <w:rPr>
          <w:rFonts w:ascii="Times New Roman" w:cs="Times New Roman" w:eastAsia="Times New Roman" w:hAnsi="Times New Roman"/>
          <w:sz w:val="14"/>
          <w:szCs w:val="14"/>
          <w:color w:val="auto"/>
        </w:rPr>
      </w:pPr>
    </w:p>
    <w:p>
      <w:pPr>
        <w:jc w:val="both"/>
        <w:ind w:left="2760" w:right="1019" w:hanging="898"/>
        <w:spacing w:after="0" w:line="274" w:lineRule="auto"/>
        <w:tabs>
          <w:tab w:leader="none" w:pos="2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or cause of action against us or any of our current or former directors, officers or other employees, or our stockholders, governed by the internal affairs doctrine or otherwise related to our internal affairs.</w:t>
      </w:r>
    </w:p>
    <w:p>
      <w:pPr>
        <w:spacing w:after="0" w:line="50" w:lineRule="exact"/>
        <w:rPr>
          <w:sz w:val="20"/>
          <w:szCs w:val="20"/>
          <w:color w:val="auto"/>
        </w:rPr>
      </w:pPr>
    </w:p>
    <w:p>
      <w:pPr>
        <w:ind w:left="960" w:right="1019" w:firstLine="902"/>
        <w:spacing w:after="0" w:line="259" w:lineRule="auto"/>
        <w:rPr>
          <w:sz w:val="20"/>
          <w:szCs w:val="20"/>
          <w:color w:val="auto"/>
        </w:rPr>
      </w:pPr>
      <w:r>
        <w:rPr>
          <w:rFonts w:ascii="Times New Roman" w:cs="Times New Roman" w:eastAsia="Times New Roman" w:hAnsi="Times New Roman"/>
          <w:sz w:val="14"/>
          <w:szCs w:val="14"/>
          <w:color w:val="auto"/>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49"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w:t>
      </w:r>
    </w:p>
    <w:p>
      <w:pPr>
        <w:spacing w:after="0" w:line="146"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1421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84190" cy="414210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cash dividends on our common stock in the foreseeable future.</w:t>
      </w:r>
    </w:p>
    <w:p>
      <w:pPr>
        <w:spacing w:after="0" w:line="187" w:lineRule="exact"/>
        <w:rPr>
          <w:sz w:val="20"/>
          <w:szCs w:val="20"/>
          <w:color w:val="auto"/>
        </w:rPr>
      </w:pPr>
    </w:p>
    <w:p>
      <w:pPr>
        <w:ind w:left="960" w:right="1019" w:firstLine="902"/>
        <w:spacing w:after="0" w:line="263" w:lineRule="auto"/>
        <w:rPr>
          <w:sz w:val="20"/>
          <w:szCs w:val="20"/>
          <w:color w:val="auto"/>
        </w:rPr>
      </w:pPr>
      <w:r>
        <w:rPr>
          <w:rFonts w:ascii="Times New Roman" w:cs="Times New Roman" w:eastAsia="Times New Roman" w:hAnsi="Times New Roman"/>
          <w:sz w:val="14"/>
          <w:szCs w:val="14"/>
          <w:color w:val="auto"/>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Pharmakon Loan Agreement restrict our ability to pay dividends and any future debt agreements may continue to or further restrict our ability to pay dividends. As a result, capital appreciation, if any, of our common stock will be the sole source of gain for our stockholders for the foreseeable future.</w:t>
      </w:r>
    </w:p>
    <w:p>
      <w:pPr>
        <w:spacing w:after="0" w:line="140" w:lineRule="exact"/>
        <w:rPr>
          <w:sz w:val="20"/>
          <w:szCs w:val="20"/>
          <w:color w:val="auto"/>
        </w:rPr>
      </w:pPr>
    </w:p>
    <w:p>
      <w:pPr>
        <w:ind w:left="960" w:right="10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principal investigators, clinical trial sites, CROs, consultants or vendors may engage in misconduct or other improper activities, including noncompliance with regulatory standards and requirements.</w:t>
      </w:r>
    </w:p>
    <w:p>
      <w:pPr>
        <w:spacing w:after="0" w:line="134" w:lineRule="exact"/>
        <w:rPr>
          <w:sz w:val="20"/>
          <w:szCs w:val="20"/>
          <w:color w:val="auto"/>
        </w:rPr>
      </w:pPr>
    </w:p>
    <w:p>
      <w:pPr>
        <w:ind w:left="960" w:right="1019" w:firstLine="902"/>
        <w:spacing w:after="0" w:line="260"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spacing w:after="0" w:line="320"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p>
    <w:p>
      <w:pPr>
        <w:sectPr>
          <w:pgSz w:w="11900" w:h="16838" w:orient="portrait"/>
          <w:cols w:equalWidth="0" w:num="1">
            <w:col w:w="9019"/>
          </w:cols>
          <w:pgMar w:left="1440" w:top="114" w:right="1440" w:bottom="0" w:gutter="0" w:footer="0" w:header="0"/>
        </w:sectPr>
      </w:pPr>
    </w:p>
    <w:bookmarkStart w:id="53" w:name="page54"/>
    <w:bookmarkEnd w:id="53"/>
    <w:p>
      <w:pPr>
        <w:ind w:left="2760" w:hanging="898"/>
        <w:spacing w:after="0"/>
        <w:tabs>
          <w:tab w:leader="none" w:pos="2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civil, criminal and administrative penalties, damages and monetary fines;</w:t>
      </w:r>
    </w:p>
    <w:p>
      <w:pPr>
        <w:spacing w:after="0" w:line="65" w:lineRule="exact"/>
        <w:rPr>
          <w:rFonts w:ascii="Times New Roman" w:cs="Times New Roman" w:eastAsia="Times New Roman" w:hAnsi="Times New Roman"/>
          <w:sz w:val="14"/>
          <w:szCs w:val="14"/>
          <w:color w:val="auto"/>
        </w:rPr>
      </w:pPr>
    </w:p>
    <w:p>
      <w:pPr>
        <w:ind w:left="2760" w:right="1159" w:hanging="898"/>
        <w:spacing w:after="0" w:line="292" w:lineRule="auto"/>
        <w:tabs>
          <w:tab w:leader="none" w:pos="2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exclusion from participation in Medicare, Medicaid and other federal healthcare programs;</w:t>
      </w:r>
    </w:p>
    <w:p>
      <w:pPr>
        <w:spacing w:after="0" w:line="37"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damages;</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harm;</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diminished potential profits and future earnings; and</w:t>
      </w:r>
    </w:p>
    <w:p>
      <w:pPr>
        <w:spacing w:after="0" w:line="96" w:lineRule="exact"/>
        <w:rPr>
          <w:rFonts w:ascii="Times New Roman" w:cs="Times New Roman" w:eastAsia="Times New Roman" w:hAnsi="Times New Roman"/>
          <w:sz w:val="14"/>
          <w:szCs w:val="14"/>
          <w:color w:val="auto"/>
        </w:rPr>
      </w:pPr>
    </w:p>
    <w:p>
      <w:pPr>
        <w:ind w:left="2760" w:hanging="898"/>
        <w:spacing w:after="0"/>
        <w:tabs>
          <w:tab w:leader="none" w:pos="2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curtailment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-992505</wp:posOffset>
            </wp:positionV>
            <wp:extent cx="5584190" cy="3071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84190" cy="3071495"/>
                    </a:xfrm>
                    <a:prstGeom prst="rect">
                      <a:avLst/>
                    </a:prstGeom>
                    <a:noFill/>
                  </pic:spPr>
                </pic:pic>
              </a:graphicData>
            </a:graphic>
          </wp:anchor>
        </w:drawing>
      </w:r>
    </w:p>
    <w:p>
      <w:pPr>
        <w:spacing w:after="0" w:line="73" w:lineRule="exact"/>
        <w:rPr>
          <w:sz w:val="20"/>
          <w:szCs w:val="20"/>
          <w:color w:val="auto"/>
        </w:rPr>
      </w:pPr>
    </w:p>
    <w:p>
      <w:pPr>
        <w:ind w:left="960" w:right="10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Failure to maintain effective internal controls in accordance with Section 404 of the Sarbanes-Oxley Act of 2002 could have a material adverse effect on our business and stock price.</w:t>
      </w:r>
    </w:p>
    <w:p>
      <w:pPr>
        <w:spacing w:after="0" w:line="120"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 As described further below, we identified a material weakness in our internal control over financial reporting that existed as of September 30, 2025, which we remediated as of December 31, 2025. However, in the future,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59" w:firstLine="902"/>
        <w:spacing w:after="0" w:line="265" w:lineRule="auto"/>
        <w:rPr>
          <w:sz w:val="20"/>
          <w:szCs w:val="20"/>
          <w:color w:val="auto"/>
        </w:rPr>
      </w:pPr>
      <w:r>
        <w:rPr>
          <w:rFonts w:ascii="Times New Roman" w:cs="Times New Roman" w:eastAsia="Times New Roman" w:hAnsi="Times New Roman"/>
          <w:sz w:val="14"/>
          <w:szCs w:val="14"/>
          <w:color w:val="auto"/>
        </w:rPr>
        <w:t>The requirements of Section 404 are ongoing and also apply to future years. We expect that our internal control over financial reporting will continue to evolve as our business develops, including in connection with our commercialization of RYTELO. Although we are committed to continue to improve our internal control processes and we will continue to review our internal control over financial reporting, any control system, regardless of how well designed, operated and evaluated, can provide only reasonable, not absolute, assurance that its objectives will be met. .</w:t>
      </w:r>
    </w:p>
    <w:p>
      <w:pPr>
        <w:spacing w:after="0" w:line="142"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Therefore, we cannot assure you that additional material weaknesses or significant deficiencies will not exist or otherwise be discovered in the future, particularly in light of our increased reliance on personnel working remotely. If material weaknesses or other significant deficiencies continue to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spacing w:after="0" w:line="138" w:lineRule="exact"/>
        <w:rPr>
          <w:sz w:val="20"/>
          <w:szCs w:val="20"/>
          <w:color w:val="auto"/>
        </w:rPr>
      </w:pPr>
    </w:p>
    <w:p>
      <w:pPr>
        <w:ind w:left="960" w:right="9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previously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39" w:lineRule="exact"/>
        <w:rPr>
          <w:sz w:val="20"/>
          <w:szCs w:val="20"/>
          <w:color w:val="auto"/>
        </w:rPr>
      </w:pPr>
    </w:p>
    <w:p>
      <w:pPr>
        <w:ind w:left="960" w:right="959" w:firstLine="902"/>
        <w:spacing w:after="0" w:line="258"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previously identified a material weakness in internal control related to the design and operation of certain Information Technology General Controls, or ITGCs, related to user access and program change management for our Enterprise Resource Planning and payment processing systems. Consequently, IT application controls and IT dependent manual business process controls that rely upon information from these systems, were also deemed ineffective. Although the material weakness identified did not result in any material misstatements in our consolidated financial statements for the periods presented in this Report and there were otherwise no changes to our previously issued financial statements, our management concluded that these control deficiencies existed as of September 30, 2025 and constitute a material weakness. Accordingly, our internal control over financial reporting and our disclosure controls and procedures were not effective as of September 30, 2025. While we subsequently remediated this material weakness as of December 31, 2025, we cannot assure you that there will not be material weaknesses or significant deficiencies in our internal control over financial reporting in the future. Our failure to implement and maintain effective internal control over financial reporting could result in errors in our consolidated financial statements that could result in a restatement of our previously issued financial statements and could cause us to fail to meet our periodic reporting obligations, any of which could diminish investor confidence in us and cause a decline in the price of our common stock</w:t>
      </w:r>
    </w:p>
    <w:p>
      <w:pPr>
        <w:spacing w:after="0" w:line="309" w:lineRule="exact"/>
        <w:rPr>
          <w:sz w:val="20"/>
          <w:szCs w:val="20"/>
          <w:color w:val="auto"/>
        </w:rPr>
      </w:pPr>
    </w:p>
    <w:p>
      <w:pPr>
        <w:ind w:left="960" w:right="10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20"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 In addition, the U.S. government recently enacted legislation commonly referred to as the One Big Beautiful Bill Act,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 Changes in tax reform legislation could have a material impact on the value of our deferred tax assets, could result in significant one-time charges, and could increase our future United States tax expense.</w:t>
      </w:r>
    </w:p>
    <w:p>
      <w:pPr>
        <w:spacing w:after="0" w:line="3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may be limited.</w:t>
      </w:r>
    </w:p>
    <w:p>
      <w:pPr>
        <w:spacing w:after="0" w:line="187" w:lineRule="exact"/>
        <w:rPr>
          <w:sz w:val="20"/>
          <w:szCs w:val="20"/>
          <w:color w:val="auto"/>
        </w:rPr>
      </w:pPr>
    </w:p>
    <w:p>
      <w:pPr>
        <w:ind w:left="960" w:right="1039" w:firstLine="902"/>
        <w:spacing w:after="0" w:line="292" w:lineRule="auto"/>
        <w:rPr>
          <w:sz w:val="20"/>
          <w:szCs w:val="20"/>
          <w:color w:val="auto"/>
        </w:rPr>
      </w:pPr>
      <w:r>
        <w:rPr>
          <w:rFonts w:ascii="Times New Roman" w:cs="Times New Roman" w:eastAsia="Times New Roman" w:hAnsi="Times New Roman"/>
          <w:sz w:val="14"/>
          <w:szCs w:val="14"/>
          <w:color w:val="auto"/>
        </w:rPr>
        <w:t>Our net operating loss carryforwards attributable to tax years beginning before January 1, 2018 could expire unused and be unavailable to offset future income tax liabilities. In addition, federal net operating losses incurred in</w:t>
      </w:r>
    </w:p>
    <w:p>
      <w:pPr>
        <w:sectPr>
          <w:pgSz w:w="11900" w:h="16838" w:orient="portrait"/>
          <w:cols w:equalWidth="0" w:num="1">
            <w:col w:w="9019"/>
          </w:cols>
          <w:pgMar w:left="1440" w:top="114" w:right="1440" w:bottom="29"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984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84190" cy="98425"/>
                    </a:xfrm>
                    <a:prstGeom prst="rect">
                      <a:avLst/>
                    </a:prstGeom>
                    <a:noFill/>
                  </pic:spPr>
                </pic:pic>
              </a:graphicData>
            </a:graphic>
          </wp:anchor>
        </w:drawing>
      </w:r>
    </w:p>
    <w:p>
      <w:pPr>
        <w:sectPr>
          <w:pgSz w:w="11900" w:h="16838" w:orient="portrait"/>
          <w:cols w:equalWidth="0" w:num="1">
            <w:col w:w="9019"/>
          </w:cols>
          <w:pgMar w:left="1440" w:top="114" w:right="1440" w:bottom="29" w:gutter="0" w:footer="0" w:header="0"/>
          <w:type w:val="continuous"/>
        </w:sectPr>
      </w:pPr>
    </w:p>
    <w:bookmarkStart w:id="54" w:name="page55"/>
    <w:bookmarkEnd w:id="54"/>
    <w:p>
      <w:pPr>
        <w:ind w:left="9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1158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4190" cy="7115810"/>
                    </a:xfrm>
                    <a:prstGeom prst="rect">
                      <a:avLst/>
                    </a:prstGeom>
                    <a:noFill/>
                  </pic:spPr>
                </pic:pic>
              </a:graphicData>
            </a:graphic>
          </wp:anchor>
        </w:drawing>
        <w:t>Table of Contents</w:t>
      </w:r>
    </w:p>
    <w:p>
      <w:pPr>
        <w:spacing w:after="0" w:line="290" w:lineRule="exact"/>
        <w:rPr>
          <w:sz w:val="20"/>
          <w:szCs w:val="20"/>
          <w:color w:val="auto"/>
        </w:rPr>
      </w:pPr>
    </w:p>
    <w:p>
      <w:pPr>
        <w:ind w:left="960" w:right="999"/>
        <w:spacing w:after="0" w:line="248" w:lineRule="auto"/>
        <w:rPr>
          <w:sz w:val="20"/>
          <w:szCs w:val="20"/>
          <w:color w:val="auto"/>
        </w:rPr>
      </w:pPr>
      <w:r>
        <w:rPr>
          <w:rFonts w:ascii="Times New Roman" w:cs="Times New Roman" w:eastAsia="Times New Roman" w:hAnsi="Times New Roman"/>
          <w:sz w:val="14"/>
          <w:szCs w:val="14"/>
          <w:color w:val="auto"/>
        </w:rPr>
        <w:t>taxable years beginning after December 31, 2017, can be carried forward indefinitely, but the deductibility of such federal net operating losses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have occurred in the past, and future ownership changes, some of which may be outside our control, could occur in the future, as a result of shifts in our stock ownership.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For example, in June 2024, California enacted legislation that, with certain exceptions, suspends the use of California net operating losses to offset California income and limits the use of California business tax credits to offset California taxes, for taxable years beginning after 2023 and before 2027.</w:t>
      </w:r>
    </w:p>
    <w:p>
      <w:pPr>
        <w:spacing w:after="0" w:line="3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87"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We operate in the biopharmaceutical sector, which is a highly regulated sector subject to various cybersecurity risks that could adversely affect our business, financial condition, and results of operations, including intellectual property theft; fraud; extortion; harm to employees or customers; disruption of our clinical trials, manufacturing or supply chain; violation of privacy laws and other litigation and legal risk; and reputational risk. We rely primarily on industry-leading third parties and a cloud-based infrastructure for our information technology systems, and accordingly are dependent on these third parties’ own cybersecurity risk management practices and strategy. 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clinical trial data, intellectual property, confidential information that is proprietary, strategic, financial or competitive in nature, and personal data (“Information Systems and Data”).</w:t>
      </w:r>
    </w:p>
    <w:p>
      <w:pPr>
        <w:spacing w:after="0" w:line="146"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We take a risk-based approach to identify and assess the cybersecurity threats and risks that could affect our business and Information Systems and Data. Our Information Technology personnel help identify, assess and manage our cybersecurity threats and risks, and support our efforts to identify and assess risks from cybersecurity threats by monitoring and evaluating our threat environment. We use various methods and tools to identify, assess and manage cybersecurity threats and risks, including, for example, automated tools, a third-party managed detection and response firm to monitor security alerts on a 24-hour basis, industry reports, engaging a virtual Chief Information Security Officer, third party threat assessments and penetration testing. In addition, we encrypt data at rest and maintain network security controls, such as firewalls and virtual private networks. We also conduct computerized system monitoring and access control, including asset management, tracking and disposal associated with onboarding and offboarding of personnel. We maintain cybersecurity insurance.</w:t>
      </w:r>
    </w:p>
    <w:p>
      <w:pPr>
        <w:spacing w:after="0" w:line="146" w:lineRule="exact"/>
        <w:rPr>
          <w:sz w:val="20"/>
          <w:szCs w:val="20"/>
          <w:color w:val="auto"/>
        </w:rPr>
      </w:pPr>
    </w:p>
    <w:p>
      <w:pPr>
        <w:ind w:left="960" w:right="1019" w:firstLine="902"/>
        <w:spacing w:after="0" w:line="259" w:lineRule="auto"/>
        <w:rPr>
          <w:sz w:val="20"/>
          <w:szCs w:val="20"/>
          <w:color w:val="auto"/>
        </w:rPr>
      </w:pPr>
      <w:r>
        <w:rPr>
          <w:rFonts w:ascii="Times New Roman" w:cs="Times New Roman" w:eastAsia="Times New Roman" w:hAnsi="Times New Roman"/>
          <w:sz w:val="14"/>
          <w:szCs w:val="14"/>
          <w:color w:val="auto"/>
        </w:rPr>
        <w:t>Depending on the environment, we implement and maintain various technical, physical, and organizational measures, processes, standards and policies designed to manage and mitigate material risks from cybersecurity threats to our Information Systems and Data. For example, in 2025, we expanded our monitoring capabilities by engaging with a managed detection and response firm to monitor and respond to security alerts on a 24-hour, seven-day-a-week basis. We have implemented and maintain an incident response plan, and we utilize automated tools designed to maintain email security. We have also implemented a computerized system security and password policy that defines security for access to computer systems managed and controlled by us, and a procedure for computerized system incident management to address any unplanned issues in regulated computerized systems that could impact subject safety, product quality, and data integrity. We further protect access by monitoring risk-based sign-in attempts, and require stronger authentication (e.g., multi-factor authentication) based on defined policies. We periodically conduct cybersecurity incident tabletop training exercises involving our personnel and plan to continue conducting similar training exercises in 2026.</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337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84190" cy="33375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Our assessment and management of material risks from cybersecurity threats are integrated into our overall risk management processes. For example, our head of Information Technology evaluates material risks from cybersecurity threats and reports periodically to the Audit Committee of our Board, which evaluates our overall enterprise risk. We use third-party service providers to assist us from time to time to identify, assess, and manage material risks from cybersecurity threats, including, for example, cybersecurity software providers such as our managed detection and response firm, cybersecurity service providers, penetration testing firms, auditors, and professional services firms, such as our virtual Chief Information Security Officer, including legal counsel. These relationships enable us to leverage specialized knowledge and insights, enabling our cybersecurity strategies and processes to remain consistent with industry best practices.</w:t>
      </w:r>
    </w:p>
    <w:p>
      <w:pPr>
        <w:spacing w:after="0" w:line="318" w:lineRule="exact"/>
        <w:rPr>
          <w:sz w:val="20"/>
          <w:szCs w:val="20"/>
          <w:color w:val="auto"/>
        </w:rPr>
      </w:pPr>
    </w:p>
    <w:p>
      <w:pPr>
        <w:ind w:left="960" w:right="1019" w:firstLine="902"/>
        <w:spacing w:after="0" w:line="260" w:lineRule="auto"/>
        <w:rPr>
          <w:sz w:val="20"/>
          <w:szCs w:val="20"/>
          <w:color w:val="auto"/>
        </w:rPr>
      </w:pPr>
      <w:r>
        <w:rPr>
          <w:rFonts w:ascii="Times New Roman" w:cs="Times New Roman" w:eastAsia="Times New Roman" w:hAnsi="Times New Roman"/>
          <w:sz w:val="14"/>
          <w:szCs w:val="14"/>
          <w:color w:val="auto"/>
        </w:rPr>
        <w:t>We rely on third-party service providers to perform a variety of functions throughout our business, such as contract manufacturing organizations, contract research organizations, suppliers and consultants, and third party logistics organizations and distributors to distribute RYTELO. We conduct quality and cyber audits of regulated vendors, which typically include an assessment of such vendor’s information technology systems, checks for recent cybersecurity incidents, analyzing potential vulnerabilities associated with such vendor's externally facing infrastructure, and the cybersecurity controls they have in place to protect the Company's data, and we impose appropriate contractual obligations on vendors pertaining to information security. Depending on the nature of the services provided, the sensitivity of the Information Systems and Data at issue, and the identity of the provider, our efforts may involve different levels of assessment designed to help identify cybersecurity risks associated with a provider and impose contractual obligations related to cybersecurity on the provider.</w:t>
      </w:r>
    </w:p>
    <w:p>
      <w:pPr>
        <w:spacing w:after="0" w:line="146" w:lineRule="exact"/>
        <w:rPr>
          <w:sz w:val="20"/>
          <w:szCs w:val="20"/>
          <w:color w:val="auto"/>
        </w:rPr>
      </w:pPr>
    </w:p>
    <w:p>
      <w:pPr>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For a description of the risks from cybersecurity threats that may materially affect us and how they may do so, see our risk factors under Part 1. Item 1A. Risk Factors in this Report, including “</w:t>
      </w:r>
      <w:r>
        <w:rPr>
          <w:rFonts w:ascii="Times New Roman" w:cs="Times New Roman" w:eastAsia="Times New Roman" w:hAnsi="Times New Roman"/>
          <w:sz w:val="14"/>
          <w:szCs w:val="14"/>
          <w:i w:val="1"/>
          <w:iCs w:val="1"/>
          <w:color w:val="auto"/>
        </w:rPr>
        <w:t>Risks Related to Information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Technology Systems, Data Security and Data Privacy</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57" w:right="1440" w:bottom="0" w:gutter="0" w:footer="0" w:header="0"/>
        </w:sectPr>
      </w:pPr>
    </w:p>
    <w:p>
      <w:pPr>
        <w:spacing w:after="0" w:line="13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ectPr>
          <w:pgSz w:w="11900" w:h="16838" w:orient="portrait"/>
          <w:cols w:equalWidth="0" w:num="1">
            <w:col w:w="9019"/>
          </w:cols>
          <w:pgMar w:left="1440" w:top="157" w:right="1440" w:bottom="0" w:gutter="0" w:footer="0" w:header="0"/>
          <w:type w:val="continuous"/>
        </w:sectPr>
      </w:pPr>
    </w:p>
    <w:bookmarkStart w:id="55" w:name="page56"/>
    <w:bookmarkEnd w:id="55"/>
    <w:p>
      <w:pPr>
        <w:ind w:left="960" w:right="1139" w:firstLine="902"/>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8760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84190" cy="3876040"/>
                    </a:xfrm>
                    <a:prstGeom prst="rect">
                      <a:avLst/>
                    </a:prstGeom>
                    <a:noFill/>
                  </pic:spPr>
                </pic:pic>
              </a:graphicData>
            </a:graphic>
          </wp:anchor>
        </w:drawing>
        <w:t>Our Board of Directors addresses our cybersecurity risk management as part of its general oversight function. The Audit Committee of our Board is responsible for overseeing our cybersecurity risk management processes, including oversight and mitigation of risks from cybersecurity threats.</w:t>
      </w:r>
    </w:p>
    <w:p>
      <w:pPr>
        <w:spacing w:after="0" w:line="136" w:lineRule="exact"/>
        <w:rPr>
          <w:sz w:val="20"/>
          <w:szCs w:val="20"/>
          <w:color w:val="auto"/>
        </w:rPr>
      </w:pPr>
    </w:p>
    <w:p>
      <w:pPr>
        <w:ind w:left="960" w:right="1039" w:firstLine="902"/>
        <w:spacing w:after="0" w:line="268" w:lineRule="auto"/>
        <w:rPr>
          <w:sz w:val="20"/>
          <w:szCs w:val="20"/>
          <w:color w:val="auto"/>
        </w:rPr>
      </w:pPr>
      <w:r>
        <w:rPr>
          <w:rFonts w:ascii="Times New Roman" w:cs="Times New Roman" w:eastAsia="Times New Roman" w:hAnsi="Times New Roman"/>
          <w:sz w:val="14"/>
          <w:szCs w:val="14"/>
          <w:color w:val="auto"/>
        </w:rPr>
        <w:t>Our Audit Committee, as well as our Chief Financial Officer and other members of our executive management as appropriate, receives periodic reports from our head of Information Technology concerning our significant cybersecurity threats and risks and the processes we have implemented to address them. The Audit Committee also receives various periodic presentations related to cybersecurity threats, risk and mitigation.</w:t>
      </w:r>
    </w:p>
    <w:p>
      <w:pPr>
        <w:spacing w:after="0" w:line="13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Personnel</w:t>
      </w:r>
    </w:p>
    <w:p>
      <w:pPr>
        <w:spacing w:after="0" w:line="187" w:lineRule="exact"/>
        <w:rPr>
          <w:sz w:val="20"/>
          <w:szCs w:val="20"/>
          <w:color w:val="auto"/>
        </w:rPr>
      </w:pPr>
    </w:p>
    <w:p>
      <w:pPr>
        <w:ind w:left="960" w:right="1059" w:firstLine="902"/>
        <w:spacing w:after="0" w:line="262" w:lineRule="auto"/>
        <w:rPr>
          <w:sz w:val="20"/>
          <w:szCs w:val="20"/>
          <w:color w:val="auto"/>
        </w:rPr>
      </w:pPr>
      <w:r>
        <w:rPr>
          <w:rFonts w:ascii="Times New Roman" w:cs="Times New Roman" w:eastAsia="Times New Roman" w:hAnsi="Times New Roman"/>
          <w:sz w:val="14"/>
          <w:szCs w:val="14"/>
          <w:color w:val="auto"/>
        </w:rPr>
        <w:t>Our Information Technology personnel responsible for cybersecurity risk assessment and management processes are managed by certain members of our executive management, including our Chief Financial Officer. Together with our executive management, our Information Technology personnel are responsible for helping to integrate cybersecurity risk considerations into our overall risk management strategy, and communicating key priorities to relevant personnel. We believe these Information Technology personnel have the skills appropriate to help us prepare for cybersecurity incidents, approve cybersecurity processes, and review security assessments and other security-related reports.</w:t>
      </w:r>
    </w:p>
    <w:p>
      <w:pPr>
        <w:spacing w:after="0" w:line="320"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Our cybersecurity incident response plan is designed to escalate certain cybersecurity incidents to members of management depending on the circumstances, including executive management. When appropriate given the nature of any potential cybersecurity incident, our executive management works with our incident response team to help us mitigate and remediate cybersecurity incidents of which they are notified, and to make any legally required notifications to individuals or regulatory agencies, including making any required disclosures under the Exchange Act.</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5" w:lineRule="exact"/>
        <w:rPr>
          <w:sz w:val="20"/>
          <w:szCs w:val="20"/>
          <w:color w:val="auto"/>
        </w:rPr>
      </w:pPr>
    </w:p>
    <w:p>
      <w:pPr>
        <w:ind w:left="960" w:right="1139" w:firstLine="902"/>
        <w:spacing w:after="0" w:line="277" w:lineRule="auto"/>
        <w:rPr>
          <w:sz w:val="20"/>
          <w:szCs w:val="20"/>
          <w:color w:val="auto"/>
        </w:rPr>
      </w:pPr>
      <w:r>
        <w:rPr>
          <w:rFonts w:ascii="Times New Roman" w:cs="Times New Roman" w:eastAsia="Times New Roman" w:hAnsi="Times New Roman"/>
          <w:sz w:val="14"/>
          <w:szCs w:val="14"/>
          <w:color w:val="auto"/>
        </w:rPr>
        <w:t>In April 2019, we entered into an operating lease agreement for office space located at 3 Sylvan Way, Parsippany, New Jersey, or the New Jersey Lease. The initial term of the New Jersey Lease is 11 years with an option to extend for an additional five years and a one-time option to terminate the New Jersey Lease without cause as of the 103</w:t>
      </w:r>
      <w:r>
        <w:rPr>
          <w:rFonts w:ascii="Times New Roman" w:cs="Times New Roman" w:eastAsia="Times New Roman" w:hAnsi="Times New Roman"/>
          <w:sz w:val="18"/>
          <w:szCs w:val="18"/>
          <w:color w:val="auto"/>
          <w:vertAlign w:val="superscript"/>
        </w:rPr>
        <w:t>rd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65766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84190" cy="65766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139"/>
        <w:spacing w:after="0" w:line="292" w:lineRule="auto"/>
        <w:rPr>
          <w:sz w:val="20"/>
          <w:szCs w:val="20"/>
          <w:color w:val="auto"/>
        </w:rPr>
      </w:pPr>
      <w:r>
        <w:rPr>
          <w:rFonts w:ascii="Times New Roman" w:cs="Times New Roman" w:eastAsia="Times New Roman" w:hAnsi="Times New Roman"/>
          <w:sz w:val="14"/>
          <w:szCs w:val="14"/>
          <w:color w:val="auto"/>
        </w:rPr>
        <w:t>month anniversary of the commencement date of the lease. The New Jersey Lease commenced on October 1, 2019, upon our control of the office space on that date.</w:t>
      </w:r>
    </w:p>
    <w:p>
      <w:pPr>
        <w:spacing w:after="0" w:line="124" w:lineRule="exact"/>
        <w:rPr>
          <w:sz w:val="20"/>
          <w:szCs w:val="20"/>
          <w:color w:val="auto"/>
        </w:rPr>
      </w:pPr>
    </w:p>
    <w:p>
      <w:pPr>
        <w:ind w:left="960" w:right="1079" w:firstLine="902"/>
        <w:spacing w:after="0" w:line="268" w:lineRule="auto"/>
        <w:rPr>
          <w:sz w:val="20"/>
          <w:szCs w:val="20"/>
          <w:color w:val="auto"/>
        </w:rPr>
      </w:pPr>
      <w:r>
        <w:rPr>
          <w:rFonts w:ascii="Times New Roman" w:cs="Times New Roman" w:eastAsia="Times New Roman" w:hAnsi="Times New Roman"/>
          <w:sz w:val="14"/>
          <w:szCs w:val="14"/>
          <w:color w:val="auto"/>
        </w:rPr>
        <w:t>In October 2019, we entered into an operating lease agreement for office space located at 919 East Hillsdale Boulevard, Foster City, California, or the Foster City Lease. The initial term of the Foster City Lease is 87 months with an option to extend for an additional five years. The Foster City Lease commenced on March 10, 2020, upon our control of the office space on that date.</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5" w:lineRule="exact"/>
        <w:rPr>
          <w:sz w:val="20"/>
          <w:szCs w:val="20"/>
          <w:color w:val="auto"/>
        </w:rPr>
      </w:pPr>
    </w:p>
    <w:p>
      <w:pPr>
        <w:ind w:left="960" w:right="1259" w:firstLine="902"/>
        <w:spacing w:after="0" w:line="274" w:lineRule="auto"/>
        <w:rPr>
          <w:sz w:val="20"/>
          <w:szCs w:val="20"/>
          <w:color w:val="auto"/>
        </w:rPr>
      </w:pPr>
      <w:r>
        <w:rPr>
          <w:rFonts w:ascii="Times New Roman" w:cs="Times New Roman" w:eastAsia="Times New Roman" w:hAnsi="Times New Roman"/>
          <w:sz w:val="14"/>
          <w:szCs w:val="14"/>
          <w:color w:val="auto"/>
        </w:rPr>
        <w:t>The information required to be set forth under this Item 3 is incorporated by reference to Note 8, Commitments and Contingencies, of the Notes to Consolidated Financial Statements, included in Part II, Item 8 of this Report.</w:t>
      </w:r>
    </w:p>
    <w:p>
      <w:pPr>
        <w:spacing w:after="0" w:line="134" w:lineRule="exact"/>
        <w:rPr>
          <w:sz w:val="20"/>
          <w:szCs w:val="20"/>
          <w:color w:val="auto"/>
        </w:rPr>
      </w:pPr>
    </w:p>
    <w:p>
      <w:pPr>
        <w:jc w:val="center"/>
        <w:ind w:right="4499"/>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Not applicable.</w:t>
      </w:r>
    </w:p>
    <w:p>
      <w:pPr>
        <w:sectPr>
          <w:pgSz w:w="11900" w:h="16838" w:orient="portrait"/>
          <w:cols w:equalWidth="0" w:num="1">
            <w:col w:w="9019"/>
          </w:cols>
          <w:pgMar w:left="1440" w:top="146"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36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84190" cy="636905"/>
                    </a:xfrm>
                    <a:prstGeom prst="rect">
                      <a:avLst/>
                    </a:prstGeom>
                    <a:noFill/>
                  </pic:spPr>
                </pic:pic>
              </a:graphicData>
            </a:graphic>
          </wp:anchor>
        </w:drawing>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3" w:lineRule="exact"/>
        <w:rPr>
          <w:sz w:val="20"/>
          <w:szCs w:val="20"/>
          <w:color w:val="auto"/>
        </w:rPr>
      </w:pPr>
    </w:p>
    <w:p>
      <w:pPr>
        <w:ind w:left="960" w:right="1099"/>
        <w:spacing w:after="0" w:line="295" w:lineRule="auto"/>
        <w:rPr>
          <w:sz w:val="20"/>
          <w:szCs w:val="20"/>
          <w:color w:val="auto"/>
        </w:rPr>
      </w:pPr>
      <w:r>
        <w:rPr>
          <w:rFonts w:ascii="Times New Roman" w:cs="Times New Roman" w:eastAsia="Times New Roman" w:hAnsi="Times New Roman"/>
          <w:sz w:val="14"/>
          <w:szCs w:val="14"/>
          <w:b w:val="1"/>
          <w:bCs w:val="1"/>
          <w:color w:val="auto"/>
        </w:rPr>
        <w:t>ITEM 5. MARKET FOR THE REGISTRANT’S COMMON EQUITY, RELATED STOCKHOLDER MATTERS AND ISSUER PURCHASES OF EQUITY SECURITIES</w:t>
      </w:r>
    </w:p>
    <w:p>
      <w:pPr>
        <w:spacing w:after="0" w:line="1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99" w:lineRule="exact"/>
        <w:rPr>
          <w:sz w:val="20"/>
          <w:szCs w:val="20"/>
          <w:color w:val="auto"/>
        </w:rPr>
      </w:pPr>
    </w:p>
    <w:p>
      <w:pPr>
        <w:ind w:left="960" w:right="1339" w:firstLine="902"/>
        <w:spacing w:after="0" w:line="268"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GERN. As of February 20, 2026, there were approximately 411 stockholders of record of our common stock. This number does not include “street name” or beneficial holders, whose shares are held of record by banks, brokers and other financial institutions.</w:t>
      </w:r>
    </w:p>
    <w:p>
      <w:pPr>
        <w:spacing w:after="0" w:line="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85" w:lineRule="exact"/>
        <w:rPr>
          <w:sz w:val="20"/>
          <w:szCs w:val="20"/>
          <w:color w:val="auto"/>
        </w:rPr>
      </w:pPr>
    </w:p>
    <w:p>
      <w:pPr>
        <w:ind w:left="960" w:right="1259" w:firstLine="902"/>
        <w:spacing w:after="0" w:line="265" w:lineRule="auto"/>
        <w:rPr>
          <w:sz w:val="20"/>
          <w:szCs w:val="20"/>
          <w:color w:val="auto"/>
        </w:rPr>
      </w:pPr>
      <w:r>
        <w:rPr>
          <w:rFonts w:ascii="Times New Roman" w:cs="Times New Roman" w:eastAsia="Times New Roman" w:hAnsi="Times New Roman"/>
          <w:sz w:val="14"/>
          <w:szCs w:val="14"/>
          <w:color w:val="auto"/>
        </w:rPr>
        <w:t>The following graph shows a comparison from December 31, 2020 through December 31, 2025, of the cumulative total return on an assumed investment of $100.00 in cash in our common stock as compared to the same investment in the Nasdaq Composite Index and the Nasdaq Biotechnology Index. Such returns are based on historical results and are not intended to suggest future performance. Data for the Nasdaq Composite Index and Nasdaq Biotechnology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60" w:right="1179" w:firstLine="902"/>
        <w:spacing w:after="0" w:line="274" w:lineRule="auto"/>
        <w:rPr>
          <w:sz w:val="20"/>
          <w:szCs w:val="20"/>
          <w:color w:val="auto"/>
        </w:rPr>
      </w:pPr>
      <w:r>
        <w:rPr>
          <w:rFonts w:ascii="Times New Roman" w:cs="Times New Roman" w:eastAsia="Times New Roman" w:hAnsi="Times New Roman"/>
          <w:sz w:val="14"/>
          <w:szCs w:val="14"/>
          <w:color w:val="auto"/>
        </w:rPr>
        <w:t>This performance graph shall not be deemed “soliciting material” or to be “filed” with the SEC for purposes of Section 18 of the Exchange Act or incorporated by reference into any filing of Geron Corporation under the Securities Act or the Exchange Act, except to the extent we specifically incorporate it by reference into such filing.</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9"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We have never paid cash dividends on our capital stock and do not anticipate paying cash dividends in the foreseeable future, but intend to retain our capital resources for reinvestment in our business. In addition, the terms of our Pharmakon Loan Agreement restrict our ability to pay dividends and any future debt agreements may continue to or further restrict our ability to pay dividends. Any future determination to pay cash dividends will be at the discretion of the board of directors and will be dependent upon our financial condition, results of operations, capital requirements, compliance with the terms of our Pharmakon Loan Agreement or other future debt agreements, and other factors our board of directors deems relevant.</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9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During the year ended December 31, 2025, there were no unregistered sales of equity securities by us.</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2533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84190" cy="25330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ind w:left="960" w:right="1079"/>
        <w:spacing w:after="0" w:line="295" w:lineRule="auto"/>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22"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the section entitled “Business” in Part I, Item 1 and the audited financial statements and notes thereto included in Part II, Item 8 of this Report. The information provided should be reviewed in the context of the sections entitled “Risks Related to the Further Development of RYTELO (Imetelstat),” “Risks Related to the Commercialization of RYTELO” and “Risks Related to Regulatory Approval of RYTELO” in Part II, Item 1A entitled “Risk Factors” and elsewhere in this Report.</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Summary</w:t>
      </w:r>
    </w:p>
    <w:p>
      <w:pPr>
        <w:spacing w:after="0" w:line="187" w:lineRule="exact"/>
        <w:rPr>
          <w:sz w:val="20"/>
          <w:szCs w:val="20"/>
          <w:color w:val="auto"/>
        </w:rPr>
      </w:pPr>
    </w:p>
    <w:p>
      <w:pPr>
        <w:ind w:left="960" w:right="1079" w:firstLine="902"/>
        <w:spacing w:after="0" w:line="247" w:lineRule="auto"/>
        <w:rPr>
          <w:sz w:val="20"/>
          <w:szCs w:val="20"/>
          <w:color w:val="auto"/>
        </w:rPr>
      </w:pPr>
      <w:r>
        <w:rPr>
          <w:rFonts w:ascii="Times New Roman" w:cs="Times New Roman" w:eastAsia="Times New Roman" w:hAnsi="Times New Roman"/>
          <w:sz w:val="14"/>
          <w:szCs w:val="14"/>
          <w:color w:val="auto"/>
        </w:rPr>
        <w:t xml:space="preserve">We are a commercial-stage biopharmaceutical company aiming to change lives by changing the course of blood cancer. Our first-in-class telomerase inhibitor, RYTELO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(imetelstat), harnesses Nobel Prize 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w:t>
      </w:r>
    </w:p>
    <w:p>
      <w:pPr>
        <w:sectPr>
          <w:pgSz w:w="11900" w:h="16838" w:orient="portrait"/>
          <w:cols w:equalWidth="0" w:num="1">
            <w:col w:w="9019"/>
          </w:cols>
          <w:pgMar w:left="1440" w:top="780" w:right="1440" w:bottom="0" w:gutter="0" w:footer="0" w:header="0"/>
        </w:sectPr>
      </w:pPr>
    </w:p>
    <w:bookmarkStart w:id="57" w:name="page58"/>
    <w:bookmarkEnd w:id="57"/>
    <w:p>
      <w:pPr>
        <w:spacing w:after="0" w:line="51" w:lineRule="exact"/>
        <w:rPr>
          <w:sz w:val="20"/>
          <w:szCs w:val="20"/>
          <w:color w:val="auto"/>
        </w:rPr>
      </w:pPr>
    </w:p>
    <w:p>
      <w:pPr>
        <w:ind w:left="960" w:right="1039" w:firstLine="902"/>
        <w:spacing w:after="0" w:line="209" w:lineRule="auto"/>
        <w:rPr>
          <w:sz w:val="20"/>
          <w:szCs w:val="20"/>
          <w:color w:val="auto"/>
        </w:rPr>
      </w:pPr>
      <w:r>
        <w:rPr>
          <w:rFonts w:ascii="Times New Roman" w:cs="Times New Roman" w:eastAsia="Times New Roman" w:hAnsi="Times New Roman"/>
          <w:sz w:val="14"/>
          <w:szCs w:val="14"/>
          <w:color w:val="auto"/>
        </w:rPr>
        <w:t>We commercially launched RYTELO in the U.S. in June 2024 following its approval by the U.S. Food and Drug Administration, or FDA on June 6, 2024 for the treatment of adult patients with low- to intermediate-1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-161925</wp:posOffset>
            </wp:positionV>
            <wp:extent cx="5584190" cy="46812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84190" cy="4681220"/>
                    </a:xfrm>
                    <a:prstGeom prst="rect">
                      <a:avLst/>
                    </a:prstGeom>
                    <a:noFill/>
                  </pic:spPr>
                </pic:pic>
              </a:graphicData>
            </a:graphic>
          </wp:anchor>
        </w:drawing>
      </w:r>
    </w:p>
    <w:p>
      <w:pPr>
        <w:ind w:left="960" w:right="1079"/>
        <w:spacing w:after="0" w:line="249" w:lineRule="auto"/>
        <w:rPr>
          <w:sz w:val="20"/>
          <w:szCs w:val="20"/>
          <w:color w:val="auto"/>
        </w:rPr>
      </w:pPr>
      <w:r>
        <w:rPr>
          <w:rFonts w:ascii="Times New Roman" w:cs="Times New Roman" w:eastAsia="Times New Roman" w:hAnsi="Times New Roman"/>
          <w:sz w:val="14"/>
          <w:szCs w:val="14"/>
          <w:color w:val="auto"/>
        </w:rPr>
        <w:t>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We believe that the high unmet need in lower-risk MDS and significant product differentiation, including observed benefit of RYTELO in difficult-to-treat sub-populations such as patients with high transfusion burden and ring sideroblast negative, or RS- patients, as well as the favorable FDA label and the National Comprehensive Cancer Network, or NCCN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Clinical Practice Guidelines in Oncology, or NCCN Guidelines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position RYTELO to potentially compete for significant market segments in lower-risk MDS.</w:t>
      </w:r>
    </w:p>
    <w:p>
      <w:pPr>
        <w:spacing w:after="0" w:line="154"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In March 2025, we were granted marketing authorization by the European Commission, or EC, for RYTELO as a monotherapy for the treatment of adult patients with TD anemia due to very low, low or intermediate risk myelodysplastic syndromes without an isolated deletion 5q cytogenetic, or non-del 5q, abnormality and who had an unsatisfactory response to or are ineligible for erythropoietin-based therapy. We are preparing for the planned commercialization of RYTELO in select EU markets in 2026. At this time, we do not plan to commercialize RYTELO independently in the EU (or in any other regions outside of the U.S. where RYTELO may be approved for marketing in the future). Accordingly, we plan to work with experienced third parties for the commercialization and marketing of RYTELO in the EU, including on critical path activities for the planned launch of RYTELO in the EU, such as reimbursement, Health Technology Assessment, or HTA, submissions, market access and distribution. To enable paid access to patients outside the U.S. through approved Named Patient Programs, or NPPs, in 2025 we partnered with Tanner Pharma, a distributor with broad global reach to support patient access. To date, product revenue pursuant to NPPs have been minimal.</w:t>
      </w:r>
    </w:p>
    <w:p>
      <w:pPr>
        <w:spacing w:after="0" w:line="323" w:lineRule="exact"/>
        <w:rPr>
          <w:sz w:val="20"/>
          <w:szCs w:val="20"/>
          <w:color w:val="auto"/>
        </w:rPr>
      </w:pPr>
    </w:p>
    <w:p>
      <w:pPr>
        <w:ind w:left="960" w:right="979" w:firstLine="902"/>
        <w:spacing w:after="0" w:line="262" w:lineRule="auto"/>
        <w:rPr>
          <w:sz w:val="20"/>
          <w:szCs w:val="20"/>
          <w:color w:val="auto"/>
        </w:rPr>
      </w:pPr>
      <w:r>
        <w:rPr>
          <w:rFonts w:ascii="Times New Roman" w:cs="Times New Roman" w:eastAsia="Times New Roman" w:hAnsi="Times New Roman"/>
          <w:sz w:val="14"/>
          <w:szCs w:val="14"/>
          <w:color w:val="auto"/>
        </w:rPr>
        <w:t>In addition to lower-risk MDS, we are developing imetelstat for the treatment of other myeloid hematologic malignancies. Our Phase 3 IMpactMF clinical trial is evaluating imetelstat in patients with intermediate-2 or high-risk myelofibrosis, or MF, who have relapsed after or are refractory to treatment with a janus associate kinase inhibitor, or JAK inhibitor, or relapsed/refractory MF, or R/R MF, with overall survival, or OS, as the primary endpoint. As of September 2025, the trial was fully enrolled. Based on our current planning assumptions for event (death) rates in the trial, we expect the interim analysis for OS in IMpactMF may occur in the second half of 2026 and the final analysis may occur in the second half of 2028.</w:t>
      </w:r>
    </w:p>
    <w:p>
      <w:pPr>
        <w:spacing w:after="0" w:line="144" w:lineRule="exact"/>
        <w:rPr>
          <w:sz w:val="20"/>
          <w:szCs w:val="20"/>
          <w:color w:val="auto"/>
        </w:rPr>
      </w:pPr>
    </w:p>
    <w:p>
      <w:pPr>
        <w:ind w:left="960" w:right="1119" w:firstLine="902"/>
        <w:spacing w:after="0" w:line="292" w:lineRule="auto"/>
        <w:rPr>
          <w:sz w:val="20"/>
          <w:szCs w:val="20"/>
          <w:color w:val="auto"/>
        </w:rPr>
      </w:pPr>
      <w:r>
        <w:rPr>
          <w:rFonts w:ascii="Times New Roman" w:cs="Times New Roman" w:eastAsia="Times New Roman" w:hAnsi="Times New Roman"/>
          <w:sz w:val="14"/>
          <w:szCs w:val="14"/>
          <w:color w:val="auto"/>
        </w:rPr>
        <w:t>We believe that telomerase inhibition with imetelstat represents a novel mechanism of action with unique benefits in hematologic malignancies and potentially in other tumor types.</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Financial Overview</w:t>
      </w:r>
    </w:p>
    <w:p>
      <w:pPr>
        <w:spacing w:after="0" w:line="99" w:lineRule="exact"/>
        <w:rPr>
          <w:sz w:val="20"/>
          <w:szCs w:val="20"/>
          <w:color w:val="auto"/>
        </w:rPr>
      </w:pPr>
    </w:p>
    <w:p>
      <w:pPr>
        <w:ind w:left="960" w:right="1119" w:firstLine="902"/>
        <w:spacing w:after="0" w:line="292" w:lineRule="auto"/>
        <w:rPr>
          <w:sz w:val="20"/>
          <w:szCs w:val="20"/>
          <w:color w:val="auto"/>
        </w:rPr>
      </w:pPr>
      <w:r>
        <w:rPr>
          <w:rFonts w:ascii="Times New Roman" w:cs="Times New Roman" w:eastAsia="Times New Roman" w:hAnsi="Times New Roman"/>
          <w:sz w:val="14"/>
          <w:szCs w:val="14"/>
          <w:color w:val="auto"/>
        </w:rPr>
        <w:t>Since our inception, we have financed our operations primarily through the sale of equity securities, draw downs on our debt facilities, cash generated from sales of RYTELO, interest income on our marketable securities,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7721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84190" cy="57721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039"/>
        <w:spacing w:after="0" w:line="274" w:lineRule="auto"/>
        <w:rPr>
          <w:sz w:val="20"/>
          <w:szCs w:val="20"/>
          <w:color w:val="auto"/>
        </w:rPr>
      </w:pPr>
      <w:r>
        <w:rPr>
          <w:rFonts w:ascii="Times New Roman" w:cs="Times New Roman" w:eastAsia="Times New Roman" w:hAnsi="Times New Roman"/>
          <w:sz w:val="14"/>
          <w:szCs w:val="14"/>
          <w:color w:val="auto"/>
        </w:rPr>
        <w:t>payments we received under the Royalty Pharma Agreement and our prior collaborative and licensing arrangements. As of December 31, 2025, we had approximately $401.1 million in cash, cash equivalents, restricted cash and marketable securities.</w:t>
      </w:r>
    </w:p>
    <w:p>
      <w:pPr>
        <w:spacing w:after="0" w:line="136"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We began commercializing RYTELO in June 2024, and the commercial potential of and our ability to successfully commercialize RYTELO remains unproven. Our success in commercializing RYTELO will require, among other things, effective sales, marketing, manufacturing, distribution, information systems and pricing strategies, as well as compliance with applicable laws and regulations. Prior to our commercialization of RYTELO, substantially all of our revenues were generated from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December 31, 2025, we had an accumulated deficit of approximately $1.9 billion.</w:t>
      </w:r>
    </w:p>
    <w:p>
      <w:pPr>
        <w:spacing w:after="0" w:line="14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On November 1, 2024, we entered into a loan agreement, or the Pharmakon Loan Agreement, with</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BioPharma Credit Investments V (Master) LP and BPCR Limited Partnership, each, a Lender, which are investment funds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managed by Pharmakon Advisors, LP, and BioPharma Credit PLC, as collateral agent, that provides for a 5-year senior</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secured term loan facility of up to $250.0 million, divided into three committed tranches: (i) a Tranche A Loan in an</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aggregate principal amount of $125.0 million, or the Tranche A Loan, which was funded on November 1, 2024, or the</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Tranche A Closing Date; (ii) a Tranche B Loan in an aggregate principal amount of $75.0 million, or the Tranche B Loan,</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which is available, subject to certain limited conditions, at our option; and (iii) a Tranche C Loan in an aggregate principal</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amount of $50.0 million, or the Tranche C Loan, and together with the Tranche A Loan and the Tranche B Loan,</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collectively, the Term Loans, which is available to us upon reaching a specified trailing twelve-month RYTELO revenue</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milestone. The Tranche B Loan and the Tranche C Loan, once available, could have been requested on or prior to</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December 31, 2025. A portion of the proceeds from the Tranche A Loan were used to repay, in full, all amounts owed</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($86.5 million) under the Hercules Loan Agreement, which was terminated effective November 1, 2024. The Term Loans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mature on November 1, 2029. The Term Loans bear interest at a variable rate per annum equal to 5.75% plus the three-</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month Secured Overnight Financing Rate, or SOFR, with a SOFR floor of 3.00%. See Note 10 on Debt in Notes to</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Consolidated Financial Statements of this Report for additional information on the Pharmakon Loan Agreement.</w:t>
      </w:r>
    </w:p>
    <w:p>
      <w:pPr>
        <w:spacing w:after="0" w:line="169" w:lineRule="exact"/>
        <w:rPr>
          <w:sz w:val="20"/>
          <w:szCs w:val="20"/>
          <w:color w:val="auto"/>
        </w:rPr>
      </w:pPr>
    </w:p>
    <w:p>
      <w:pPr>
        <w:ind w:left="960" w:right="1019" w:firstLine="902"/>
        <w:spacing w:after="0" w:line="260" w:lineRule="auto"/>
        <w:rPr>
          <w:sz w:val="20"/>
          <w:szCs w:val="20"/>
          <w:color w:val="auto"/>
        </w:rPr>
      </w:pPr>
      <w:r>
        <w:rPr>
          <w:rFonts w:ascii="Times New Roman" w:cs="Times New Roman" w:eastAsia="Times New Roman" w:hAnsi="Times New Roman"/>
          <w:sz w:val="14"/>
          <w:szCs w:val="14"/>
          <w:color w:val="auto"/>
        </w:rPr>
        <w:t>On January 5, 2026, the Pharmakon Loan Agreement was amended to extend the date for requesting the Tranche B Loan and Tranche C Loan from December 31, 2025 to July 30, 2026. 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third anniversary of the funding date of the applicable Term Loan but prior to the fourth anniversary of the funding date of the applicable Term Loan, and 1% if made on or after the fourth anniversary of the funding date of the applicable Term Loan but prior to the Maturity Date. In addition to the prepayment premium, prepayments of any Term Loan prior to a specified date, or the Makewhole Date, are subject to a makewhole amount equal to the sum of all interest that would have accrued from the date of such payment through such Makewhole Date. The First Amendment Agreement also extended the Makewhole Date from November 1, 2026 to May 1, 2027.</w:t>
      </w:r>
    </w:p>
    <w:p>
      <w:pPr>
        <w:spacing w:after="0" w:line="146" w:lineRule="exact"/>
        <w:rPr>
          <w:sz w:val="20"/>
          <w:szCs w:val="20"/>
          <w:color w:val="auto"/>
        </w:rPr>
      </w:pPr>
    </w:p>
    <w:p>
      <w:pPr>
        <w:ind w:left="960" w:right="1039" w:firstLine="902"/>
        <w:spacing w:after="0" w:line="261" w:lineRule="auto"/>
        <w:rPr>
          <w:sz w:val="20"/>
          <w:szCs w:val="20"/>
          <w:color w:val="auto"/>
        </w:rPr>
      </w:pPr>
      <w:r>
        <w:rPr>
          <w:rFonts w:ascii="Times New Roman" w:cs="Times New Roman" w:eastAsia="Times New Roman" w:hAnsi="Times New Roman"/>
          <w:sz w:val="14"/>
          <w:szCs w:val="14"/>
          <w:color w:val="auto"/>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to receive tiered royalty payments with respect to annual U.S. net sales, or Annual Net Sales, of RYTELO beginning on July 1, 2024, ranging from: (i) 7.75% of Annual Net Sales up to $500.0 million; (ii) 3.0% of Annual Net Sales in excess of $500.0 million but less than or equal to $1.0 billion; and (iii) 1.0% in respect of Annual Net Sales in excess of $1.0 billion, or the Royalty Payments. The Royalty Payments to Royalty Pharma are capped, such that they will cease upon reaching a multiple of 1.65 times the Purchase Price if Royalty Pharma receives</w:t>
      </w:r>
    </w:p>
    <w:p>
      <w:pPr>
        <w:sectPr>
          <w:pgSz w:w="11900" w:h="16890" w:orient="portrait"/>
          <w:cols w:equalWidth="0" w:num="1">
            <w:col w:w="9019"/>
          </w:cols>
          <w:pgMar w:left="1440" w:top="116" w:right="1440" w:bottom="0" w:gutter="0" w:footer="0" w:header="0"/>
        </w:sectPr>
      </w:pPr>
    </w:p>
    <w:bookmarkStart w:id="58" w:name="page59"/>
    <w:bookmarkEnd w:id="58"/>
    <w:p>
      <w:pPr>
        <w:spacing w:after="0" w:line="25" w:lineRule="exact"/>
        <w:rPr>
          <w:sz w:val="20"/>
          <w:szCs w:val="20"/>
          <w:color w:val="auto"/>
        </w:rPr>
      </w:pPr>
    </w:p>
    <w:p>
      <w:pPr>
        <w:ind w:left="960" w:right="1059"/>
        <w:spacing w:after="0" w:line="250" w:lineRule="auto"/>
        <w:rPr>
          <w:sz w:val="20"/>
          <w:szCs w:val="20"/>
          <w:color w:val="auto"/>
        </w:rPr>
      </w:pPr>
      <w:r>
        <w:rPr>
          <w:rFonts w:ascii="Times New Roman" w:cs="Times New Roman" w:eastAsia="Times New Roman" w:hAnsi="Times New Roman"/>
          <w:sz w:val="14"/>
          <w:szCs w:val="14"/>
          <w:color w:val="auto"/>
        </w:rPr>
        <w:t>Royalty Payments in that amount in respect of net sales occurring on or before June 30, 2031, or upon reaching a multiple of 2.0 times the Purchase Price thereafter. Our Royalty Payment obligations under the Royalty Pharma Agreement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-195580</wp:posOffset>
            </wp:positionV>
            <wp:extent cx="5584190" cy="14420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84190" cy="1442085"/>
                    </a:xfrm>
                    <a:prstGeom prst="rect">
                      <a:avLst/>
                    </a:prstGeom>
                    <a:noFill/>
                  </pic:spPr>
                </pic:pic>
              </a:graphicData>
            </a:graphic>
          </wp:anchor>
        </w:drawing>
      </w:r>
    </w:p>
    <w:p>
      <w:pPr>
        <w:ind w:left="960" w:right="1059"/>
        <w:spacing w:after="0" w:line="259" w:lineRule="auto"/>
        <w:rPr>
          <w:sz w:val="20"/>
          <w:szCs w:val="20"/>
          <w:color w:val="auto"/>
        </w:rPr>
      </w:pPr>
      <w:r>
        <w:rPr>
          <w:rFonts w:ascii="Times New Roman" w:cs="Times New Roman" w:eastAsia="Times New Roman" w:hAnsi="Times New Roman"/>
          <w:sz w:val="14"/>
          <w:szCs w:val="14"/>
          <w:color w:val="auto"/>
        </w:rPr>
        <w:t>discharged in connection with a change of control of Geron in an amount equal to 1.65 times the Purchase Price minus the aggregate Royalty Payments received by Royalty Pharma as of the date of the closing of the change of control, if the closing of the change of control occurs on or prior to December 31, 2027, or in an amount equal to 2.0 times the Purchase Price minus the aggregate Royalty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179" w:firstLine="902"/>
        <w:spacing w:after="0" w:line="261" w:lineRule="auto"/>
        <w:rPr>
          <w:sz w:val="20"/>
          <w:szCs w:val="20"/>
          <w:color w:val="auto"/>
        </w:rPr>
      </w:pPr>
      <w:r>
        <w:rPr>
          <w:rFonts w:ascii="Times New Roman" w:cs="Times New Roman" w:eastAsia="Times New Roman" w:hAnsi="Times New Roman"/>
          <w:sz w:val="14"/>
          <w:szCs w:val="14"/>
          <w:color w:val="auto"/>
        </w:rPr>
        <w:t>In December 2025, we implemented a workforce reduction, representing approximately one-third of our workforce prior to the reduction in headcount. We may not realize, in full or in part, the anticipated benefits on our 2026 operating expenses from our restructuring efforts due to unforeseen difficulties, delays or unexpected costs. We incurred approximately $17.0 million in restructuring and restructuring-related charges in the fourth quarter of 2025, primarily consisting of one-time employee severance payments, healthcare and related benefits, and other employee-related costs, and we estimate the workforce reduction will be substantially completed in the first quarter of 2026. If we are unable to realize the expected operational efficiencies and cost savings from the restructuring, our operating results and financial condition could be adversely affected.</w:t>
      </w:r>
    </w:p>
    <w:p>
      <w:pPr>
        <w:spacing w:after="0" w:line="146" w:lineRule="exact"/>
        <w:rPr>
          <w:sz w:val="20"/>
          <w:szCs w:val="20"/>
          <w:color w:val="auto"/>
        </w:rPr>
      </w:pPr>
    </w:p>
    <w:p>
      <w:pPr>
        <w:ind w:left="960" w:right="1339" w:firstLine="902"/>
        <w:spacing w:after="0" w:line="265" w:lineRule="auto"/>
        <w:rPr>
          <w:sz w:val="20"/>
          <w:szCs w:val="20"/>
          <w:color w:val="auto"/>
        </w:rPr>
      </w:pPr>
      <w:r>
        <w:rPr>
          <w:rFonts w:ascii="Times New Roman" w:cs="Times New Roman" w:eastAsia="Times New Roman" w:hAnsi="Times New Roman"/>
          <w:sz w:val="14"/>
          <w:szCs w:val="14"/>
          <w:color w:val="auto"/>
        </w:rPr>
        <w:t>The significance of future losses, future revenues and any potential future profitability will depend primarily on the clinical and commercial success of RYTELO, our sole product. In this regard, our ability to generate meaningful revenue from product sales and achieve profitability is wholly dependent on our ability to successfully commercialize RYTELO in the U.S. for lower-risk MDS or to expand its indications of use. We have seen and may continue to see variability in RYTELO sales trends.</w:t>
      </w:r>
    </w:p>
    <w:p>
      <w:pPr>
        <w:spacing w:after="0" w:line="142"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Our commercial strategy is designed to ensure that RYTELO reaches eligible patients when they are most likely to benefit. Our commercial execution is focused on targeted engagement with high-volume accounts that treat earlier-line patients, investment in non-personal promotion and third-party education to further consistent, high-quality messaging across multiple touchpoints, and cross-functional execution of effective account management. However, our strategy to drive sales growth and our ongoing commercialization efforts has not to date achieved and may not in the future achieve meaningful sales growth, which may require us to, among others, further adjust or amend our commercialization strategy and plans and incur significant expenses, and there can be no assurance that we will be able to grow RYTELO net product revenue in future periods. In particular, our strategy may not drive new patient starts across the breadth of the eligible patient population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w:t>
      </w:r>
    </w:p>
    <w:p>
      <w:pPr>
        <w:spacing w:after="0" w:line="151" w:lineRule="exact"/>
        <w:rPr>
          <w:sz w:val="20"/>
          <w:szCs w:val="20"/>
          <w:color w:val="auto"/>
        </w:rPr>
      </w:pPr>
    </w:p>
    <w:p>
      <w:pPr>
        <w:ind w:left="960" w:right="1019" w:firstLine="902"/>
        <w:spacing w:after="0" w:line="259" w:lineRule="auto"/>
        <w:rPr>
          <w:sz w:val="20"/>
          <w:szCs w:val="20"/>
          <w:color w:val="auto"/>
        </w:rPr>
      </w:pPr>
      <w:r>
        <w:rPr>
          <w:rFonts w:ascii="Times New Roman" w:cs="Times New Roman" w:eastAsia="Times New Roman" w:hAnsi="Times New Roman"/>
          <w:sz w:val="14"/>
          <w:szCs w:val="14"/>
          <w:color w:val="auto"/>
        </w:rPr>
        <w:t>In addition, in an effort to expand its indications of use, we are also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U.S., such as our recent marketing authorization in the EU, and to establish arrangements with third parties to assist us in the commercialization of RYTELO in such jurisdictions. As a result, we expect research and development expenses and selling, general and administrative expenses to continue to be substantial as we continue to support the commercialization of RYTELO in the U.S. and further development of RYTELO, including the conduct and completion of our IMpactMF Phase 3 clinical trial, as well as our ongoing Phase 1 IMproveMF combination clinical trial in frontline MF, our Phase 2 investigator-led IMpress clinical trial in higher-risk MDS and acute myeloid leukemia, and our Phase 1/2 investigator-led IMAGINE clinical trial in relapsed/refractory acute myeloid leukemia, and as we pursue paths to make RYTELO available to eligible LR-MDS patients outside of the U.S., including in the EU. In addition, we expect our interest expense to increase due to the draw down of the Tranche A Loan and potential future draw downs of the other Term Loans under the Pharmakon Loan Agreement, if available, as well as the non-cash interest expense related to the Royalty Pharma Agreement.</w:t>
      </w:r>
    </w:p>
    <w:p>
      <w:pPr>
        <w:spacing w:after="0" w:line="3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5" w:lineRule="exact"/>
        <w:rPr>
          <w:sz w:val="20"/>
          <w:szCs w:val="20"/>
          <w:color w:val="auto"/>
        </w:rPr>
      </w:pPr>
    </w:p>
    <w:p>
      <w:pPr>
        <w:ind w:left="960" w:right="1079" w:firstLine="902"/>
        <w:spacing w:after="0" w:line="262"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accordance with accounting principles generally accepted in the United States of America. The preparation of our consolidated financial statements requires management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44"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Note 1 of Notes to Consolidated Financial Statements of this Report describes the significant accounting policies used in the preparation of our consolidated financial statements, we believe the following accounting estimates and policies to be critical.</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7284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84190" cy="17284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7" w:lineRule="exact"/>
        <w:rPr>
          <w:sz w:val="20"/>
          <w:szCs w:val="20"/>
          <w:color w:val="auto"/>
        </w:rPr>
      </w:pPr>
    </w:p>
    <w:p>
      <w:pPr>
        <w:ind w:left="960" w:right="1039" w:firstLine="902"/>
        <w:spacing w:after="0" w:line="263" w:lineRule="auto"/>
        <w:rPr>
          <w:sz w:val="20"/>
          <w:szCs w:val="20"/>
          <w:color w:val="auto"/>
        </w:rPr>
      </w:pPr>
      <w:r>
        <w:rPr>
          <w:rFonts w:ascii="Times New Roman" w:cs="Times New Roman" w:eastAsia="Times New Roman" w:hAnsi="Times New Roman"/>
          <w:sz w:val="14"/>
          <w:szCs w:val="14"/>
          <w:color w:val="auto"/>
        </w:rPr>
        <w:t>We recognize revenue when our customer obtains control of promised goods or services, in an amount that reflects the consideration which we expect to receive in exchange for those goods or services. We recognize revenue following the five-step model prescribed under Accounting Standards Codification Topic 606, Revenue from Contracts with Customers: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Product Revenue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We sell our products primarily to third party distributors and specialty pharmacies. These customers subsequently resell our</w:t>
      </w:r>
    </w:p>
    <w:p>
      <w:pPr>
        <w:sectPr>
          <w:pgSz w:w="11900" w:h="16864" w:orient="portrait"/>
          <w:cols w:equalWidth="0" w:num="1">
            <w:col w:w="9019"/>
          </w:cols>
          <w:pgMar w:left="1440" w:top="114" w:right="1440" w:bottom="0" w:gutter="0" w:footer="0" w:header="0"/>
        </w:sectPr>
      </w:pPr>
    </w:p>
    <w:bookmarkStart w:id="59" w:name="page60"/>
    <w:bookmarkEnd w:id="59"/>
    <w:p>
      <w:pPr>
        <w:ind w:left="960" w:right="1159"/>
        <w:spacing w:after="0" w:line="277" w:lineRule="auto"/>
        <w:rPr>
          <w:sz w:val="20"/>
          <w:szCs w:val="20"/>
          <w:color w:val="auto"/>
        </w:rPr>
      </w:pPr>
      <w:r>
        <w:rPr>
          <w:rFonts w:ascii="Times New Roman" w:cs="Times New Roman" w:eastAsia="Times New Roman" w:hAnsi="Times New Roman"/>
          <w:sz w:val="14"/>
          <w:szCs w:val="14"/>
          <w:color w:val="auto"/>
        </w:rPr>
        <w:t>products to health care providers and patients. In addition, we enter into arrangements with health care providers and payors that provide for government-mandated or privately-negotiated discounts and allowances related to our RYTELO.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-219075</wp:posOffset>
            </wp:positionV>
            <wp:extent cx="5584190" cy="5485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84190" cy="5485765"/>
                    </a:xfrm>
                    <a:prstGeom prst="rect">
                      <a:avLst/>
                    </a:prstGeom>
                    <a:noFill/>
                  </pic:spPr>
                </pic:pic>
              </a:graphicData>
            </a:graphic>
          </wp:anchor>
        </w:drawing>
      </w:r>
    </w:p>
    <w:p>
      <w:pPr>
        <w:spacing w:after="0" w:line="114" w:lineRule="exact"/>
        <w:rPr>
          <w:sz w:val="20"/>
          <w:szCs w:val="20"/>
          <w:color w:val="auto"/>
        </w:rPr>
      </w:pPr>
    </w:p>
    <w:p>
      <w:pPr>
        <w:ind w:left="960" w:right="1019" w:firstLine="902"/>
        <w:spacing w:after="0" w:line="292" w:lineRule="auto"/>
        <w:rPr>
          <w:sz w:val="20"/>
          <w:szCs w:val="20"/>
          <w:color w:val="auto"/>
        </w:rPr>
      </w:pPr>
      <w:r>
        <w:rPr>
          <w:rFonts w:ascii="Times New Roman" w:cs="Times New Roman" w:eastAsia="Times New Roman" w:hAnsi="Times New Roman"/>
          <w:sz w:val="14"/>
          <w:szCs w:val="14"/>
          <w:color w:val="auto"/>
        </w:rPr>
        <w:t>Product revenue is recognized when the customer obtains control of our product, which occurs at a point in time, typically upon delivery to the customer.</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Reserves for Discounts and Allowances</w:t>
      </w:r>
    </w:p>
    <w:p>
      <w:pPr>
        <w:spacing w:after="0" w:line="185"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Product revenue is recorded net of reserves established for applicable discounts and allowances that are offered within contracts with our customers, health care providers or payors, Product revenue reserves, which are classified as a reduction in product revenue, are generally characterized in the following categories: discounts, contractual adjustments and returns.</w:t>
      </w:r>
    </w:p>
    <w:p>
      <w:pPr>
        <w:spacing w:after="0" w:line="140"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146" w:lineRule="exact"/>
        <w:rPr>
          <w:sz w:val="20"/>
          <w:szCs w:val="20"/>
          <w:color w:val="auto"/>
        </w:rPr>
      </w:pPr>
    </w:p>
    <w:p>
      <w:pPr>
        <w:ind w:left="960" w:right="1279" w:firstLine="902"/>
        <w:spacing w:after="0" w:line="292" w:lineRule="auto"/>
        <w:rPr>
          <w:sz w:val="20"/>
          <w:szCs w:val="20"/>
          <w:color w:val="auto"/>
        </w:rPr>
      </w:pPr>
      <w:r>
        <w:rPr>
          <w:rFonts w:ascii="Times New Roman" w:cs="Times New Roman" w:eastAsia="Times New Roman" w:hAnsi="Times New Roman"/>
          <w:sz w:val="14"/>
          <w:szCs w:val="14"/>
          <w:color w:val="auto"/>
        </w:rPr>
        <w:t>For additional information on our revenue, please read Note 2 on Product Revenue to our consolidated financial statements included in this report.</w:t>
      </w:r>
    </w:p>
    <w:p>
      <w:pPr>
        <w:spacing w:after="0" w:line="1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87"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Inventory is recorded at the lower of cost or net realizable value, with cost determined under the weighted average method. Inventory costs include third-party contract manufacturing, third-party packaging services, freight, salaries, wages and stock-based compensation for personnel involved in the manufacturing process, and indirect overhead costs. We periodically review our inventories to identify excess, obsolete, or slow moving items. If excess, obsolete, or slow moving inventory without an alternate use is identified, we adjust the recorded amount to its net realizable value. The determination of net realizable value requires judgment including consideration of many factors, such as estimates of future product demand, product net selling prices, current and future market conditions and potential product obsolescence, among others. Additionally, our products are subject to strict quality control and monitoring that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w:t>
      </w:r>
    </w:p>
    <w:p>
      <w:pPr>
        <w:spacing w:after="0" w:line="151" w:lineRule="exact"/>
        <w:rPr>
          <w:sz w:val="20"/>
          <w:szCs w:val="20"/>
          <w:color w:val="auto"/>
        </w:rPr>
      </w:pPr>
    </w:p>
    <w:p>
      <w:pPr>
        <w:ind w:left="960" w:right="1139" w:firstLine="902"/>
        <w:spacing w:after="0" w:line="274" w:lineRule="auto"/>
        <w:rPr>
          <w:sz w:val="20"/>
          <w:szCs w:val="20"/>
          <w:color w:val="auto"/>
        </w:rPr>
      </w:pPr>
      <w:r>
        <w:rPr>
          <w:rFonts w:ascii="Times New Roman" w:cs="Times New Roman" w:eastAsia="Times New Roman" w:hAnsi="Times New Roman"/>
          <w:sz w:val="14"/>
          <w:szCs w:val="14"/>
          <w:color w:val="auto"/>
        </w:rPr>
        <w:t>Although we believe that the assumptions we use in estimating inventory write-downs are reasonable, no assurance can be given that significant future changes in these assumptions or changes in future events and market conditions could result in different estimates.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967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84190" cy="496760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Royalty Pharma Agreement Interest Expense</w:t>
      </w:r>
    </w:p>
    <w:p>
      <w:pPr>
        <w:spacing w:after="0" w:line="187"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The liability related to the Royalty Payments under the Royalty Pharma Agreement and the related revenue interest expense are measured based on our current estimate of the timing and amount of expected future Royalty Payments expected to be paid over the estimated term of the Royalty Pharma Agreement using a discounted cash flow model. The liability is amortized using the effective interest rate method, resulting in recognition of non-cash interest expense over the estimated term of the agreement. Each reporting period, we assess the estimated timing and amount of future expected Royalty Payments over the estimated term. If there are changes to the estimate, we recognize the impact to the liability’s amortization schedule and the related non-cash interest expense prospectively. Additionally, the transaction costs associated with the liability is amortized to non-cash interest expense over the estimated term of the Royalty Pharma Agreement.</w:t>
      </w:r>
    </w:p>
    <w:p>
      <w:pPr>
        <w:spacing w:after="0" w:line="3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9" w:lineRule="exact"/>
        <w:rPr>
          <w:sz w:val="20"/>
          <w:szCs w:val="20"/>
          <w:color w:val="auto"/>
        </w:rPr>
      </w:pPr>
    </w:p>
    <w:p>
      <w:pPr>
        <w:ind w:left="960" w:right="1039" w:firstLine="902"/>
        <w:spacing w:after="0" w:line="263" w:lineRule="auto"/>
        <w:rPr>
          <w:sz w:val="20"/>
          <w:szCs w:val="20"/>
          <w:color w:val="auto"/>
        </w:rPr>
      </w:pPr>
      <w:r>
        <w:rPr>
          <w:rFonts w:ascii="Times New Roman" w:cs="Times New Roman" w:eastAsia="Times New Roman" w:hAnsi="Times New Roman"/>
          <w:sz w:val="14"/>
          <w:szCs w:val="14"/>
          <w:color w:val="auto"/>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early in our commercialization efforts and our related strategy to drive sales growth in the U.S.. We expect that our sales revenue may continue to vary from period to period as a result of the evolving effects of our commercialization strategy and as our commercialization efforts otherwise progress.</w:t>
      </w:r>
    </w:p>
    <w:p>
      <w:pPr>
        <w:spacing w:after="0" w:line="144"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RYTELO is our only product approved for marketing in the U.S. and in the EU for certain patients with lower-risk MDS. Revenue based on sales of RYTELO is dependent on our ability to successfully commercialize RYTELO in the U.S. and in the EU and to obtain regulatory approvals to commercialize RYTELO in other jurisdictions and in other indications. We are subject to risks common to companies in our industry and at our stage of development, including, but not limited to, risks inherent in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development process; our ability to obtain and maintain contractual arrangements, strategic partnerships, collaborations, alliances or licensing arrangements with third parties to assist us with the commercialization of RYTELO in jurisdictions outside of the U.S.; overcoming disruptions and/or delays due to macroeconomic or other global conditions, such as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our ability to obtain additional capital if and when needed; enforcement of our patent and proprietary rights; reliance upon our CROs, contract manufacturing organizations, or CMOs, consultants, licensees, investigators and other third parties; and potential competition.</w:t>
      </w:r>
    </w:p>
    <w:p>
      <w:pPr>
        <w:sectPr>
          <w:pgSz w:w="11900" w:h="16838" w:orient="portrait"/>
          <w:cols w:equalWidth="0" w:num="1">
            <w:col w:w="9019"/>
          </w:cols>
          <w:pgMar w:left="1440" w:top="114" w:right="1440" w:bottom="298"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2246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8419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2025, 2024, and 2023</w:t>
      </w:r>
    </w:p>
    <w:p>
      <w:pPr>
        <w:spacing w:after="0" w:line="18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for the years ended December 31:</w:t>
      </w:r>
    </w:p>
    <w:p>
      <w:pPr>
        <w:spacing w:after="0" w:line="242"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2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Change %</w:t>
            </w:r>
          </w:p>
        </w:tc>
      </w:tr>
      <w:tr>
        <w:trPr>
          <w:trHeight w:val="201"/>
        </w:trPr>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0" w:type="dxa"/>
            <w:vAlign w:val="bottom"/>
            <w:gridSpan w:val="9"/>
          </w:tcPr>
          <w:p>
            <w:pPr>
              <w:ind w:left="620"/>
              <w:spacing w:after="0"/>
              <w:rPr>
                <w:sz w:val="20"/>
                <w:szCs w:val="20"/>
                <w:color w:val="auto"/>
              </w:rPr>
            </w:pPr>
            <w:r>
              <w:rPr>
                <w:rFonts w:ascii="Times New Roman" w:cs="Times New Roman" w:eastAsia="Times New Roman" w:hAnsi="Times New Roman"/>
                <w:sz w:val="11"/>
                <w:szCs w:val="11"/>
                <w:b w:val="1"/>
                <w:bCs w:val="1"/>
                <w:color w:val="auto"/>
              </w:rPr>
              <w:t>(in thousands, except for percentage data)</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9"/>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5"/>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183,623</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76,495</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$107,128</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$76,495</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5"/>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Royalties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5"/>
        </w:trPr>
        <w:tc>
          <w:tcPr>
            <w:tcW w:w="2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183,881</w:t>
            </w:r>
          </w:p>
        </w:tc>
        <w:tc>
          <w:tcPr>
            <w:tcW w:w="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76,994</w:t>
            </w:r>
          </w:p>
        </w:tc>
        <w:tc>
          <w:tcPr>
            <w:tcW w:w="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106,887</w:t>
            </w:r>
          </w:p>
        </w:tc>
        <w:tc>
          <w:tcPr>
            <w:tcW w:w="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76,757</w:t>
            </w:r>
          </w:p>
        </w:tc>
        <w:tc>
          <w:tcPr>
            <w:tcW w:w="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324%</w:t>
            </w:r>
          </w:p>
        </w:tc>
      </w:tr>
      <w:tr>
        <w:trPr>
          <w:trHeight w:val="195"/>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Costs and operating expenses:</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15"/>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goods sold</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5"/>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71,433</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103,738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15"/>
        </w:trPr>
        <w:tc>
          <w:tcPr>
            <w:tcW w:w="2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159,256</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145,732</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69,135</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76,597</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15"/>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charges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17,032</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84"/>
        </w:trPr>
        <w:tc>
          <w:tcPr>
            <w:tcW w:w="23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252,466</w:t>
            </w:r>
          </w:p>
        </w:tc>
        <w:tc>
          <w:tcPr>
            <w:tcW w:w="4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250,726</w:t>
            </w:r>
          </w:p>
        </w:tc>
        <w:tc>
          <w:tcPr>
            <w:tcW w:w="40" w:type="dxa"/>
            <w:vAlign w:val="bottom"/>
            <w:tcBorders>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40" w:type="dxa"/>
            <w:vAlign w:val="bottom"/>
            <w:tcBorders>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194,181</w:t>
            </w:r>
          </w:p>
        </w:tc>
        <w:tc>
          <w:tcPr>
            <w:tcW w:w="4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56,545</w:t>
            </w:r>
          </w:p>
        </w:tc>
        <w:tc>
          <w:tcPr>
            <w:tcW w:w="40" w:type="dxa"/>
            <w:vAlign w:val="bottom"/>
            <w:tcBorders>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w:t>
            </w:r>
          </w:p>
        </w:tc>
      </w:tr>
      <w:tr>
        <w:trPr>
          <w:trHeight w:val="195"/>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18,117</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18,152</w:t>
            </w: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5"/>
        </w:trPr>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(32,657)</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(18,504)</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(14,153)</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(10,192)</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215"/>
        </w:trPr>
        <w:tc>
          <w:tcPr>
            <w:tcW w:w="2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r>
      <w:tr>
        <w:trPr>
          <w:trHeight w:val="215"/>
        </w:trPr>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8,485</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8"/>
        </w:trPr>
        <w:tc>
          <w:tcPr>
            <w:tcW w:w="2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(174,572)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$ 91,072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(184,127)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$ 9,555</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Product Revenue, Net</w:t>
      </w:r>
    </w:p>
    <w:p>
      <w:pPr>
        <w:spacing w:after="0" w:line="101" w:lineRule="exact"/>
        <w:rPr>
          <w:sz w:val="20"/>
          <w:szCs w:val="20"/>
          <w:color w:val="auto"/>
        </w:rPr>
      </w:pPr>
    </w:p>
    <w:p>
      <w:pPr>
        <w:ind w:left="960" w:right="1079" w:firstLine="902"/>
        <w:spacing w:after="0" w:line="263" w:lineRule="auto"/>
        <w:rPr>
          <w:sz w:val="20"/>
          <w:szCs w:val="20"/>
          <w:color w:val="auto"/>
        </w:rPr>
      </w:pPr>
      <w:r>
        <w:rPr>
          <w:rFonts w:ascii="Times New Roman" w:cs="Times New Roman" w:eastAsia="Times New Roman" w:hAnsi="Times New Roman"/>
          <w:sz w:val="14"/>
          <w:szCs w:val="14"/>
          <w:color w:val="auto"/>
        </w:rPr>
        <w:t>On June 6, 2024, we announced that the FDA approved RYTELO for the treatment of adult patients with lower-risk MDS, with TD anemia requiring four or more red blood cell units over eight weeks who have not responded to or have lost response to or are ineligible for ESA. To date, our only source of product revenue has been from the sales of RYTELO, which we began shipping to our customers in June 2024. We did not generate any revenue from product sales prior to June 2024. Total product revenue, net for the twelve months ended December 31, 2025 and 2024 was approximately $183.6 million and $76.5 million, respectively.</w:t>
      </w:r>
    </w:p>
    <w:p>
      <w:pPr>
        <w:spacing w:after="0" w:line="144" w:lineRule="exact"/>
        <w:rPr>
          <w:sz w:val="20"/>
          <w:szCs w:val="20"/>
          <w:color w:val="auto"/>
        </w:rPr>
      </w:pPr>
    </w:p>
    <w:p>
      <w:pPr>
        <w:ind w:left="960" w:right="1059" w:firstLine="902"/>
        <w:spacing w:after="0" w:line="274" w:lineRule="auto"/>
        <w:rPr>
          <w:sz w:val="20"/>
          <w:szCs w:val="20"/>
          <w:color w:val="auto"/>
        </w:rPr>
      </w:pPr>
      <w:r>
        <w:rPr>
          <w:rFonts w:ascii="Times New Roman" w:cs="Times New Roman" w:eastAsia="Times New Roman" w:hAnsi="Times New Roman"/>
          <w:sz w:val="14"/>
          <w:szCs w:val="14"/>
          <w:color w:val="auto"/>
        </w:rPr>
        <w:t>Total gross-to-net adjustments for the twelve months ended December 31, 2025 and 2024 were 17.7% and 14.5% of gross product revenue, respectively. We expect total gross-to-net adjustments to be in the percentage range of high-teen to low-twenties of gross product revenue in 2026.</w:t>
      </w:r>
    </w:p>
    <w:p>
      <w:pPr>
        <w:spacing w:after="0" w:line="136" w:lineRule="exact"/>
        <w:rPr>
          <w:sz w:val="20"/>
          <w:szCs w:val="20"/>
          <w:color w:val="auto"/>
        </w:rPr>
      </w:pPr>
    </w:p>
    <w:p>
      <w:pPr>
        <w:ind w:left="960" w:right="1119" w:firstLine="902"/>
        <w:spacing w:after="0" w:line="292" w:lineRule="auto"/>
        <w:rPr>
          <w:sz w:val="20"/>
          <w:szCs w:val="20"/>
          <w:color w:val="auto"/>
        </w:rPr>
      </w:pPr>
      <w:r>
        <w:rPr>
          <w:rFonts w:ascii="Times New Roman" w:cs="Times New Roman" w:eastAsia="Times New Roman" w:hAnsi="Times New Roman"/>
          <w:sz w:val="14"/>
          <w:szCs w:val="14"/>
          <w:color w:val="auto"/>
        </w:rPr>
        <w:t>The reconciliation of gross product revenue to product revenue, net by each significant category of gross-to-net adjustments is as set forth below.</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8"/>
        </w:trPr>
        <w:tc>
          <w:tcPr>
            <w:tcW w:w="4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7"/>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Gross product revenue</w:t>
            </w: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223,112</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89,418</w:t>
            </w:r>
          </w:p>
        </w:tc>
      </w:tr>
      <w:tr>
        <w:trPr>
          <w:trHeight w:val="178"/>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Gross-to-net adjustments: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7"/>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Chargebacks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(25,525)</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(8,724)</w:t>
            </w:r>
          </w:p>
        </w:tc>
      </w:tr>
      <w:tr>
        <w:trPr>
          <w:trHeight w:val="178"/>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Distributor service fees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(7,512)</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(3,048)</w:t>
            </w:r>
          </w:p>
        </w:tc>
      </w:tr>
      <w:tr>
        <w:trPr>
          <w:trHeight w:val="187"/>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Government rebates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(2,603)</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r>
      <w:tr>
        <w:trPr>
          <w:trHeight w:val="178"/>
        </w:trPr>
        <w:tc>
          <w:tcPr>
            <w:tcW w:w="4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Sales returns and allowances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(3,849)</w:t>
            </w: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(594)</w:t>
            </w:r>
          </w:p>
        </w:tc>
      </w:tr>
      <w:tr>
        <w:trPr>
          <w:trHeight w:val="163"/>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Total gross-to-net adjustments</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(39,489)</w:t>
            </w:r>
          </w:p>
        </w:tc>
        <w:tc>
          <w:tcPr>
            <w:tcW w:w="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(12,923)</w:t>
            </w:r>
          </w:p>
        </w:tc>
      </w:tr>
      <w:tr>
        <w:trPr>
          <w:trHeight w:val="14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Product revenue, net</w:t>
            </w: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183,623</w:t>
            </w:r>
          </w:p>
        </w:tc>
        <w:tc>
          <w:tcPr>
            <w:tcW w:w="40" w:type="dxa"/>
            <w:vAlign w:val="bottom"/>
          </w:tcPr>
          <w:p>
            <w:pPr>
              <w:spacing w:after="0"/>
              <w:rPr>
                <w:sz w:val="12"/>
                <w:szCs w:val="12"/>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76,495</w:t>
            </w:r>
          </w:p>
        </w:tc>
      </w:tr>
      <w:tr>
        <w:trPr>
          <w:trHeight w:val="20"/>
        </w:trPr>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923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4190" cy="9239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Royalties</w:t>
      </w:r>
    </w:p>
    <w:p>
      <w:pPr>
        <w:sectPr>
          <w:pgSz w:w="11900" w:h="16838" w:orient="portrait"/>
          <w:cols w:equalWidth="0" w:num="1">
            <w:col w:w="9019"/>
          </w:cols>
          <w:pgMar w:left="1440" w:top="1440" w:right="1440" w:bottom="0" w:gutter="0" w:footer="0" w:header="0"/>
          <w:type w:val="continuous"/>
        </w:sectPr>
      </w:pPr>
    </w:p>
    <w:bookmarkStart w:id="61" w:name="page62"/>
    <w:bookmarkEnd w:id="61"/>
    <w:p>
      <w:pPr>
        <w:ind w:left="960" w:right="1059" w:firstLine="902"/>
        <w:spacing w:after="0" w:line="192" w:lineRule="auto"/>
        <w:rPr>
          <w:sz w:val="20"/>
          <w:szCs w:val="20"/>
          <w:color w:val="auto"/>
        </w:rPr>
      </w:pPr>
      <w:r>
        <w:rPr>
          <w:rFonts w:ascii="Times New Roman" w:cs="Times New Roman" w:eastAsia="Times New Roman" w:hAnsi="Times New Roman"/>
          <w:sz w:val="13"/>
          <w:szCs w:val="13"/>
          <w:color w:val="auto"/>
        </w:rPr>
        <w:t>In connection with the divestiture of our human embryonic stem cell assets, including intellectual property and proprietary technology, to Lineage Cell Therapeutics, Inc. (formerly BioTime, Inc. which acquired Asterias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-134620</wp:posOffset>
            </wp:positionV>
            <wp:extent cx="5584190" cy="62903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84190" cy="6290310"/>
                    </a:xfrm>
                    <a:prstGeom prst="rect">
                      <a:avLst/>
                    </a:prstGeom>
                    <a:noFill/>
                  </pic:spPr>
                </pic:pic>
              </a:graphicData>
            </a:graphic>
          </wp:anchor>
        </w:drawing>
      </w:r>
    </w:p>
    <w:p>
      <w:pPr>
        <w:ind w:left="960" w:right="979"/>
        <w:spacing w:after="0" w:line="272" w:lineRule="auto"/>
        <w:rPr>
          <w:sz w:val="20"/>
          <w:szCs w:val="20"/>
          <w:color w:val="auto"/>
        </w:rPr>
      </w:pPr>
      <w:r>
        <w:rPr>
          <w:rFonts w:ascii="Times New Roman" w:cs="Times New Roman" w:eastAsia="Times New Roman" w:hAnsi="Times New Roman"/>
          <w:sz w:val="14"/>
          <w:szCs w:val="14"/>
          <w:color w:val="auto"/>
        </w:rPr>
        <w:t>Biotherapeutics, Inc.), or Lineage, in 2013, we are entitled to receive royalties on sales from certain research or commercial products utilizing our divested intellectual property.</w:t>
      </w:r>
    </w:p>
    <w:p>
      <w:pPr>
        <w:spacing w:after="0" w:line="137" w:lineRule="exact"/>
        <w:rPr>
          <w:sz w:val="20"/>
          <w:szCs w:val="20"/>
          <w:color w:val="auto"/>
        </w:rPr>
      </w:pPr>
    </w:p>
    <w:p>
      <w:pPr>
        <w:jc w:val="both"/>
        <w:ind w:left="960" w:right="1279" w:firstLine="902"/>
        <w:spacing w:after="0" w:line="274" w:lineRule="auto"/>
        <w:rPr>
          <w:sz w:val="20"/>
          <w:szCs w:val="20"/>
          <w:color w:val="auto"/>
        </w:rPr>
      </w:pPr>
      <w:r>
        <w:rPr>
          <w:rFonts w:ascii="Times New Roman" w:cs="Times New Roman" w:eastAsia="Times New Roman" w:hAnsi="Times New Roman"/>
          <w:sz w:val="14"/>
          <w:szCs w:val="14"/>
          <w:color w:val="auto"/>
        </w:rPr>
        <w:t>We recognized royalty revenues of $0.3 million, $0.5 million and $0.2 million during the years ended December 31, 2025, 2024 and 2023, respectively. Royalty revenues reflect estimated royalties from sales of cell-based research products from our divested stem cell assets.</w:t>
      </w:r>
    </w:p>
    <w:p>
      <w:pPr>
        <w:spacing w:after="0" w:line="136" w:lineRule="exact"/>
        <w:rPr>
          <w:sz w:val="20"/>
          <w:szCs w:val="20"/>
          <w:color w:val="auto"/>
        </w:rPr>
      </w:pPr>
    </w:p>
    <w:p>
      <w:pPr>
        <w:ind w:left="960" w:right="999" w:firstLine="902"/>
        <w:spacing w:after="0" w:line="292" w:lineRule="auto"/>
        <w:rPr>
          <w:sz w:val="20"/>
          <w:szCs w:val="20"/>
          <w:color w:val="auto"/>
        </w:rPr>
      </w:pPr>
      <w:r>
        <w:rPr>
          <w:rFonts w:ascii="Times New Roman" w:cs="Times New Roman" w:eastAsia="Times New Roman" w:hAnsi="Times New Roman"/>
          <w:sz w:val="14"/>
          <w:szCs w:val="14"/>
          <w:color w:val="auto"/>
        </w:rPr>
        <w:t>Future license fee and royalty revenues are dependent on additional agreements being signed, if any, our current license agreement with Lineage being maintained, and the underlying patent rights for the license remaining active.</w:t>
      </w:r>
    </w:p>
    <w:p>
      <w:pPr>
        <w:spacing w:after="0" w:line="1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Costs and Operating Expenses</w:t>
      </w:r>
    </w:p>
    <w:p>
      <w:pPr>
        <w:spacing w:after="0" w:line="18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following table summarizes our costs and operating expenses for the years ended December 31:</w:t>
      </w:r>
    </w:p>
    <w:p>
      <w:pPr>
        <w:spacing w:after="0" w:line="242"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19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2"/>
                <w:szCs w:val="12"/>
                <w:color w:val="auto"/>
              </w:rPr>
            </w:pPr>
          </w:p>
        </w:tc>
        <w:tc>
          <w:tcPr>
            <w:tcW w:w="54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140" w:type="dxa"/>
            <w:vAlign w:val="bottom"/>
          </w:tcPr>
          <w:p>
            <w:pPr>
              <w:spacing w:after="0"/>
              <w:rPr>
                <w:sz w:val="12"/>
                <w:szCs w:val="12"/>
                <w:color w:val="auto"/>
              </w:rPr>
            </w:pPr>
          </w:p>
        </w:tc>
        <w:tc>
          <w:tcPr>
            <w:tcW w:w="54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2"/>
                <w:szCs w:val="12"/>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 $</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Change %</w:t>
            </w:r>
          </w:p>
        </w:tc>
      </w:tr>
      <w:tr>
        <w:trPr>
          <w:trHeight w:val="206"/>
        </w:trPr>
        <w:tc>
          <w:tcPr>
            <w:tcW w:w="1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8"/>
                <w:szCs w:val="18"/>
                <w:color w:val="auto"/>
              </w:rPr>
            </w:pPr>
          </w:p>
        </w:tc>
      </w:tr>
      <w:tr>
        <w:trPr>
          <w:trHeight w:val="215"/>
        </w:trPr>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(32,305)</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125,046</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8"/>
                <w:szCs w:val="18"/>
                <w:color w:val="auto"/>
              </w:rPr>
            </w:pPr>
          </w:p>
        </w:tc>
      </w:tr>
      <w:tr>
        <w:trPr>
          <w:trHeight w:val="211"/>
        </w:trPr>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general and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6"/>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159,256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145,732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69,135</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76,597</w:t>
            </w: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0" w:type="dxa"/>
            <w:vAlign w:val="bottom"/>
            <w:shd w:val="clear" w:color="auto" w:fill="CCEEFF"/>
          </w:tcPr>
          <w:p>
            <w:pPr>
              <w:spacing w:after="0"/>
              <w:rPr>
                <w:sz w:val="15"/>
                <w:szCs w:val="15"/>
                <w:color w:val="auto"/>
              </w:rPr>
            </w:pPr>
          </w:p>
        </w:tc>
      </w:tr>
      <w:tr>
        <w:trPr>
          <w:trHeight w:val="215"/>
        </w:trPr>
        <w:tc>
          <w:tcPr>
            <w:tcW w:w="1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Restructuring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17,032</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17,032</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18"/>
                <w:szCs w:val="18"/>
                <w:color w:val="auto"/>
              </w:rPr>
            </w:pPr>
          </w:p>
        </w:tc>
      </w:tr>
      <w:tr>
        <w:trPr>
          <w:trHeight w:val="191"/>
        </w:trPr>
        <w:tc>
          <w:tcPr>
            <w:tcW w:w="19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costs and operating</w:t>
            </w: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79"/>
        </w:trPr>
        <w:tc>
          <w:tcPr>
            <w:tcW w:w="19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252,466</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250,726</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1,740</w:t>
            </w: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1 %</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194,181</w:t>
            </w: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  56,545</w:t>
            </w:r>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Cost of Goods Sold</w:t>
      </w:r>
    </w:p>
    <w:p>
      <w:pPr>
        <w:spacing w:after="0" w:line="185" w:lineRule="exact"/>
        <w:rPr>
          <w:sz w:val="20"/>
          <w:szCs w:val="20"/>
          <w:color w:val="auto"/>
        </w:rPr>
      </w:pPr>
    </w:p>
    <w:p>
      <w:pPr>
        <w:jc w:val="both"/>
        <w:ind w:left="960" w:right="1219" w:firstLine="902"/>
        <w:spacing w:after="0" w:line="268" w:lineRule="auto"/>
        <w:rPr>
          <w:sz w:val="20"/>
          <w:szCs w:val="20"/>
          <w:color w:val="auto"/>
        </w:rPr>
      </w:pPr>
      <w:r>
        <w:rPr>
          <w:rFonts w:ascii="Times New Roman" w:cs="Times New Roman" w:eastAsia="Times New Roman" w:hAnsi="Times New Roman"/>
          <w:sz w:val="14"/>
          <w:szCs w:val="14"/>
          <w:color w:val="auto"/>
        </w:rPr>
        <w:t>Cost of goods sold was approximately $4.7 million for the year ended December 31, 2025, compared to $1.3 million for the year ended December 31, 2024, which consists of raw materials, third-party manufacturing costs to manufacture the raw materials into finished product, freight, and indirect overhead costs associated with the sale of RYTELO.</w:t>
      </w:r>
    </w:p>
    <w:p>
      <w:pPr>
        <w:spacing w:after="0" w:line="54" w:lineRule="exact"/>
        <w:rPr>
          <w:sz w:val="20"/>
          <w:szCs w:val="20"/>
          <w:color w:val="auto"/>
        </w:rPr>
      </w:pPr>
    </w:p>
    <w:p>
      <w:pPr>
        <w:ind w:left="960" w:right="1099" w:firstLine="902"/>
        <w:spacing w:after="0" w:line="263" w:lineRule="auto"/>
        <w:rPr>
          <w:sz w:val="20"/>
          <w:szCs w:val="20"/>
          <w:color w:val="auto"/>
        </w:rPr>
      </w:pPr>
      <w:r>
        <w:rPr>
          <w:rFonts w:ascii="Times New Roman" w:cs="Times New Roman" w:eastAsia="Times New Roman" w:hAnsi="Times New Roman"/>
          <w:sz w:val="14"/>
          <w:szCs w:val="14"/>
          <w:color w:val="auto"/>
        </w:rPr>
        <w:t>Prior to receiving FDA approval for RYTELO in June 2024, we manufactured inventory to be sold upon commercialization and recorded the costs as research and development expense. As a result, a significant portion of the manufacturing costs related to the inventory manufactured prior to receiving FDA approval was partially expensed in a prior periods and are therefore excluded from the cost of goods sold for the twelve months ended December 31, 2025 and 2024. We estimate our cost of sales as a percentage of product revenue, net will continue to be positively impacted for at least the next 12 months as we sell through certain inventory that was partially expensed prior to FDA approval.</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p>
      <w:pPr>
        <w:spacing w:after="0" w:line="185" w:lineRule="exact"/>
        <w:rPr>
          <w:sz w:val="20"/>
          <w:szCs w:val="20"/>
          <w:color w:val="auto"/>
        </w:rPr>
      </w:pPr>
    </w:p>
    <w:p>
      <w:pPr>
        <w:ind w:left="960" w:right="959" w:firstLine="902"/>
        <w:spacing w:after="0" w:line="260" w:lineRule="auto"/>
        <w:rPr>
          <w:sz w:val="20"/>
          <w:szCs w:val="20"/>
          <w:color w:val="auto"/>
        </w:rPr>
      </w:pPr>
      <w:r>
        <w:rPr>
          <w:rFonts w:ascii="Times New Roman" w:cs="Times New Roman" w:eastAsia="Times New Roman" w:hAnsi="Times New Roman"/>
          <w:sz w:val="14"/>
          <w:szCs w:val="14"/>
          <w:color w:val="auto"/>
        </w:rPr>
        <w:t>During the year ended December 31, 2025, our RYTELO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years ended December 31, 2025, 2024 and 2023, 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supply, manufacturing costs for research and clinical trial materials, sponsored research at other labs, consulting expenses, costs to maintain technology licenses and research-related overhead.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1630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84190" cy="41630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Research and development expenses for the years ended December 31, 2025, 2024 and 2023 were as</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follows:</w:t>
      </w:r>
    </w:p>
    <w:p>
      <w:pPr>
        <w:spacing w:after="0" w:line="229"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3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3"/>
                <w:szCs w:val="13"/>
                <w:color w:val="auto"/>
              </w:rPr>
            </w:pPr>
          </w:p>
        </w:tc>
      </w:tr>
      <w:tr>
        <w:trPr>
          <w:trHeight w:val="199"/>
        </w:trPr>
        <w:tc>
          <w:tcPr>
            <w:tcW w:w="3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 external research and development expenses: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5"/>
        </w:trPr>
        <w:tc>
          <w:tcPr>
            <w:tcW w:w="39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Clinical program: Imetelstat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39,732</w:t>
            </w:r>
          </w:p>
        </w:tc>
        <w:tc>
          <w:tcPr>
            <w:tcW w:w="40" w:type="dxa"/>
            <w:vAlign w:val="bottom"/>
          </w:tcPr>
          <w:p>
            <w:pPr>
              <w:spacing w:after="0"/>
              <w:rPr>
                <w:sz w:val="18"/>
                <w:szCs w:val="18"/>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68,424</w:t>
            </w:r>
          </w:p>
        </w:tc>
        <w:tc>
          <w:tcPr>
            <w:tcW w:w="40" w:type="dxa"/>
            <w:vAlign w:val="bottom"/>
          </w:tcPr>
          <w:p>
            <w:pPr>
              <w:spacing w:after="0"/>
              <w:rPr>
                <w:sz w:val="18"/>
                <w:szCs w:val="18"/>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86,914</w:t>
            </w:r>
          </w:p>
        </w:tc>
        <w:tc>
          <w:tcPr>
            <w:tcW w:w="40" w:type="dxa"/>
            <w:vAlign w:val="bottom"/>
          </w:tcPr>
          <w:p>
            <w:pPr>
              <w:spacing w:after="0"/>
              <w:rPr>
                <w:sz w:val="18"/>
                <w:szCs w:val="18"/>
                <w:color w:val="auto"/>
              </w:rPr>
            </w:pPr>
          </w:p>
        </w:tc>
      </w:tr>
      <w:tr>
        <w:trPr>
          <w:trHeight w:val="215"/>
        </w:trPr>
        <w:tc>
          <w:tcPr>
            <w:tcW w:w="3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Personnel related expenses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31,595</w:t>
            </w:r>
          </w:p>
        </w:tc>
        <w:tc>
          <w:tcPr>
            <w:tcW w:w="40" w:type="dxa"/>
            <w:vAlign w:val="bottom"/>
            <w:shd w:val="clear" w:color="auto" w:fill="CCEEFF"/>
          </w:tcPr>
          <w:p>
            <w:pPr>
              <w:spacing w:after="0"/>
              <w:rPr>
                <w:sz w:val="18"/>
                <w:szCs w:val="18"/>
                <w:color w:val="auto"/>
              </w:rPr>
            </w:pPr>
          </w:p>
        </w:tc>
      </w:tr>
      <w:tr>
        <w:trPr>
          <w:trHeight w:val="215"/>
        </w:trPr>
        <w:tc>
          <w:tcPr>
            <w:tcW w:w="3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All other research and development expenses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w:t>
            </w:r>
          </w:p>
        </w:tc>
        <w:tc>
          <w:tcPr>
            <w:tcW w:w="40" w:type="dxa"/>
            <w:vAlign w:val="bottom"/>
            <w:tcBorders>
              <w:bottom w:val="single" w:sz="8" w:color="CCEEFF"/>
            </w:tcBorders>
          </w:tcPr>
          <w:p>
            <w:pPr>
              <w:spacing w:after="0"/>
              <w:rPr>
                <w:sz w:val="18"/>
                <w:szCs w:val="18"/>
                <w:color w:val="auto"/>
              </w:rPr>
            </w:pPr>
          </w:p>
        </w:tc>
      </w:tr>
      <w:tr>
        <w:trPr>
          <w:trHeight w:val="198"/>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71,433</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103,738</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125,046</w:t>
            </w:r>
          </w:p>
        </w:tc>
        <w:tc>
          <w:tcPr>
            <w:tcW w:w="40" w:type="dxa"/>
            <w:vAlign w:val="bottom"/>
            <w:tcBorders>
              <w:bottom w:val="single" w:sz="8" w:color="CCEEFF"/>
            </w:tcBorders>
            <w:shd w:val="clear" w:color="auto" w:fill="CCEEFF"/>
          </w:tcPr>
          <w:p>
            <w:pPr>
              <w:spacing w:after="0"/>
              <w:rPr>
                <w:sz w:val="16"/>
                <w:szCs w:val="16"/>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The decrease in research and development expenses in 2025, as compared to 2024, was primarily due to lower manufacturing and quality costs that were capitalized in the current period now that RYTELO is approved, versus being partially expensed in 2024, and lower clinical trial costs associated with a decrease of activity in our Phase 3 IMerge MDS study after FDA approval of RYTELO in 2024. We expect our research and development expenses to decrease slightly in 2026, primarily due to lower labor costs driven by a decrease in headcount as a result of the workforce reduction in December 2025, partially offset by higher clinical trial costs.</w:t>
      </w:r>
    </w:p>
    <w:p>
      <w:pPr>
        <w:spacing w:after="0" w:line="144" w:lineRule="exact"/>
        <w:rPr>
          <w:sz w:val="20"/>
          <w:szCs w:val="20"/>
          <w:color w:val="auto"/>
        </w:rPr>
      </w:pPr>
    </w:p>
    <w:p>
      <w:pPr>
        <w:ind w:left="960" w:right="1199" w:firstLine="902"/>
        <w:spacing w:after="0" w:line="265" w:lineRule="auto"/>
        <w:rPr>
          <w:sz w:val="20"/>
          <w:szCs w:val="20"/>
          <w:color w:val="auto"/>
        </w:rPr>
      </w:pPr>
      <w:r>
        <w:rPr>
          <w:rFonts w:ascii="Times New Roman" w:cs="Times New Roman" w:eastAsia="Times New Roman" w:hAnsi="Times New Roman"/>
          <w:sz w:val="14"/>
          <w:szCs w:val="14"/>
          <w:color w:val="auto"/>
        </w:rPr>
        <w:t>The decrease in research and development expenses in 2024, as compared to 2023, was primarily due to manufacturing and quality costs that were capitalized beginning with the third quarter of 2024, due to FDA approval of RYTELO in June 2024, versus being expensed as research and development expenses in 2023. The decrease is partially offset by an increase in labor costs due to higher headcount and incentive and stock-based compensation expense recognized due to the vesting of performance-based stock options upon FDA approval.</w:t>
      </w:r>
    </w:p>
    <w:p>
      <w:pPr>
        <w:spacing w:after="0" w:line="142" w:lineRule="exact"/>
        <w:rPr>
          <w:sz w:val="20"/>
          <w:szCs w:val="20"/>
          <w:color w:val="auto"/>
        </w:rPr>
      </w:pPr>
    </w:p>
    <w:p>
      <w:pPr>
        <w:ind w:left="960" w:right="1159" w:firstLine="902"/>
        <w:spacing w:after="0" w:line="174" w:lineRule="exact"/>
        <w:rPr>
          <w:sz w:val="20"/>
          <w:szCs w:val="20"/>
          <w:color w:val="auto"/>
        </w:rPr>
      </w:pPr>
      <w:r>
        <w:rPr>
          <w:rFonts w:ascii="Times New Roman" w:cs="Times New Roman" w:eastAsia="Times New Roman" w:hAnsi="Times New Roman"/>
          <w:sz w:val="14"/>
          <w:szCs w:val="14"/>
          <w:color w:val="auto"/>
        </w:rPr>
        <w:t>A discussion of the risks and uncertainties associated with the development of imetelstat can be found in the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sections entitled “Risks Related to the Further Development of RYTELO (Imetelstat),” “Risks Related to the Commercialization of RYTELO” and “Risks Related to Regulatory Approval of RYTELO” in Part II, Item 1A entitled “Risk Factors” and elsewhere in this Report. As a result of these risks and uncertainties, we are unable to determine with any degree of certainty the duration and completion costs of ongoing and potential future imetelstat research and development projects, anticipated completion dates, or when and to what extent we will receive cash inflows from the commercialization and sale of RYTELO in any other jurisdictions or indications we are pursuing or may in the future pursue, if at all.</w:t>
      </w:r>
    </w:p>
    <w:p>
      <w:pPr>
        <w:sectPr>
          <w:pgSz w:w="11900" w:h="16838" w:orient="portrait"/>
          <w:cols w:equalWidth="0" w:num="1">
            <w:col w:w="9019"/>
          </w:cols>
          <w:pgMar w:left="1440" w:top="114" w:right="1440" w:bottom="0" w:gutter="0" w:footer="0" w:header="0"/>
        </w:sectPr>
      </w:pPr>
    </w:p>
    <w:bookmarkStart w:id="62" w:name="page63"/>
    <w:bookmarkEnd w:id="62"/>
    <w:p>
      <w:pPr>
        <w:ind w:left="9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051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84190" cy="3051175"/>
                    </a:xfrm>
                    <a:prstGeom prst="rect">
                      <a:avLst/>
                    </a:prstGeom>
                    <a:noFill/>
                  </pic:spPr>
                </pic:pic>
              </a:graphicData>
            </a:graphic>
          </wp:anchor>
        </w:drawing>
        <w:t>Selling, General and Administrative Expenses</w:t>
      </w:r>
    </w:p>
    <w:p>
      <w:pPr>
        <w:spacing w:after="0" w:line="185" w:lineRule="exact"/>
        <w:rPr>
          <w:sz w:val="20"/>
          <w:szCs w:val="20"/>
          <w:color w:val="auto"/>
        </w:rPr>
      </w:pPr>
    </w:p>
    <w:p>
      <w:pPr>
        <w:ind w:left="960" w:right="999" w:firstLine="902"/>
        <w:spacing w:after="0" w:line="292" w:lineRule="auto"/>
        <w:rPr>
          <w:sz w:val="20"/>
          <w:szCs w:val="20"/>
          <w:color w:val="auto"/>
        </w:rPr>
      </w:pPr>
      <w:r>
        <w:rPr>
          <w:rFonts w:ascii="Times New Roman" w:cs="Times New Roman" w:eastAsia="Times New Roman" w:hAnsi="Times New Roman"/>
          <w:sz w:val="14"/>
          <w:szCs w:val="14"/>
          <w:color w:val="auto"/>
        </w:rPr>
        <w:t>Selling, general and administrative expenses were $159.3 million, $145.7 million, and $69.1 million for the years ended December 31, 2025, 2024 and 2023 , respectively.</w:t>
      </w:r>
    </w:p>
    <w:p>
      <w:pPr>
        <w:spacing w:after="0" w:line="124" w:lineRule="exact"/>
        <w:rPr>
          <w:sz w:val="20"/>
          <w:szCs w:val="20"/>
          <w:color w:val="auto"/>
        </w:rPr>
      </w:pPr>
    </w:p>
    <w:p>
      <w:pPr>
        <w:ind w:left="960" w:right="1019" w:firstLine="902"/>
        <w:spacing w:after="0" w:line="263" w:lineRule="auto"/>
        <w:rPr>
          <w:sz w:val="20"/>
          <w:szCs w:val="20"/>
          <w:color w:val="auto"/>
        </w:rPr>
      </w:pPr>
      <w:r>
        <w:rPr>
          <w:rFonts w:ascii="Times New Roman" w:cs="Times New Roman" w:eastAsia="Times New Roman" w:hAnsi="Times New Roman"/>
          <w:sz w:val="14"/>
          <w:szCs w:val="14"/>
          <w:color w:val="auto"/>
        </w:rPr>
        <w:t>The increase in selling, general and administrative expenses in 2025 as compared to 2024 is primarily due to an increase in sales and marketing full-time employees of approximately $3.7 million, additional investment in marketing programs of approximately $2.6 million and approximately $1.3 million higher legal expenses. We expect our selling, general and administrative expenses to decrease in 2026, primarily due to lower labor costs driven by a decrease in headcount as a result of the workforce reduction in December 2025, partially offset by higher marketing costs due to continued investment in our RYTELO commercialization strategy.</w:t>
      </w:r>
    </w:p>
    <w:p>
      <w:pPr>
        <w:spacing w:after="0" w:line="144" w:lineRule="exact"/>
        <w:rPr>
          <w:sz w:val="20"/>
          <w:szCs w:val="20"/>
          <w:color w:val="auto"/>
        </w:rPr>
      </w:pPr>
    </w:p>
    <w:p>
      <w:pPr>
        <w:ind w:left="960" w:right="979" w:firstLine="902"/>
        <w:spacing w:after="0" w:line="265" w:lineRule="auto"/>
        <w:rPr>
          <w:sz w:val="20"/>
          <w:szCs w:val="20"/>
          <w:color w:val="auto"/>
        </w:rPr>
      </w:pPr>
      <w:r>
        <w:rPr>
          <w:rFonts w:ascii="Times New Roman" w:cs="Times New Roman" w:eastAsia="Times New Roman" w:hAnsi="Times New Roman"/>
          <w:sz w:val="14"/>
          <w:szCs w:val="14"/>
          <w:color w:val="auto"/>
        </w:rPr>
        <w:t>The increase in selling, general and administrative expenses in 2024 as compared to 2023 primarily reflects the net result of higher personnel-related expenses of approximately $40.0 million related to increased headcount to support commercial launch of RYTELO in the U.S. and stock-based compensation recognized upon FDA approval of RYTELO due to the vesting of performance-based stock options, as well as increased costs for commercial preparatory activities and launch support of approximately $33.0 million.</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Restructuring Charges</w:t>
      </w:r>
    </w:p>
    <w:p>
      <w:pPr>
        <w:spacing w:after="0" w:line="187" w:lineRule="exact"/>
        <w:rPr>
          <w:sz w:val="20"/>
          <w:szCs w:val="20"/>
          <w:color w:val="auto"/>
        </w:rPr>
      </w:pPr>
    </w:p>
    <w:p>
      <w:pPr>
        <w:ind w:left="960" w:right="1179" w:firstLine="902"/>
        <w:spacing w:after="0" w:line="274" w:lineRule="auto"/>
        <w:rPr>
          <w:sz w:val="20"/>
          <w:szCs w:val="20"/>
          <w:color w:val="auto"/>
        </w:rPr>
      </w:pPr>
      <w:r>
        <w:rPr>
          <w:rFonts w:ascii="Times New Roman" w:cs="Times New Roman" w:eastAsia="Times New Roman" w:hAnsi="Times New Roman"/>
          <w:sz w:val="14"/>
          <w:szCs w:val="14"/>
          <w:color w:val="auto"/>
        </w:rPr>
        <w:t>In December 2025, we implemented a workforce reduction, representing approximately one-third of our workforce prior to the reduction in headcount. Restructuring charges consist of termination benefits such as one-time employee severance payments, healthcare and related benefits, and other employee-related costs. In 2025, restructuring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479"/>
        <w:spacing w:after="0" w:line="292" w:lineRule="auto"/>
        <w:rPr>
          <w:sz w:val="20"/>
          <w:szCs w:val="20"/>
          <w:color w:val="auto"/>
        </w:rPr>
      </w:pPr>
      <w:r>
        <w:rPr>
          <w:rFonts w:ascii="Times New Roman" w:cs="Times New Roman" w:eastAsia="Times New Roman" w:hAnsi="Times New Roman"/>
          <w:sz w:val="14"/>
          <w:szCs w:val="14"/>
          <w:color w:val="auto"/>
        </w:rPr>
        <w:t>charges were $17.0 million. There were no restructuring charges in 2024 or 2023. These costs were recorded in the consolidated statement of operations as restructuring charges.</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Interest Income</w:t>
      </w:r>
    </w:p>
    <w:p>
      <w:pPr>
        <w:spacing w:after="0" w:line="185" w:lineRule="exact"/>
        <w:rPr>
          <w:sz w:val="20"/>
          <w:szCs w:val="20"/>
          <w:color w:val="auto"/>
        </w:rPr>
      </w:pPr>
    </w:p>
    <w:p>
      <w:pPr>
        <w:ind w:left="960" w:right="1079" w:firstLine="902"/>
        <w:spacing w:after="0" w:line="268" w:lineRule="auto"/>
        <w:rPr>
          <w:sz w:val="20"/>
          <w:szCs w:val="20"/>
          <w:color w:val="auto"/>
        </w:rPr>
      </w:pPr>
      <w:r>
        <w:rPr>
          <w:rFonts w:ascii="Times New Roman" w:cs="Times New Roman" w:eastAsia="Times New Roman" w:hAnsi="Times New Roman"/>
          <w:sz w:val="14"/>
          <w:szCs w:val="14"/>
          <w:color w:val="auto"/>
        </w:rPr>
        <w:t>Interest income was $18.1 million, $19.6 million, and $18.2 million for the years ended December 31, 2025, 2024 and 2023, respectively. The decrease in interest income in 2025 compared to 2024 primarily reflects a smaller marketable securities portfolio. Interest earned in future periods will depend on the size of our marketable securities portfolio and prevailing interest rates.</w:t>
      </w:r>
    </w:p>
    <w:p>
      <w:pPr>
        <w:spacing w:after="0" w:line="140" w:lineRule="exact"/>
        <w:rPr>
          <w:sz w:val="20"/>
          <w:szCs w:val="20"/>
          <w:color w:val="auto"/>
        </w:rPr>
      </w:pPr>
    </w:p>
    <w:p>
      <w:pPr>
        <w:ind w:left="960" w:right="999" w:firstLine="902"/>
        <w:spacing w:after="0" w:line="274" w:lineRule="auto"/>
        <w:rPr>
          <w:sz w:val="20"/>
          <w:szCs w:val="20"/>
          <w:color w:val="auto"/>
        </w:rPr>
      </w:pPr>
      <w:r>
        <w:rPr>
          <w:rFonts w:ascii="Times New Roman" w:cs="Times New Roman" w:eastAsia="Times New Roman" w:hAnsi="Times New Roman"/>
          <w:sz w:val="14"/>
          <w:szCs w:val="14"/>
          <w:color w:val="auto"/>
        </w:rPr>
        <w:t>The increase in interest income in 2024 compared to 2023 primarily reflects a larger marketable securities portfolio due to the receipt of net cash proceeds from the underwritten offering completed in March 2024, as well as higher yields from marketable securities purchases.</w:t>
      </w:r>
    </w:p>
    <w:p>
      <w:pPr>
        <w:spacing w:after="0" w:line="30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Interest Expense</w:t>
      </w:r>
    </w:p>
    <w:p>
      <w:pPr>
        <w:spacing w:after="0" w:line="185" w:lineRule="exact"/>
        <w:rPr>
          <w:sz w:val="20"/>
          <w:szCs w:val="20"/>
          <w:color w:val="auto"/>
        </w:rPr>
      </w:pPr>
    </w:p>
    <w:p>
      <w:pPr>
        <w:ind w:left="960" w:right="979" w:firstLine="902"/>
        <w:spacing w:after="0" w:line="292" w:lineRule="auto"/>
        <w:rPr>
          <w:sz w:val="20"/>
          <w:szCs w:val="20"/>
          <w:color w:val="auto"/>
        </w:rPr>
      </w:pPr>
      <w:r>
        <w:rPr>
          <w:rFonts w:ascii="Times New Roman" w:cs="Times New Roman" w:eastAsia="Times New Roman" w:hAnsi="Times New Roman"/>
          <w:sz w:val="14"/>
          <w:szCs w:val="14"/>
          <w:color w:val="auto"/>
        </w:rPr>
        <w:t>Interest expense was $32.7 million, $18.5 million, and $8.3 million for the years ended December 31, 2025, 2024 and 2023, respectively.</w:t>
      </w:r>
    </w:p>
    <w:p>
      <w:pPr>
        <w:spacing w:after="0" w:line="124" w:lineRule="exact"/>
        <w:rPr>
          <w:sz w:val="20"/>
          <w:szCs w:val="20"/>
          <w:color w:val="auto"/>
        </w:rPr>
      </w:pPr>
    </w:p>
    <w:p>
      <w:pPr>
        <w:jc w:val="both"/>
        <w:ind w:left="960" w:right="1099" w:firstLine="902"/>
        <w:spacing w:after="0" w:line="274" w:lineRule="auto"/>
        <w:rPr>
          <w:sz w:val="20"/>
          <w:szCs w:val="20"/>
          <w:color w:val="auto"/>
        </w:rPr>
      </w:pPr>
      <w:r>
        <w:rPr>
          <w:rFonts w:ascii="Times New Roman" w:cs="Times New Roman" w:eastAsia="Times New Roman" w:hAnsi="Times New Roman"/>
          <w:sz w:val="14"/>
          <w:szCs w:val="14"/>
          <w:color w:val="auto"/>
        </w:rPr>
        <w:t>The increase in interest expense in 2025 as compared to 2024 primarily reflects $18.9 million in non-cash interest expense related to the Royalty Pharma Agreement and $13.7 million related to the Pharmakon Loan Agreement, which were entered into in November 2024.</w:t>
      </w:r>
    </w:p>
    <w:p>
      <w:pPr>
        <w:spacing w:after="0" w:line="136" w:lineRule="exact"/>
        <w:rPr>
          <w:sz w:val="20"/>
          <w:szCs w:val="20"/>
          <w:color w:val="auto"/>
        </w:rPr>
      </w:pPr>
    </w:p>
    <w:p>
      <w:pPr>
        <w:ind w:left="960" w:right="1139" w:firstLine="902"/>
        <w:spacing w:after="0" w:line="274" w:lineRule="auto"/>
        <w:rPr>
          <w:sz w:val="20"/>
          <w:szCs w:val="20"/>
          <w:color w:val="auto"/>
        </w:rPr>
      </w:pPr>
      <w:r>
        <w:rPr>
          <w:rFonts w:ascii="Times New Roman" w:cs="Times New Roman" w:eastAsia="Times New Roman" w:hAnsi="Times New Roman"/>
          <w:sz w:val="14"/>
          <w:szCs w:val="14"/>
          <w:color w:val="auto"/>
        </w:rPr>
        <w:t>The increase in interest expense in 2024 compared to 2023 primarily reflects $5.3 million in non-cash interest expense related to the Royalty Pharma Agreement, $2.3 million in Pharmakon Loan Agreement and $2.6 million increase related to the Hercules agreement in comparison to the prior year.</w:t>
      </w:r>
    </w:p>
    <w:p>
      <w:pPr>
        <w:spacing w:after="0" w:line="136"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On November 1, 2024, we entered into the Pharmakon Loan Agreement, and in connection with this transaction, all obligations outstanding under the Hercules Loan Agreement were repaid in full on November 1, 2024, upon which the Hercules Loan Agreement was terminated. On January 5, 2026, the Pharmakon Loan Agreement was amended to extend the date for requesting the Tranche B Loan and Tranche C Loan, once available, from December 31, 2025 to July 30, 2026. The amendment also extended the Makewhole Date from November 1, 2026 to May 1, 2027. See Note 10 on Debt in Notes to Consolidated Financial Statements of this Report for additional information.</w:t>
      </w:r>
    </w:p>
    <w:p>
      <w:pPr>
        <w:spacing w:after="0" w:line="2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Other Income (Expense), Net</w:t>
      </w:r>
    </w:p>
    <w:p>
      <w:pPr>
        <w:spacing w:after="0" w:line="185"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Other income (expense), net was a loss of $0.4 million for the year ended December 31, 2025, and a loss of $0.2 million and less than $0.1 million for the years ended December 31, 2024 and 2023, respectively. Other income (expense), net primarily reflects bank charges related to our cash operating accounts and marketable securities portfolio as well as foreign currency transaction adjustments.</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Loss on Extinguishment of Debt</w:t>
      </w:r>
    </w:p>
    <w:p>
      <w:pPr>
        <w:spacing w:after="0" w:line="185" w:lineRule="exact"/>
        <w:rPr>
          <w:sz w:val="20"/>
          <w:szCs w:val="20"/>
          <w:color w:val="auto"/>
        </w:rPr>
      </w:pPr>
    </w:p>
    <w:p>
      <w:pPr>
        <w:ind w:left="960" w:right="1159" w:firstLine="902"/>
        <w:spacing w:after="0" w:line="268" w:lineRule="auto"/>
        <w:rPr>
          <w:sz w:val="20"/>
          <w:szCs w:val="20"/>
          <w:color w:val="auto"/>
        </w:rPr>
      </w:pPr>
      <w:r>
        <w:rPr>
          <w:rFonts w:ascii="Times New Roman" w:cs="Times New Roman" w:eastAsia="Times New Roman" w:hAnsi="Times New Roman"/>
          <w:sz w:val="14"/>
          <w:szCs w:val="14"/>
          <w:color w:val="auto"/>
        </w:rPr>
        <w:t>We recorded a loss on the extinguishment of debt of $1.7 million for the year ended December 31, 2024. This loss is related to the settlement of debt outstanding under the Hercules Loan Agreement. No debt extinguishment occurred during the years ended December 31, 2025 or 2023. See Note 10 on Debt in Notes to Consolidated Financial Statements of this Report for additional information.</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As of December 31, 2025, we had cash, restricted cash, cash equivalents and marketable securities of</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$401.1 million, compared to $502.9 million at December 31, 2024. The decrease in cash, restricted cash, cash equivalents,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and marketable securities from December 31, 2025 was primarily the net result of cash used in operations, partially offset</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by the receipt of net cash proceeds from accounts receivable.</w:t>
      </w:r>
    </w:p>
    <w:p>
      <w:pPr>
        <w:spacing w:after="0" w:line="169" w:lineRule="exact"/>
        <w:rPr>
          <w:sz w:val="20"/>
          <w:szCs w:val="20"/>
          <w:color w:val="auto"/>
        </w:rPr>
      </w:pPr>
    </w:p>
    <w:p>
      <w:pPr>
        <w:ind w:left="960" w:right="1119" w:firstLine="902"/>
        <w:spacing w:after="0" w:line="292" w:lineRule="auto"/>
        <w:rPr>
          <w:sz w:val="20"/>
          <w:szCs w:val="20"/>
          <w:color w:val="auto"/>
        </w:rPr>
      </w:pPr>
      <w:r>
        <w:rPr>
          <w:rFonts w:ascii="Times New Roman" w:cs="Times New Roman" w:eastAsia="Times New Roman" w:hAnsi="Times New Roman"/>
          <w:sz w:val="14"/>
          <w:szCs w:val="14"/>
          <w:color w:val="auto"/>
        </w:rPr>
        <w:t>On March 21, 2024, we completed an underwritten public offering consisting of 41,999,998 shares of our common stock and a pre-funded warrant to purchase 8,002,668 shares of our common stock. All of the securities were</w:t>
      </w:r>
    </w:p>
    <w:p>
      <w:pPr>
        <w:sectPr>
          <w:pgSz w:w="11900" w:h="16838" w:orient="portrait"/>
          <w:cols w:equalWidth="0" w:num="1">
            <w:col w:w="9019"/>
          </w:cols>
          <w:pgMar w:left="1440" w:top="187" w:right="1440" w:bottom="61"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187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84190" cy="118745"/>
                    </a:xfrm>
                    <a:prstGeom prst="rect">
                      <a:avLst/>
                    </a:prstGeom>
                    <a:noFill/>
                  </pic:spPr>
                </pic:pic>
              </a:graphicData>
            </a:graphic>
          </wp:anchor>
        </w:drawing>
      </w:r>
    </w:p>
    <w:p>
      <w:pPr>
        <w:sectPr>
          <w:pgSz w:w="11900" w:h="16838" w:orient="portrait"/>
          <w:cols w:equalWidth="0" w:num="1">
            <w:col w:w="9019"/>
          </w:cols>
          <w:pgMar w:left="1440" w:top="187" w:right="1440" w:bottom="61" w:gutter="0" w:footer="0" w:header="0"/>
          <w:type w:val="continuous"/>
        </w:sectPr>
      </w:pPr>
    </w:p>
    <w:bookmarkStart w:id="63" w:name="page64"/>
    <w:bookmarkEnd w:id="63"/>
    <w:p>
      <w:pPr>
        <w:spacing w:after="0" w:line="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-92075</wp:posOffset>
            </wp:positionV>
            <wp:extent cx="5584190" cy="70948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84190" cy="7094855"/>
                    </a:xfrm>
                    <a:prstGeom prst="rect">
                      <a:avLst/>
                    </a:prstGeom>
                    <a:noFill/>
                  </pic:spPr>
                </pic:pic>
              </a:graphicData>
            </a:graphic>
          </wp:anchor>
        </w:drawing>
      </w:r>
    </w:p>
    <w:p>
      <w:pPr>
        <w:spacing w:after="0" w:line="270" w:lineRule="exact"/>
        <w:rPr>
          <w:sz w:val="20"/>
          <w:szCs w:val="20"/>
          <w:color w:val="auto"/>
        </w:rPr>
      </w:pPr>
    </w:p>
    <w:p>
      <w:pPr>
        <w:ind w:left="960" w:right="999"/>
        <w:spacing w:after="0" w:line="262" w:lineRule="auto"/>
        <w:rPr>
          <w:sz w:val="20"/>
          <w:szCs w:val="20"/>
          <w:color w:val="auto"/>
        </w:rPr>
      </w:pPr>
      <w:r>
        <w:rPr>
          <w:rFonts w:ascii="Times New Roman" w:cs="Times New Roman" w:eastAsia="Times New Roman" w:hAnsi="Times New Roman"/>
          <w:sz w:val="14"/>
          <w:szCs w:val="14"/>
          <w:color w:val="auto"/>
        </w:rPr>
        <w:t>issued separately. The offering price of the common stock was $3.00 per share. The offering price of the 2024 pre-funded warrant was $2.99 per share. The 2024 pre-funded warrant has an exercise price of $0.001 per share and may be exercised at any time until it is exercised in full. The net cash proceeds from this offering were approximately $141.0 million, after deducting the underwriting discount and other offering expenses paid by us, and excluding any proceeds from the exercise of the 2024 pre-funded warrant. See Note 11 on Stockholders’ Equity in Notes to Consolidated Financial Statements of this Report for additional information about the underwritten offering completed in March 2024. During the year ended December 31, 2025, 5.4 million of the 2024 pre-funded warrants were exercised.</w:t>
      </w:r>
    </w:p>
    <w:p>
      <w:pPr>
        <w:spacing w:after="0" w:line="144"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highlight w:val="white"/>
        </w:rPr>
        <w:t xml:space="preserve">On November 1, 2024, we entered into the Pharmakon Loan Agreement. We drew the Tranche A Loan of $125.0 million on November 1, 2024, a portion of which was utilized to repay all outstanding indebtedness associated with the Hercules Loan Agreement. The Pharmakon Loan Agreement provides two additional committed term loan tranches, the Tranche B Loan and the Tranche C Loan, in principal amounts of $75.0 million and $50.0 million, respectively, subject to customary conditions to fund and, in the case of the Tranche C Loan, achieving certain minimum net sales milestone. The Tranche B Loan and the Tranche C Loan could have been requested on or prior to December 31, 2025. The Term Loans mature on November 1, 2029. The Term Loans bear interest at a variable rate per annum equal to 5.75% plus three-month SOFR with a SOFR floor of 3.00%. </w:t>
      </w:r>
      <w:r>
        <w:rPr>
          <w:rFonts w:ascii="Times New Roman" w:cs="Times New Roman" w:eastAsia="Times New Roman" w:hAnsi="Times New Roman"/>
          <w:sz w:val="14"/>
          <w:szCs w:val="14"/>
          <w:color w:val="auto"/>
        </w:rPr>
        <w:t>On January 5, 2026, the Pharmakon Loan Agreement was amended to extend the date</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 xml:space="preserve">for requesting the Tranche B Loan and Tranche C Loan, once available, from December 31, 2025 to July 30, 2026. The amendment also extended the Makewhole Date from November 1, 2026 to May 1, 2027. </w:t>
      </w:r>
      <w:r>
        <w:rPr>
          <w:rFonts w:ascii="Times New Roman" w:cs="Times New Roman" w:eastAsia="Times New Roman" w:hAnsi="Times New Roman"/>
          <w:sz w:val="14"/>
          <w:szCs w:val="14"/>
          <w:color w:val="auto"/>
          <w:highlight w:val="white"/>
        </w:rPr>
        <w:t>See Note 10 on Debt in Notes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Consolidated Financial Statements of this Report for additional information on the Pharmakon Loan Agreement.</w:t>
      </w:r>
    </w:p>
    <w:p>
      <w:pPr>
        <w:spacing w:after="0" w:line="151"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On November 1, 2024, we entered into the Royalty Pharma Agreement with Royalty Pharma. Pursuant to the Royalty Pharma Agreement, we received $125.0 million, or the Purchase Price, in exchange for which Royalty Pharma obtained the right to receive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There are no other royalties payable on RYTELO, which was developed internally and is exclusively owned by Geron. See Note 10 on Debt in Notes to Consolidated Financial Statements of this Report for additional information on the Royalty Pharma Agreement.</w:t>
      </w:r>
    </w:p>
    <w:p>
      <w:pPr>
        <w:spacing w:after="0" w:line="146" w:lineRule="exact"/>
        <w:rPr>
          <w:sz w:val="20"/>
          <w:szCs w:val="20"/>
          <w:color w:val="auto"/>
        </w:rPr>
      </w:pPr>
    </w:p>
    <w:p>
      <w:pPr>
        <w:ind w:left="960" w:right="1059" w:firstLine="902"/>
        <w:spacing w:after="0" w:line="265" w:lineRule="auto"/>
        <w:rPr>
          <w:sz w:val="20"/>
          <w:szCs w:val="20"/>
          <w:color w:val="auto"/>
        </w:rPr>
      </w:pPr>
      <w:r>
        <w:rPr>
          <w:rFonts w:ascii="Times New Roman" w:cs="Times New Roman" w:eastAsia="Times New Roman" w:hAnsi="Times New Roman"/>
          <w:sz w:val="14"/>
          <w:szCs w:val="14"/>
          <w:color w:val="auto"/>
        </w:rPr>
        <w:t>In 2024, warrants to purchase 1,071,981 shares of our common stock were exercised for net cash proceeds of approximately $1.4 million. In 2025, warrants to purchase 1,162,376 shares of our common stock were exercised, generating cash proceeds of $1.5 million, which proceeds were received in January 2026. These warrants were issued in connection with underwritten public offerings of our common stock in 2020. The remaining warrants to purchase 240,146 shares of our common stock expired on December 31, 2025 and are no longer outstanding.</w:t>
      </w:r>
    </w:p>
    <w:p>
      <w:pPr>
        <w:spacing w:after="0" w:line="142" w:lineRule="exact"/>
        <w:rPr>
          <w:sz w:val="20"/>
          <w:szCs w:val="20"/>
          <w:color w:val="auto"/>
        </w:rPr>
      </w:pPr>
    </w:p>
    <w:p>
      <w:pPr>
        <w:ind w:left="960" w:right="1099" w:firstLine="902"/>
        <w:spacing w:after="0" w:line="268" w:lineRule="auto"/>
        <w:rPr>
          <w:sz w:val="20"/>
          <w:szCs w:val="20"/>
          <w:color w:val="auto"/>
        </w:rPr>
      </w:pPr>
      <w:r>
        <w:rPr>
          <w:rFonts w:ascii="Times New Roman" w:cs="Times New Roman" w:eastAsia="Times New Roman" w:hAnsi="Times New Roman"/>
          <w:sz w:val="14"/>
          <w:szCs w:val="14"/>
          <w:color w:val="auto"/>
        </w:rPr>
        <w:t>On January 10, 2023, we completed an underwritten public offering of 68,007,741 shares of our common stock and a pre-funded warrant to purchase 25,000,000 shares of our common stock, or the 2023 pre-funded warrant. The net cash proceeds from this offering were approximately $213.3 million, after deducting the underwriting discount and other offering expenses paid by us.</w:t>
      </w:r>
    </w:p>
    <w:p>
      <w:pPr>
        <w:spacing w:after="0" w:line="140" w:lineRule="exact"/>
        <w:rPr>
          <w:sz w:val="20"/>
          <w:szCs w:val="20"/>
          <w:color w:val="auto"/>
        </w:rPr>
      </w:pPr>
    </w:p>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t>On November 1, 2023, we entered into an At Market Issuance Sales Agreement, or the 2023 Sales Agreement, with B. Riley Securities, pursuant to which we could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No sales of common stock occurred under the 2023 Sales Agreement, which was terminated in January 2026.</w:t>
      </w:r>
    </w:p>
    <w:p>
      <w:pPr>
        <w:spacing w:after="0" w:line="144"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On February 27, 2026, we entered into a sales agreement, or the 2026 Sales Agreement, with TD Securities (USA) LLC, or TD Cowen, pursuant to which we may issue and sell shares of our common stock having an aggregate offering price of up to $150 million from time to time through TD Cowen as the sales agent. We will pay TD Cowen an aggregate commission rate equal to up to 2.5% of the gross proceeds of the sales price per share for common stock sold through TD Cowen under the 2026 Sales Agreement. We are not obligated to make any sales of common stock under the 2026 Sales Agreement.</w:t>
      </w:r>
    </w:p>
    <w:p>
      <w:pPr>
        <w:spacing w:after="0" w:line="144" w:lineRule="exact"/>
        <w:rPr>
          <w:sz w:val="20"/>
          <w:szCs w:val="20"/>
          <w:color w:val="auto"/>
        </w:rPr>
      </w:pPr>
    </w:p>
    <w:p>
      <w:pPr>
        <w:ind w:left="960" w:right="1139" w:firstLine="902"/>
        <w:spacing w:after="0" w:line="274" w:lineRule="auto"/>
        <w:rPr>
          <w:sz w:val="20"/>
          <w:szCs w:val="20"/>
          <w:color w:val="auto"/>
        </w:rPr>
      </w:pPr>
      <w:r>
        <w:rPr>
          <w:rFonts w:ascii="Times New Roman" w:cs="Times New Roman" w:eastAsia="Times New Roman" w:hAnsi="Times New Roman"/>
          <w:sz w:val="14"/>
          <w:szCs w:val="14"/>
          <w:color w:val="auto"/>
        </w:rPr>
        <w:t>The issuance and sale of our common stock under the 2026 Sales Agreement will be made pursuant to an automatically effective registration statement on Form S-3 and the related prospectus, in each case to be filed with the United States Securities and Exchange Commission on or about March 2, 2026.</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3357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84190" cy="33578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firstLine="974"/>
        <w:spacing w:after="0" w:line="261" w:lineRule="auto"/>
        <w:rPr>
          <w:sz w:val="20"/>
          <w:szCs w:val="20"/>
          <w:color w:val="auto"/>
        </w:rPr>
      </w:pPr>
      <w:r>
        <w:rPr>
          <w:rFonts w:ascii="Times New Roman" w:cs="Times New Roman" w:eastAsia="Times New Roman" w:hAnsi="Times New Roman"/>
          <w:sz w:val="14"/>
          <w:szCs w:val="14"/>
          <w:color w:val="auto"/>
        </w:rPr>
        <w:t>We have an investment policy to invest our cash in liquid, investment-grade securities, such as interest-bearing money market funds, certificates of deposit, U.S. Treasury securities, municipal securities, government and agency securities, corporate notes and commercial paper. Our investment portfolio does not contain securities with exposure to sub-prime mortgages, collateralized debt obligations, asset-backed securities or auction rate securities and, to date, we have not recognized any other-than-temporary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Financing Strategy</w:t>
      </w:r>
    </w:p>
    <w:p>
      <w:pPr>
        <w:spacing w:after="0" w:line="187" w:lineRule="exact"/>
        <w:rPr>
          <w:sz w:val="20"/>
          <w:szCs w:val="20"/>
          <w:color w:val="auto"/>
        </w:rPr>
      </w:pPr>
    </w:p>
    <w:p>
      <w:pPr>
        <w:ind w:left="960" w:right="1019" w:firstLine="902"/>
        <w:spacing w:after="0" w:line="263" w:lineRule="auto"/>
        <w:rPr>
          <w:sz w:val="20"/>
          <w:szCs w:val="20"/>
          <w:color w:val="auto"/>
        </w:rPr>
      </w:pPr>
      <w:r>
        <w:rPr>
          <w:rFonts w:ascii="Times New Roman" w:cs="Times New Roman" w:eastAsia="Times New Roman" w:hAnsi="Times New Roman"/>
          <w:sz w:val="14"/>
          <w:szCs w:val="14"/>
          <w:color w:val="auto"/>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87" w:lineRule="exact"/>
        <w:rPr>
          <w:sz w:val="20"/>
          <w:szCs w:val="20"/>
          <w:color w:val="auto"/>
        </w:rPr>
      </w:pPr>
    </w:p>
    <w:p>
      <w:pPr>
        <w:ind w:left="960" w:right="1039" w:firstLine="902"/>
        <w:spacing w:after="0" w:line="262" w:lineRule="auto"/>
        <w:rPr>
          <w:sz w:val="20"/>
          <w:szCs w:val="20"/>
          <w:color w:val="auto"/>
        </w:rPr>
      </w:pPr>
      <w:r>
        <w:rPr>
          <w:rFonts w:ascii="Times New Roman" w:cs="Times New Roman" w:eastAsia="Times New Roman" w:hAnsi="Times New Roman"/>
          <w:sz w:val="14"/>
          <w:szCs w:val="14"/>
          <w:color w:val="auto"/>
        </w:rPr>
        <w:t>Successful drug development and commercialization requires significant amounts of capital. As of December 31, 2025, we had approximately $401.1 million in cash, cash equivalents, restricted cash and marketable securities. Based on our current operating plans and assumptions, we believe that our existing cash, cash equivalents, and marketable securities, together with anticipated net revenues from sales of RYTELO, will be sufficient to fund our projected operating requirements for the foreseeable future. However,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w:t>
      </w:r>
    </w:p>
    <w:p>
      <w:pPr>
        <w:sectPr>
          <w:pgSz w:w="11900" w:h="16913" w:orient="portrait"/>
          <w:cols w:equalWidth="0" w:num="1">
            <w:col w:w="9019"/>
          </w:cols>
          <w:pgMar w:left="1440" w:top="125" w:right="1440" w:bottom="0" w:gutter="0" w:footer="0" w:header="0"/>
        </w:sectPr>
      </w:pPr>
    </w:p>
    <w:bookmarkStart w:id="64" w:name="page65"/>
    <w:bookmarkEnd w:id="64"/>
    <w:p>
      <w:pPr>
        <w:ind w:left="960" w:right="999"/>
        <w:spacing w:after="0" w:line="260" w:lineRule="auto"/>
        <w:rPr>
          <w:sz w:val="20"/>
          <w:szCs w:val="20"/>
          <w:color w:val="auto"/>
        </w:rPr>
      </w:pPr>
      <w:r>
        <w:rPr>
          <w:rFonts w:ascii="Times New Roman" w:cs="Times New Roman" w:eastAsia="Times New Roman" w:hAnsi="Times New Roman"/>
          <w:sz w:val="14"/>
          <w:szCs w:val="14"/>
          <w:color w:val="auto"/>
        </w:rPr>
        <w:t>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-979805</wp:posOffset>
            </wp:positionV>
            <wp:extent cx="5584190" cy="3855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84190" cy="3855720"/>
                    </a:xfrm>
                    <a:prstGeom prst="rect">
                      <a:avLst/>
                    </a:prstGeom>
                    <a:noFill/>
                  </pic:spPr>
                </pic:pic>
              </a:graphicData>
            </a:graphic>
          </wp:anchor>
        </w:drawing>
      </w:r>
    </w:p>
    <w:p>
      <w:pPr>
        <w:spacing w:after="0" w:line="129"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Despite receiving FDA approval of RYTELO in the U.S. in June 2024 and marketing authorization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in the U.S. or in the EU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147" w:lineRule="exact"/>
        <w:rPr>
          <w:sz w:val="20"/>
          <w:szCs w:val="20"/>
          <w:color w:val="auto"/>
        </w:rPr>
      </w:pPr>
    </w:p>
    <w:p>
      <w:pPr>
        <w:ind w:left="1480" w:hanging="262"/>
        <w:spacing w:after="0"/>
        <w:tabs>
          <w:tab w:leader="none" w:pos="14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the assumptions underlying our estimates for our capital needs;</w:t>
      </w:r>
    </w:p>
    <w:p>
      <w:pPr>
        <w:spacing w:after="0" w:line="182" w:lineRule="exact"/>
        <w:rPr>
          <w:rFonts w:ascii="Times New Roman" w:cs="Times New Roman" w:eastAsia="Times New Roman" w:hAnsi="Times New Roman"/>
          <w:sz w:val="14"/>
          <w:szCs w:val="14"/>
          <w:color w:val="auto"/>
        </w:rPr>
      </w:pPr>
    </w:p>
    <w:p>
      <w:pPr>
        <w:ind w:left="1480" w:hanging="262"/>
        <w:spacing w:after="0"/>
        <w:tabs>
          <w:tab w:leader="none" w:pos="14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level of sales and market acceptance of RYTELO;</w:t>
      </w:r>
    </w:p>
    <w:p>
      <w:pPr>
        <w:spacing w:after="0" w:line="182" w:lineRule="exact"/>
        <w:rPr>
          <w:rFonts w:ascii="Times New Roman" w:cs="Times New Roman" w:eastAsia="Times New Roman" w:hAnsi="Times New Roman"/>
          <w:sz w:val="14"/>
          <w:szCs w:val="14"/>
          <w:color w:val="auto"/>
        </w:rPr>
      </w:pPr>
    </w:p>
    <w:p>
      <w:pPr>
        <w:ind w:left="1480" w:right="999" w:hanging="262"/>
        <w:spacing w:after="0" w:line="292" w:lineRule="auto"/>
        <w:tabs>
          <w:tab w:leader="none" w:pos="14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timing, magnitude and costs of non-clinical and clinical development, manufacturing and commercialization of RYTELO, including commercialization in the U.S. and any commercialization in the EU for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65976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84190" cy="65976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1480" w:right="1459"/>
        <w:spacing w:after="0" w:line="292" w:lineRule="auto"/>
        <w:rPr>
          <w:sz w:val="20"/>
          <w:szCs w:val="20"/>
          <w:color w:val="auto"/>
        </w:rPr>
      </w:pPr>
      <w:r>
        <w:rPr>
          <w:rFonts w:ascii="Times New Roman" w:cs="Times New Roman" w:eastAsia="Times New Roman" w:hAnsi="Times New Roman"/>
          <w:sz w:val="14"/>
          <w:szCs w:val="14"/>
          <w:color w:val="auto"/>
        </w:rPr>
        <w:t>lower-risk MDS, or in any other jurisdictions or other indication we may pursue, subject to clearances and approvals by the FDA and similar international regulatory authorities;</w:t>
      </w:r>
    </w:p>
    <w:p>
      <w:pPr>
        <w:spacing w:after="0" w:line="124" w:lineRule="exact"/>
        <w:rPr>
          <w:sz w:val="20"/>
          <w:szCs w:val="20"/>
          <w:color w:val="auto"/>
        </w:rPr>
      </w:pPr>
    </w:p>
    <w:p>
      <w:pPr>
        <w:ind w:left="1480" w:right="1159" w:hanging="262"/>
        <w:spacing w:after="0" w:line="292"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disruptions in opening sites, screening and enrolling patients or treating and following patients, in our current or any potential future clinical trials of RYTELO;</w:t>
      </w:r>
    </w:p>
    <w:p>
      <w:pPr>
        <w:spacing w:after="0" w:line="123" w:lineRule="exact"/>
        <w:rPr>
          <w:rFonts w:ascii="Times New Roman" w:cs="Times New Roman" w:eastAsia="Times New Roman" w:hAnsi="Times New Roman"/>
          <w:sz w:val="14"/>
          <w:szCs w:val="14"/>
          <w:color w:val="auto"/>
        </w:rPr>
      </w:pPr>
    </w:p>
    <w:p>
      <w:pPr>
        <w:ind w:left="1480" w:hanging="262"/>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outcomes of regulatory reviews or other regulatory actions related to RYTELO,</w:t>
      </w:r>
    </w:p>
    <w:p>
      <w:pPr>
        <w:spacing w:after="0" w:line="182" w:lineRule="exact"/>
        <w:rPr>
          <w:rFonts w:ascii="Times New Roman" w:cs="Times New Roman" w:eastAsia="Times New Roman" w:hAnsi="Times New Roman"/>
          <w:sz w:val="14"/>
          <w:szCs w:val="14"/>
          <w:color w:val="auto"/>
        </w:rPr>
      </w:pPr>
    </w:p>
    <w:p>
      <w:pPr>
        <w:ind w:left="1480" w:right="1439" w:hanging="262"/>
        <w:spacing w:after="0" w:line="292"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and maintaining, enforcing and defending intellectual property-related claims;</w:t>
      </w:r>
    </w:p>
    <w:p>
      <w:pPr>
        <w:spacing w:after="0" w:line="123" w:lineRule="exact"/>
        <w:rPr>
          <w:rFonts w:ascii="Times New Roman" w:cs="Times New Roman" w:eastAsia="Times New Roman" w:hAnsi="Times New Roman"/>
          <w:sz w:val="14"/>
          <w:szCs w:val="14"/>
          <w:color w:val="auto"/>
        </w:rPr>
      </w:pPr>
    </w:p>
    <w:p>
      <w:pPr>
        <w:ind w:left="1480" w:right="979" w:hanging="262"/>
        <w:spacing w:after="0" w:line="292"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manufacturing, developing, commercializing and marketing RYTELO, including with respect to third-party vendors and service providers and our ability to achieve any meaningful reduction in manufacturing costs;</w:t>
      </w:r>
    </w:p>
    <w:p>
      <w:pPr>
        <w:spacing w:after="0" w:line="123" w:lineRule="exact"/>
        <w:rPr>
          <w:rFonts w:ascii="Times New Roman" w:cs="Times New Roman" w:eastAsia="Times New Roman" w:hAnsi="Times New Roman"/>
          <w:sz w:val="14"/>
          <w:szCs w:val="14"/>
          <w:color w:val="auto"/>
        </w:rPr>
      </w:pPr>
    </w:p>
    <w:p>
      <w:pPr>
        <w:ind w:left="1480" w:hanging="262"/>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sales price for RYTELO;</w:t>
      </w:r>
    </w:p>
    <w:p>
      <w:pPr>
        <w:spacing w:after="0" w:line="182" w:lineRule="exact"/>
        <w:rPr>
          <w:rFonts w:ascii="Times New Roman" w:cs="Times New Roman" w:eastAsia="Times New Roman" w:hAnsi="Times New Roman"/>
          <w:sz w:val="14"/>
          <w:szCs w:val="14"/>
          <w:color w:val="auto"/>
        </w:rPr>
      </w:pPr>
    </w:p>
    <w:p>
      <w:pPr>
        <w:ind w:left="1480" w:hanging="262"/>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coverage and adequate third-party reimbursement for RYTELO;</w:t>
      </w:r>
    </w:p>
    <w:p>
      <w:pPr>
        <w:spacing w:after="0" w:line="182" w:lineRule="exact"/>
        <w:rPr>
          <w:rFonts w:ascii="Times New Roman" w:cs="Times New Roman" w:eastAsia="Times New Roman" w:hAnsi="Times New Roman"/>
          <w:sz w:val="14"/>
          <w:szCs w:val="14"/>
          <w:color w:val="auto"/>
        </w:rPr>
      </w:pPr>
    </w:p>
    <w:p>
      <w:pPr>
        <w:ind w:left="1480" w:right="1279" w:hanging="262"/>
        <w:spacing w:after="0" w:line="274"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spacing w:after="0" w:line="135" w:lineRule="exact"/>
        <w:rPr>
          <w:rFonts w:ascii="Times New Roman" w:cs="Times New Roman" w:eastAsia="Times New Roman" w:hAnsi="Times New Roman"/>
          <w:sz w:val="14"/>
          <w:szCs w:val="14"/>
          <w:color w:val="auto"/>
        </w:rPr>
      </w:pPr>
    </w:p>
    <w:p>
      <w:pPr>
        <w:jc w:val="both"/>
        <w:ind w:left="1480" w:right="1059" w:hanging="262"/>
        <w:spacing w:after="0" w:line="274"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are able to enter into and conduct successful commercial arrangements with third parties, including for the commercialization and marketing of RYTELO in the EU and in any other regions outside of the U.S., if approved for commercialization in such other regions;</w:t>
      </w:r>
    </w:p>
    <w:p>
      <w:pPr>
        <w:spacing w:after="0" w:line="135" w:lineRule="exact"/>
        <w:rPr>
          <w:rFonts w:ascii="Times New Roman" w:cs="Times New Roman" w:eastAsia="Times New Roman" w:hAnsi="Times New Roman"/>
          <w:sz w:val="14"/>
          <w:szCs w:val="14"/>
          <w:color w:val="auto"/>
        </w:rPr>
      </w:pPr>
    </w:p>
    <w:p>
      <w:pPr>
        <w:ind w:left="1480" w:right="1339" w:hanging="262"/>
        <w:spacing w:after="0" w:line="292"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the pending putative securities class action and shareholder derivative lawsuits and potential additional related lawsuits, as well as any other litigation;</w:t>
      </w:r>
    </w:p>
    <w:p>
      <w:pPr>
        <w:spacing w:after="0" w:line="123" w:lineRule="exact"/>
        <w:rPr>
          <w:rFonts w:ascii="Times New Roman" w:cs="Times New Roman" w:eastAsia="Times New Roman" w:hAnsi="Times New Roman"/>
          <w:sz w:val="14"/>
          <w:szCs w:val="14"/>
          <w:color w:val="auto"/>
        </w:rPr>
      </w:pPr>
    </w:p>
    <w:p>
      <w:pPr>
        <w:ind w:left="1480" w:right="1359" w:hanging="262"/>
        <w:spacing w:after="0" w:line="292"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scope of our selling, general and administrative expenses, including expenses associated with pending and potential future litigation;</w:t>
      </w:r>
    </w:p>
    <w:p>
      <w:pPr>
        <w:spacing w:after="0" w:line="123" w:lineRule="exact"/>
        <w:rPr>
          <w:rFonts w:ascii="Times New Roman" w:cs="Times New Roman" w:eastAsia="Times New Roman" w:hAnsi="Times New Roman"/>
          <w:sz w:val="14"/>
          <w:szCs w:val="14"/>
          <w:color w:val="auto"/>
        </w:rPr>
      </w:pPr>
    </w:p>
    <w:p>
      <w:pPr>
        <w:ind w:left="1480" w:hanging="262"/>
        <w:spacing w:after="0"/>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indebtedness and associated debt service obligations;</w:t>
      </w:r>
    </w:p>
    <w:p>
      <w:pPr>
        <w:spacing w:after="0" w:line="182" w:lineRule="exact"/>
        <w:rPr>
          <w:rFonts w:ascii="Times New Roman" w:cs="Times New Roman" w:eastAsia="Times New Roman" w:hAnsi="Times New Roman"/>
          <w:sz w:val="14"/>
          <w:szCs w:val="14"/>
          <w:color w:val="auto"/>
        </w:rPr>
      </w:pPr>
    </w:p>
    <w:p>
      <w:pPr>
        <w:ind w:left="1480" w:right="1339" w:hanging="262"/>
        <w:spacing w:after="0" w:line="292"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maintaining and operating facilities in California and New Jersey, as well as higher expenses for travel;</w:t>
      </w:r>
    </w:p>
    <w:p>
      <w:pPr>
        <w:spacing w:after="0" w:line="123" w:lineRule="exact"/>
        <w:rPr>
          <w:rFonts w:ascii="Times New Roman" w:cs="Times New Roman" w:eastAsia="Times New Roman" w:hAnsi="Times New Roman"/>
          <w:sz w:val="14"/>
          <w:szCs w:val="14"/>
          <w:color w:val="auto"/>
        </w:rPr>
      </w:pPr>
    </w:p>
    <w:p>
      <w:pPr>
        <w:ind w:left="1480" w:right="1259" w:hanging="262"/>
        <w:spacing w:after="0" w:line="292"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or other global conditions that may reduce our ability to access equity or debt capital or other financing on preferable terms, which may adversely affect future capital requirements and forecasts; and</w:t>
      </w:r>
    </w:p>
    <w:p>
      <w:pPr>
        <w:spacing w:after="0" w:line="123" w:lineRule="exact"/>
        <w:rPr>
          <w:rFonts w:ascii="Times New Roman" w:cs="Times New Roman" w:eastAsia="Times New Roman" w:hAnsi="Times New Roman"/>
          <w:sz w:val="14"/>
          <w:szCs w:val="14"/>
          <w:color w:val="auto"/>
        </w:rPr>
      </w:pPr>
    </w:p>
    <w:p>
      <w:pPr>
        <w:ind w:left="1480" w:right="1239" w:hanging="262"/>
        <w:spacing w:after="0" w:line="292" w:lineRule="auto"/>
        <w:tabs>
          <w:tab w:leader="none" w:pos="14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enabling our personnel to work remotely, including providing supplies, equipment and technology necessary for them to perform their responsibilities.</w:t>
      </w:r>
    </w:p>
    <w:p>
      <w:pPr>
        <w:spacing w:after="0" w:line="124"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In the event we need to raise additional capital to fund our business, including pursuant to the 2026 Sales Agreement with TD Cowen,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further changes in tariffs and other trade restrictions and uncertainty around further escalation of trade tensions and renegotiation of existing international trade agreements, inflation, fluctuations in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w:t>
      </w:r>
    </w:p>
    <w:p>
      <w:pPr>
        <w:sectPr>
          <w:pgSz w:w="11900" w:h="16838" w:orient="portrait"/>
          <w:cols w:equalWidth="0" w:num="1">
            <w:col w:w="9019"/>
          </w:cols>
          <w:pgMar w:left="1440" w:top="114" w:right="1440" w:bottom="0" w:gutter="0" w:footer="0" w:header="0"/>
        </w:sectPr>
      </w:pPr>
    </w:p>
    <w:bookmarkStart w:id="65" w:name="page66"/>
    <w:bookmarkEnd w:id="65"/>
    <w:p>
      <w:pPr>
        <w:ind w:left="960" w:right="1279"/>
        <w:spacing w:after="0" w:line="190" w:lineRule="auto"/>
        <w:rPr>
          <w:sz w:val="20"/>
          <w:szCs w:val="20"/>
          <w:color w:val="auto"/>
        </w:rPr>
      </w:pPr>
      <w:r>
        <w:rPr>
          <w:rFonts w:ascii="Times New Roman" w:cs="Times New Roman" w:eastAsia="Times New Roman" w:hAnsi="Times New Roman"/>
          <w:sz w:val="13"/>
          <w:szCs w:val="13"/>
          <w:color w:val="auto"/>
        </w:rPr>
        <w:t>additional funds through financings, and could negatively impact the terms upon which we may raise those funds. Similarly, these macroeconomic conditions have created extreme volatility and disruption in the capital markets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-134620</wp:posOffset>
            </wp:positionV>
            <wp:extent cx="5584190" cy="6165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84190" cy="616585"/>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79"/>
        <w:spacing w:after="0" w:line="261" w:lineRule="auto"/>
        <w:rPr>
          <w:sz w:val="20"/>
          <w:szCs w:val="20"/>
          <w:color w:val="auto"/>
        </w:rPr>
      </w:pPr>
      <w:r>
        <w:rPr>
          <w:rFonts w:ascii="Times New Roman" w:cs="Times New Roman" w:eastAsia="Times New Roman" w:hAnsi="Times New Roman"/>
          <w:sz w:val="14"/>
          <w:szCs w:val="14"/>
          <w:color w:val="auto"/>
        </w:rPr>
        <w:t>expected to have further global economic consequences. If the equity and credit markets deteriorate, including as a result of macroeconomic or other global conditions, such as inflation, changes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w:t>
      </w:r>
    </w:p>
    <w:p>
      <w:pPr>
        <w:spacing w:after="0" w:line="318"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2026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3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Cash Flows Used In Operating Activities</w:t>
      </w:r>
    </w:p>
    <w:p>
      <w:pPr>
        <w:spacing w:after="0" w:line="348" w:lineRule="exact"/>
        <w:rPr>
          <w:sz w:val="20"/>
          <w:szCs w:val="20"/>
          <w:color w:val="auto"/>
        </w:rPr>
      </w:pPr>
    </w:p>
    <w:p>
      <w:pPr>
        <w:ind w:left="960" w:right="1039" w:firstLine="902"/>
        <w:spacing w:after="0" w:line="268" w:lineRule="auto"/>
        <w:rPr>
          <w:sz w:val="20"/>
          <w:szCs w:val="20"/>
          <w:color w:val="auto"/>
        </w:rPr>
      </w:pPr>
      <w:r>
        <w:rPr>
          <w:rFonts w:ascii="Times New Roman" w:cs="Times New Roman" w:eastAsia="Times New Roman" w:hAnsi="Times New Roman"/>
          <w:sz w:val="14"/>
          <w:szCs w:val="14"/>
          <w:color w:val="auto"/>
        </w:rPr>
        <w:t>The cash used for operating activities generally approximates our net loss adjusted for non-cash items such as depreciation and amortization, non-cash interest expense on liabilities for sales of future royalties, or stock-based compensation as well as changes in operating assets and liabilities. Net cash used in operating activities was $111.0 million, $218.6 million and $167.7 million in 2025, 2024 and 2023, respectively.</w:t>
      </w:r>
    </w:p>
    <w:p>
      <w:pPr>
        <w:spacing w:after="0" w:line="140" w:lineRule="exact"/>
        <w:rPr>
          <w:sz w:val="20"/>
          <w:szCs w:val="20"/>
          <w:color w:val="auto"/>
        </w:rPr>
      </w:pPr>
    </w:p>
    <w:p>
      <w:pPr>
        <w:ind w:left="960" w:right="1139" w:firstLine="902"/>
        <w:spacing w:after="0" w:line="268" w:lineRule="auto"/>
        <w:rPr>
          <w:sz w:val="20"/>
          <w:szCs w:val="20"/>
          <w:color w:val="auto"/>
        </w:rPr>
      </w:pPr>
      <w:r>
        <w:rPr>
          <w:rFonts w:ascii="Times New Roman" w:cs="Times New Roman" w:eastAsia="Times New Roman" w:hAnsi="Times New Roman"/>
          <w:sz w:val="14"/>
          <w:szCs w:val="14"/>
          <w:color w:val="auto"/>
        </w:rPr>
        <w:t>The decrease in net cash used in operating activities in 2025 versus 2024 reflects a decrease in net loss to $83.5 million, which includes a $13.6 million higher adjustment for non-cash interest expense on liabilities for sales of future royalties and a $4.2 million higher amortization of debt issuance costs and other non-cash adjustments; as well as $2.1 million higher net changes in operating assets and liabilities.</w:t>
      </w:r>
    </w:p>
    <w:p>
      <w:pPr>
        <w:spacing w:after="0" w:line="140" w:lineRule="exact"/>
        <w:rPr>
          <w:sz w:val="20"/>
          <w:szCs w:val="20"/>
          <w:color w:val="auto"/>
        </w:rPr>
      </w:pPr>
    </w:p>
    <w:p>
      <w:pPr>
        <w:jc w:val="both"/>
        <w:ind w:left="960" w:right="1119" w:firstLine="902"/>
        <w:spacing w:after="0" w:line="274" w:lineRule="auto"/>
        <w:rPr>
          <w:sz w:val="20"/>
          <w:szCs w:val="20"/>
          <w:color w:val="auto"/>
        </w:rPr>
      </w:pPr>
      <w:r>
        <w:rPr>
          <w:rFonts w:ascii="Times New Roman" w:cs="Times New Roman" w:eastAsia="Times New Roman" w:hAnsi="Times New Roman"/>
          <w:sz w:val="14"/>
          <w:szCs w:val="14"/>
          <w:color w:val="auto"/>
        </w:rPr>
        <w:t>The increase in net cash used in operating activities in 2024 versus 2023 primarily reflects an increase in net loss to $174.6 million, adjusted for non-cash items including stock based compensation expense related to employees and directors stock awards.</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Cash Flows Provided By (Used In) Investing Activities</w:t>
      </w:r>
    </w:p>
    <w:p>
      <w:pPr>
        <w:spacing w:after="0" w:line="187" w:lineRule="exact"/>
        <w:rPr>
          <w:sz w:val="20"/>
          <w:szCs w:val="20"/>
          <w:color w:val="auto"/>
        </w:rPr>
      </w:pPr>
    </w:p>
    <w:p>
      <w:pPr>
        <w:ind w:left="960" w:right="1499" w:firstLine="902"/>
        <w:spacing w:after="0" w:line="292" w:lineRule="auto"/>
        <w:rPr>
          <w:sz w:val="20"/>
          <w:szCs w:val="20"/>
          <w:color w:val="auto"/>
        </w:rPr>
      </w:pPr>
      <w:r>
        <w:rPr>
          <w:rFonts w:ascii="Times New Roman" w:cs="Times New Roman" w:eastAsia="Times New Roman" w:hAnsi="Times New Roman"/>
          <w:sz w:val="14"/>
          <w:szCs w:val="14"/>
          <w:color w:val="auto"/>
        </w:rPr>
        <w:t>Net cash provided by investing activities was $107.2 million in 2025, compared to net cash used in investing activities of $106.0 million and $180.3 million in 2024 and 2023, respectively.</w:t>
      </w:r>
    </w:p>
    <w:p>
      <w:pPr>
        <w:spacing w:after="0" w:line="124" w:lineRule="exact"/>
        <w:rPr>
          <w:sz w:val="20"/>
          <w:szCs w:val="20"/>
          <w:color w:val="auto"/>
        </w:rPr>
      </w:pPr>
    </w:p>
    <w:p>
      <w:pPr>
        <w:ind w:left="960" w:right="1159" w:firstLine="902"/>
        <w:spacing w:after="0" w:line="292" w:lineRule="auto"/>
        <w:rPr>
          <w:sz w:val="20"/>
          <w:szCs w:val="20"/>
          <w:color w:val="auto"/>
        </w:rPr>
      </w:pPr>
      <w:r>
        <w:rPr>
          <w:rFonts w:ascii="Times New Roman" w:cs="Times New Roman" w:eastAsia="Times New Roman" w:hAnsi="Times New Roman"/>
          <w:sz w:val="14"/>
          <w:szCs w:val="14"/>
          <w:color w:val="auto"/>
        </w:rPr>
        <w:t>The increase in net cash provided by investing activities in 2025 versus 2024 primarily reflects increased proceeds from maturities or sales of marketable securities as well as decreased purchases of marketable securities.</w:t>
      </w:r>
    </w:p>
    <w:p>
      <w:pPr>
        <w:spacing w:after="0" w:line="124" w:lineRule="exact"/>
        <w:rPr>
          <w:sz w:val="20"/>
          <w:szCs w:val="20"/>
          <w:color w:val="auto"/>
        </w:rPr>
      </w:pPr>
    </w:p>
    <w:p>
      <w:pPr>
        <w:jc w:val="both"/>
        <w:ind w:left="960" w:right="1379" w:firstLine="902"/>
        <w:spacing w:after="0" w:line="274" w:lineRule="auto"/>
        <w:rPr>
          <w:sz w:val="20"/>
          <w:szCs w:val="20"/>
          <w:color w:val="auto"/>
        </w:rPr>
      </w:pPr>
      <w:r>
        <w:rPr>
          <w:rFonts w:ascii="Times New Roman" w:cs="Times New Roman" w:eastAsia="Times New Roman" w:hAnsi="Times New Roman"/>
          <w:sz w:val="14"/>
          <w:szCs w:val="14"/>
          <w:color w:val="auto"/>
        </w:rPr>
        <w:t>The decrease in net cash used in investing activities in 2024 versus 2023 primarily reflects increased proceeds from maturities or sales of marketable securities, partially offset by slightly higher purchases of marketable securities.</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87" w:lineRule="exact"/>
        <w:rPr>
          <w:sz w:val="20"/>
          <w:szCs w:val="20"/>
          <w:color w:val="auto"/>
        </w:rPr>
      </w:pPr>
    </w:p>
    <w:p>
      <w:pPr>
        <w:ind w:left="960" w:right="1239" w:firstLine="902"/>
        <w:spacing w:after="0" w:line="292" w:lineRule="auto"/>
        <w:rPr>
          <w:sz w:val="20"/>
          <w:szCs w:val="20"/>
          <w:color w:val="auto"/>
        </w:rPr>
      </w:pPr>
      <w:r>
        <w:rPr>
          <w:rFonts w:ascii="Times New Roman" w:cs="Times New Roman" w:eastAsia="Times New Roman" w:hAnsi="Times New Roman"/>
          <w:sz w:val="14"/>
          <w:szCs w:val="14"/>
          <w:color w:val="auto"/>
        </w:rPr>
        <w:t>Net cash provided by financing activities in 2025, 2024 and 2023 was $2.3 million, $334.4 million, and $362.0 million, respectively.</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2553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84190" cy="25533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The decrease in net cash flow in financing activities in 2025 versus 2024 primary reflects a decrease of proceeds from issuance of common stock and warrants in public offering, a decrease in cash proceeds received from new debt financing and from sale of future royalties as well as a $31.2 million decrease in proceeds from issuances of common stock under our equity plans, partially offset by the settlement of debt outstanding under the Hercules Loan Agreement. In 2024, the Company issued 41,999,998 shares of common stock and a pre-funded warrant to purchase 8,002,668 shares in an underwriting offering, which yielded approximately $140.7 million in net cash proceeds. Additionally, $246.1 million in net cash proceeds were received under the Pharmakon Loan Agreement and Royalty Pharma Agreement. No similar activities occurred in 2025.</w:t>
      </w:r>
    </w:p>
    <w:p>
      <w:pPr>
        <w:spacing w:after="0" w:line="146" w:lineRule="exact"/>
        <w:rPr>
          <w:sz w:val="20"/>
          <w:szCs w:val="20"/>
          <w:color w:val="auto"/>
        </w:rPr>
      </w:pPr>
    </w:p>
    <w:p>
      <w:pPr>
        <w:ind w:left="960" w:right="1099" w:firstLine="902"/>
        <w:spacing w:after="0" w:line="268" w:lineRule="auto"/>
        <w:rPr>
          <w:sz w:val="20"/>
          <w:szCs w:val="20"/>
          <w:color w:val="auto"/>
        </w:rPr>
      </w:pPr>
      <w:r>
        <w:rPr>
          <w:rFonts w:ascii="Times New Roman" w:cs="Times New Roman" w:eastAsia="Times New Roman" w:hAnsi="Times New Roman"/>
          <w:sz w:val="14"/>
          <w:szCs w:val="14"/>
          <w:color w:val="auto"/>
        </w:rPr>
        <w:t>The decrease in net cash flow in financing activities in 2024 versus 2023 primarily reflects $104.5 million lower proceeds from exercise of warrants, $72.6 million lower proceeds from public offering, partially offset by $19.6 million higher proceeds from issuances of common stock under our equity plans. The remaining decrease related to the debt activity and Royalty Pharma Agreement that was executed in 2024.</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Material Cash Requirements</w:t>
      </w:r>
    </w:p>
    <w:p>
      <w:pPr>
        <w:spacing w:after="0" w:line="187" w:lineRule="exact"/>
        <w:rPr>
          <w:sz w:val="20"/>
          <w:szCs w:val="20"/>
          <w:color w:val="auto"/>
        </w:rPr>
      </w:pPr>
    </w:p>
    <w:p>
      <w:pPr>
        <w:ind w:left="960" w:right="1279" w:firstLine="902"/>
        <w:spacing w:after="0" w:line="274" w:lineRule="auto"/>
        <w:rPr>
          <w:sz w:val="20"/>
          <w:szCs w:val="20"/>
          <w:color w:val="auto"/>
        </w:rPr>
      </w:pPr>
      <w:r>
        <w:rPr>
          <w:rFonts w:ascii="Times New Roman" w:cs="Times New Roman" w:eastAsia="Times New Roman" w:hAnsi="Times New Roman"/>
          <w:sz w:val="14"/>
          <w:szCs w:val="14"/>
          <w:color w:val="auto"/>
        </w:rPr>
        <w:t>Our material cash requirements in the short- and long-term consist of the following operational and manufacturing expenditures, a portion of which contain contractual or other obligations. We currently plan to fund our material cash requirements with our current financial resources together with net revenues from sales of RYTELO;</w:t>
      </w:r>
    </w:p>
    <w:p>
      <w:pPr>
        <w:sectPr>
          <w:pgSz w:w="11900" w:h="16838" w:orient="portrait"/>
          <w:cols w:equalWidth="0" w:num="1">
            <w:col w:w="9019"/>
          </w:cols>
          <w:pgMar w:left="1440" w:top="116" w:right="1440" w:bottom="0" w:gutter="0" w:footer="0" w:header="0"/>
        </w:sectPr>
      </w:pPr>
    </w:p>
    <w:bookmarkStart w:id="66" w:name="page67"/>
    <w:bookmarkEnd w:id="66"/>
    <w:p>
      <w:pPr>
        <w:ind w:left="960" w:right="1039"/>
        <w:spacing w:after="0" w:line="186" w:lineRule="auto"/>
        <w:rPr>
          <w:sz w:val="20"/>
          <w:szCs w:val="20"/>
          <w:color w:val="auto"/>
        </w:rPr>
      </w:pPr>
      <w:r>
        <w:rPr>
          <w:rFonts w:ascii="Times New Roman" w:cs="Times New Roman" w:eastAsia="Times New Roman" w:hAnsi="Times New Roman"/>
          <w:sz w:val="14"/>
          <w:szCs w:val="14"/>
          <w:color w:val="auto"/>
        </w:rPr>
        <w:t>however, if we do not generate sufficient funds from commercial sales of RYTELO, if we experience unforeseen events or choose to make other investments in our business, or our assumptions regarding our projected operating expenses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-141605</wp:posOffset>
            </wp:positionV>
            <wp:extent cx="5584190" cy="4660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84190" cy="4660900"/>
                    </a:xfrm>
                    <a:prstGeom prst="rect">
                      <a:avLst/>
                    </a:prstGeom>
                    <a:noFill/>
                  </pic:spPr>
                </pic:pic>
              </a:graphicData>
            </a:graphic>
          </wp:anchor>
        </w:drawing>
      </w:r>
    </w:p>
    <w:p>
      <w:pPr>
        <w:ind w:left="960" w:right="1199"/>
        <w:spacing w:after="0" w:line="264" w:lineRule="auto"/>
        <w:rPr>
          <w:sz w:val="20"/>
          <w:szCs w:val="20"/>
          <w:color w:val="auto"/>
        </w:rPr>
      </w:pPr>
      <w:r>
        <w:rPr>
          <w:rFonts w:ascii="Times New Roman" w:cs="Times New Roman" w:eastAsia="Times New Roman" w:hAnsi="Times New Roman"/>
          <w:sz w:val="14"/>
          <w:szCs w:val="14"/>
          <w:color w:val="auto"/>
        </w:rPr>
        <w:t>otherwise incorrect, we may require additional funding to fund our material cash requirements, which could include a combination of additional equity and debt financings, new collaborative arrangements, strategic alliances, or from other sources.</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Operating Expenditures</w:t>
      </w:r>
    </w:p>
    <w:p>
      <w:pPr>
        <w:spacing w:after="0" w:line="185"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Our primary uses of cash and operating expenses relate to paying employees and consultants, commercializing RYTELO, administering clinical trials, ensuring an adequate supply of RYTELO (imetelstat), and providing technology and facility infrastructure to support our operations. Our research and development expenses in 2025 were $71.4 million, and we expect our investment in research and development expenses to remain relatively stable in 2026. Our selling, general and administrative expenses were $159.3 million in 2025 and we expect our selling, general, and administrative expenses to decrease in 2026 due to lower labor costs, partially offset by higher marketing costs due to continued investment in our RYTELO commercialization strategy. We manage future cash requirements relative to both our short and long-term business plans.</w:t>
      </w:r>
    </w:p>
    <w:p>
      <w:pPr>
        <w:spacing w:after="0" w:line="1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5" w:lineRule="exact"/>
        <w:rPr>
          <w:sz w:val="20"/>
          <w:szCs w:val="20"/>
          <w:color w:val="auto"/>
        </w:rPr>
      </w:pPr>
    </w:p>
    <w:p>
      <w:pPr>
        <w:ind w:left="960" w:right="1099" w:firstLine="902"/>
        <w:spacing w:after="0" w:line="292" w:lineRule="auto"/>
        <w:rPr>
          <w:sz w:val="20"/>
          <w:szCs w:val="20"/>
          <w:color w:val="auto"/>
        </w:rPr>
      </w:pPr>
      <w:r>
        <w:rPr>
          <w:rFonts w:ascii="Times New Roman" w:cs="Times New Roman" w:eastAsia="Times New Roman" w:hAnsi="Times New Roman"/>
          <w:sz w:val="14"/>
          <w:szCs w:val="14"/>
          <w:color w:val="auto"/>
        </w:rPr>
        <w:t>Our operating expenditures primarily consist of our obligations under commercial purchase commitments related to our manufacturing and supply agreements for RYTELO and operating leases.</w:t>
      </w:r>
    </w:p>
    <w:p>
      <w:pPr>
        <w:spacing w:after="0" w:line="124"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RYTELO requires long lead times to manufacture. Therefore, we make substantial and often long-term investments in our supply chain in order to ensure we have enough drug product to meet potential future commercialization requirements, as well as clinical trial needs.</w:t>
      </w:r>
    </w:p>
    <w:p>
      <w:pPr>
        <w:spacing w:after="0" w:line="105" w:lineRule="exact"/>
        <w:rPr>
          <w:sz w:val="20"/>
          <w:szCs w:val="20"/>
          <w:color w:val="auto"/>
        </w:rPr>
      </w:pPr>
    </w:p>
    <w:p>
      <w:pPr>
        <w:ind w:left="960" w:right="979" w:firstLine="902"/>
        <w:spacing w:after="0" w:line="180" w:lineRule="exact"/>
        <w:rPr>
          <w:sz w:val="20"/>
          <w:szCs w:val="20"/>
          <w:color w:val="auto"/>
        </w:rPr>
      </w:pPr>
      <w:r>
        <w:rPr>
          <w:rFonts w:ascii="Times New Roman" w:cs="Times New Roman" w:eastAsia="Times New Roman" w:hAnsi="Times New Roman"/>
          <w:sz w:val="14"/>
          <w:szCs w:val="14"/>
          <w:color w:val="auto"/>
        </w:rPr>
        <w:t>We have engaged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contract manufacturers to manufacture and supply additional quantities of RYTELO that meet applicable regulatory standards for current and potential future clinical trials and commercial uses. Related to those contract manufacturing agreements, we have binding commercial purchase commitments of approximately $16.7 million that can be cancelled, but would incur cancellation penalties, and approximately $43.3 million in agreed upon manufacturing commitments that can be adjusted based on commercial demand of RYTELO. We expect to utilize all related commercial purchase commitments.</w:t>
      </w:r>
    </w:p>
    <w:p>
      <w:pPr>
        <w:spacing w:after="0" w:line="160"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The leases for our office facilities in New Jersey and California contain rate escalations and options for us to extend the leases. The aggregate amount of future operating lease payments over the term of our leases is $2.4 million as of December 31, 2025. Refer to Note 9 on Operating Leases in Notes to Consolidated Financial Statements of this Report for additional detail of our lease obligations.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57924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84190" cy="57924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0" w:lineRule="exact"/>
        <w:rPr>
          <w:sz w:val="20"/>
          <w:szCs w:val="20"/>
          <w:color w:val="auto"/>
        </w:rPr>
      </w:pPr>
    </w:p>
    <w:p>
      <w:pPr>
        <w:ind w:left="960" w:right="1199" w:firstLine="902"/>
        <w:spacing w:after="0" w:line="292" w:lineRule="auto"/>
        <w:rPr>
          <w:sz w:val="20"/>
          <w:szCs w:val="20"/>
          <w:color w:val="auto"/>
        </w:rPr>
      </w:pPr>
      <w:r>
        <w:rPr>
          <w:rFonts w:ascii="Times New Roman" w:cs="Times New Roman" w:eastAsia="Times New Roman" w:hAnsi="Times New Roman"/>
          <w:sz w:val="14"/>
          <w:szCs w:val="14"/>
          <w:color w:val="auto"/>
        </w:rPr>
        <w:t>As of December 31, 2025, we had a long-term principal debt balance of $119.5 million in principal debt outstanding related to the Pharmakon Loan Agreement.</w:t>
      </w:r>
    </w:p>
    <w:p>
      <w:pPr>
        <w:spacing w:after="0" w:line="38"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On November 1, 2024, we entered into the Pharmakon Loan Agreement, and in connection with this transaction, all obligations outstanding under the Hercules Loan Agreement were repaid in full on November 1, 2024, upon which the Hercules Loan Agreement was terminated. On January 5, 2026, the Pharmakon Loan Agreement was amended to extend the date for requesting the Tranche B Loan and Tranche C Loan, once available, from December 31, 2025 to July 30, 2026. The amendment also extended the Makewhole Date from November 1, 2026 to May 1, 2027. We expect our interest expense to increase in future periods due to the draw down of the Tranche A Loan and potential future draw downs of the other Term Loans under the Pharmakon Loan Agreement. See Note 10 on Debt in Notes to Consolidated Financial Statements of this Report for additional information on the Pharmakon Loan Agreement.</w:t>
      </w:r>
    </w:p>
    <w:p>
      <w:pPr>
        <w:spacing w:after="0" w:line="60"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On November 1, 2024, we entered into the Royalty Pharma Agreement, pursuant to which we received an upfront payment of $125.0 million, or the Purchase Price, and Royalty Pharma obtained the right to receive Royalty Payments on future U.S. net sales of RYTELO for each calendar quarter during the term of the agreement. We are obligated to make Royalty Payments each quarter based on U.S. net sales of RYTELO at the royalty rates set forth in the agreement, which Royalty Payments are not determinable at this time, until the date when the aggregate Royalty Payments equal or exceed 1.65 times the Purchase Price, if this occurs by June 30, 2031, or the date when the aggregate Royalty Payments equal or exceed 2.0 times the Purchase Price. See Note 10 on Debt in Notes to Consolidated Financial Statements of this Report for additional information on the Royalty Pharma Agreement.</w:t>
      </w:r>
    </w:p>
    <w:p>
      <w:pPr>
        <w:spacing w:after="0" w:line="146" w:lineRule="exact"/>
        <w:rPr>
          <w:sz w:val="20"/>
          <w:szCs w:val="20"/>
          <w:color w:val="auto"/>
        </w:rPr>
      </w:pPr>
    </w:p>
    <w:p>
      <w:pPr>
        <w:ind w:left="960" w:right="979" w:firstLine="902"/>
        <w:spacing w:after="0" w:line="262" w:lineRule="auto"/>
        <w:rPr>
          <w:sz w:val="20"/>
          <w:szCs w:val="20"/>
          <w:color w:val="auto"/>
        </w:rPr>
      </w:pPr>
      <w:r>
        <w:rPr>
          <w:rFonts w:ascii="Times New Roman" w:cs="Times New Roman" w:eastAsia="Times New Roman" w:hAnsi="Times New Roman"/>
          <w:sz w:val="14"/>
          <w:szCs w:val="14"/>
          <w:color w:val="auto"/>
        </w:rPr>
        <w:t>In the normal course of business, we enter into agreements with CROs for clinical trials and with other vendors for preclinical research studies, investigator-led trials and other services and products for operating purposes. We have not considered these commitments to be contractual obligations since the contracts are generally cancelable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pgSz w:w="11900" w:h="16838" w:orient="portrait"/>
          <w:cols w:equalWidth="0" w:num="1">
            <w:col w:w="9019"/>
          </w:cols>
          <w:pgMar w:left="1440" w:top="114"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421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84190" cy="14211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9" w:lineRule="exact"/>
        <w:rPr>
          <w:sz w:val="20"/>
          <w:szCs w:val="20"/>
          <w:color w:val="auto"/>
        </w:rPr>
      </w:pPr>
    </w:p>
    <w:p>
      <w:pPr>
        <w:jc w:val="both"/>
        <w:ind w:left="960" w:right="1199" w:firstLine="902"/>
        <w:spacing w:after="0" w:line="266" w:lineRule="auto"/>
        <w:rPr>
          <w:sz w:val="20"/>
          <w:szCs w:val="20"/>
          <w:color w:val="auto"/>
        </w:rPr>
      </w:pPr>
      <w:r>
        <w:rPr>
          <w:rFonts w:ascii="Times New Roman" w:cs="Times New Roman" w:eastAsia="Times New Roman" w:hAnsi="Times New Roman"/>
          <w:sz w:val="14"/>
          <w:szCs w:val="14"/>
          <w:color w:val="auto"/>
        </w:rPr>
        <w:t>The following discussion about our market risk disclosures contains forward-looking statements. Actual results could differ materially from those projected in the forward-looking statements. We are exposed to credit risk and interest rate risk. We do not use derivative financial instruments for speculative or trading purposes.</w:t>
      </w:r>
    </w:p>
    <w:p>
      <w:pPr>
        <w:spacing w:after="0" w:line="53" w:lineRule="exact"/>
        <w:rPr>
          <w:sz w:val="20"/>
          <w:szCs w:val="20"/>
          <w:color w:val="auto"/>
        </w:rPr>
      </w:pPr>
    </w:p>
    <w:p>
      <w:pPr>
        <w:ind w:left="960" w:right="1039" w:firstLine="902"/>
        <w:spacing w:after="0" w:line="255" w:lineRule="auto"/>
        <w:rPr>
          <w:sz w:val="20"/>
          <w:szCs w:val="20"/>
          <w:color w:val="auto"/>
        </w:rPr>
      </w:pPr>
      <w:r>
        <w:rPr>
          <w:rFonts w:ascii="Times New Roman" w:cs="Times New Roman" w:eastAsia="Times New Roman" w:hAnsi="Times New Roman"/>
          <w:sz w:val="14"/>
          <w:szCs w:val="14"/>
          <w:i w:val="1"/>
          <w:iCs w:val="1"/>
          <w:color w:val="auto"/>
        </w:rPr>
        <w:t>Credit Risk</w:t>
      </w:r>
      <w:r>
        <w:rPr>
          <w:rFonts w:ascii="Times New Roman" w:cs="Times New Roman" w:eastAsia="Times New Roman" w:hAnsi="Times New Roman"/>
          <w:sz w:val="14"/>
          <w:szCs w:val="14"/>
          <w:color w:val="auto"/>
        </w:rPr>
        <w:t>. We currently place our cash, restricted cash, cash equivalents and marketable securities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multiple financial institutions in the United States. Deposits with banks may exceed the amount of insurance provided on such deposits. While we monitor the cash balances in our operating accounts and adjust the cash balances as appropriate, these cash balances could be impacted if the underlying financial institutions fail or could be subject to other adverse conditions in the financial markets. Financial instruments that potentially subject us to concentrations of credit risk consist primarily of cash equivalents and marketable securities. Cash equivalents and marketable securities currently consist of money market funds, U.S. government-sponsored enterprise securities, commercial paper and corporate notes. Our investment policy, approved by the audit committee of our board of directors, limits the amount we may invest in any one type of investment issuer, thereby reducing credit risk concentrations. We limit our credit and liquidity risks through our investment policy and through regular reviews of our portfolio against our policy. To date, we have not experienced any loss or lack of access to cash in our operating accounts or to our cash equivalents and marketable securities in our investment portfolio. The effect of a hypothetical decrease of 1% in the average yield earned on our cash equivalents and marketable securities would have resulted in an immaterial impact on our interest income for the year ended December 31, 2025</w:t>
      </w:r>
    </w:p>
    <w:p>
      <w:pPr>
        <w:spacing w:after="0" w:line="225" w:lineRule="exact"/>
        <w:rPr>
          <w:sz w:val="20"/>
          <w:szCs w:val="20"/>
          <w:color w:val="auto"/>
        </w:rPr>
      </w:pPr>
    </w:p>
    <w:p>
      <w:pPr>
        <w:ind w:left="960" w:right="999" w:firstLine="902"/>
        <w:spacing w:after="0" w:line="254" w:lineRule="auto"/>
        <w:rPr>
          <w:sz w:val="20"/>
          <w:szCs w:val="20"/>
          <w:color w:val="auto"/>
        </w:rPr>
      </w:pPr>
      <w:r>
        <w:rPr>
          <w:rFonts w:ascii="Times New Roman" w:cs="Times New Roman" w:eastAsia="Times New Roman" w:hAnsi="Times New Roman"/>
          <w:sz w:val="14"/>
          <w:szCs w:val="14"/>
          <w:i w:val="1"/>
          <w:iCs w:val="1"/>
          <w:color w:val="auto"/>
        </w:rPr>
        <w:t>Interest Rate Risk</w:t>
      </w:r>
      <w:r>
        <w:rPr>
          <w:rFonts w:ascii="Times New Roman" w:cs="Times New Roman" w:eastAsia="Times New Roman" w:hAnsi="Times New Roman"/>
          <w:sz w:val="14"/>
          <w:szCs w:val="14"/>
          <w:color w:val="auto"/>
        </w:rPr>
        <w:t>. The primary objective of our investment activities is to manage our marketable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portfolio to preserve principal and liquidity while maximizing the return on the investment portfolio through the full investment of available funds without significantly increasing risk. To achieve this objective, we primarily invest in widely diversified investments with fixed interest rates, which carry a degree of interest rate risk. Fixed rate securities may have their fair value adversely impacted due to a rise in interest rates. Due in part to these factors, our future interest income may fall short of expectations due to changes in market conditions and in interest rates or we may suffer losses in principal if forced to sell securities which may have declined in fair value due to changes in interest rates. The fair value of our cash equivalents and marketable securities at December 31, 2025 was $375.6 million. These investments include $53.9 million of cash equivalents which are due in less than 90 days, $280.4 million of short-term investments which are due in less than one year and $41.3 million of long-term investments which are due in one to two years. We primarily invest our marketable securities portfolio in securities with at least an investment grade rating to minimize interest rate and credit risk as well as to provide for an immediate source of funds. Although changes in interest rates may affect the fair value of the marketable securities portfolio and cause unrealized gains or losses, such gains or losses would not be realized unless the investments are sold. Due to the nature of our investments, which are primarily money market funds, U.S. government-sponsored enterprise securities, commercial paper and corporate notes, we have concluded that there is no material interest rate risk exposure and a 1% movement in market interest rates would not have a significant impact on the total value of our portfolio.</w:t>
      </w:r>
    </w:p>
    <w:p>
      <w:pPr>
        <w:spacing w:after="0" w:line="240" w:lineRule="exact"/>
        <w:rPr>
          <w:sz w:val="20"/>
          <w:szCs w:val="20"/>
          <w:color w:val="auto"/>
        </w:rPr>
      </w:pPr>
    </w:p>
    <w:p>
      <w:pPr>
        <w:ind w:left="960" w:right="999" w:firstLine="902"/>
        <w:spacing w:after="0" w:line="253" w:lineRule="auto"/>
        <w:rPr>
          <w:sz w:val="20"/>
          <w:szCs w:val="20"/>
          <w:color w:val="auto"/>
        </w:rPr>
      </w:pPr>
      <w:r>
        <w:rPr>
          <w:rFonts w:ascii="Times New Roman" w:cs="Times New Roman" w:eastAsia="Times New Roman" w:hAnsi="Times New Roman"/>
          <w:sz w:val="14"/>
          <w:szCs w:val="14"/>
          <w:color w:val="auto"/>
        </w:rPr>
        <w:t>We are exposed to risks associated with changes in interest rates in connection with our term loans. On November 1, 2024, we entered into a loan agreement (the “Loan Agreement”) with BioPharma Credit Investments V (Master) LP and BPCR Limited Partnership (each, a “Lender”), which are investment funds managed by Pharmakon Advisors, LP, and BioPharma Credit PLC, as collateral agent, which provides for a 5-year senior secured term loan facility of up to $250.0 million, divided into three committed tranches: (i) a Tranche A Loan in an aggregate principal amount of $125.0 million (the “Tranche A Loan”) which was funded on November 1, 2024 (the “Tranche A Closing Date”); (ii) a Tranche B Loan in an aggregate principal amount of $75.0 million (the “Tranche B Loan”) which is available, subject to certain limited conditions, at the Company’s option; and (iii) a Tranche C Loan in an aggregate principal amount of $50.0 million (the “Tranche C Loan”, and together with the Tranche A Loan and the Tranche B Loan, collectively, the “Term Loans”) which is available to us upon reaching a specified trailing twelve-month RYTELO™ revenue milestone. The Term Loans mature on November 1, 2029 (the "Maturity Date"). The Term Loans bear interest at a variable rate per annum equal to 5.75% plus three-month Secured Overnight Financing Rate (“SOFR”) with a SOFR floor of 3.00%. As of inception of the Tranche A Loan, the interest rate applicable to the Tranche A Loan was 10.32%. Interest is due and payable quarterly on the last day of each quarter with the first payment due on December 31, 2024. The Loan Agreement requires we pay an amount equal to 2.50% of the Lenders’ total committed amount to fund the Term Loans, payable with respect to each Term Loan on the funding date of such Term Loan. Based on our current indebtedness of $125.0 million under the Term Loans as of December 31, 2025, a 1.0% change in the SOFR would increase net interest expense on our current indebtedness by approximately $5.2 million.</w:t>
      </w:r>
    </w:p>
    <w:p>
      <w:pPr>
        <w:spacing w:after="0" w:line="68" w:lineRule="exact"/>
        <w:rPr>
          <w:sz w:val="20"/>
          <w:szCs w:val="20"/>
          <w:color w:val="auto"/>
        </w:rPr>
      </w:pPr>
    </w:p>
    <w:p>
      <w:pPr>
        <w:ind w:left="960" w:right="1079" w:firstLine="902"/>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Foreign Currency Risk. </w:t>
      </w:r>
      <w:r>
        <w:rPr>
          <w:rFonts w:ascii="Times New Roman" w:cs="Times New Roman" w:eastAsia="Times New Roman" w:hAnsi="Times New Roman"/>
          <w:sz w:val="14"/>
          <w:szCs w:val="14"/>
          <w:color w:val="auto"/>
        </w:rPr>
        <w:t>We may be exposed to fluctuations in foreign currencies with regard to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agreements with service providers. Depending on the strengthening or weakening of the United States dollar, realized and unrealized currency may fluctuate. Management has determined that these fluctuations would not have a material impact on the financial statements.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7487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84190" cy="17487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9" w:lineRule="exact"/>
        <w:rPr>
          <w:sz w:val="20"/>
          <w:szCs w:val="20"/>
          <w:color w:val="auto"/>
        </w:rPr>
      </w:pPr>
    </w:p>
    <w:p>
      <w:pPr>
        <w:jc w:val="both"/>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The following financial statements and the related notes thereto, of Geron Corporation and its consolidated subsidiaries, and the Report of Independent Registered Public Accounting Firm, Ernst &amp; Young LLP, are filed as a part of this Report.</w:t>
      </w:r>
    </w:p>
    <w:p>
      <w:pPr>
        <w:spacing w:after="0" w:line="200" w:lineRule="exact"/>
        <w:rPr>
          <w:sz w:val="20"/>
          <w:szCs w:val="20"/>
          <w:color w:val="auto"/>
        </w:rPr>
      </w:pP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80" w:type="dxa"/>
            <w:vAlign w:val="bottom"/>
            <w:tcBorders>
              <w:bottom w:val="single" w:sz="8" w:color="0000F1"/>
            </w:tcBorders>
            <w:gridSpan w:val="4"/>
          </w:tcPr>
          <w:p>
            <w:pPr>
              <w:spacing w:after="0"/>
              <w:rPr>
                <w:sz w:val="20"/>
                <w:szCs w:val="20"/>
                <w:color w:val="auto"/>
              </w:rPr>
            </w:pPr>
            <w:r>
              <w:rPr>
                <w:rFonts w:ascii="Times New Roman" w:cs="Times New Roman" w:eastAsia="Times New Roman" w:hAnsi="Times New Roman"/>
                <w:sz w:val="14"/>
                <w:szCs w:val="14"/>
                <w:color w:val="0000F1"/>
              </w:rPr>
              <w:t>Report of Independent Registered Public Accounting Firm (PCAOB ID: 42)</w:t>
            </w:r>
          </w:p>
        </w:tc>
        <w:tc>
          <w:tcPr>
            <w:tcW w:w="1100" w:type="dxa"/>
            <w:vAlign w:val="bottom"/>
          </w:tcPr>
          <w:p>
            <w:pPr>
              <w:spacing w:after="0"/>
              <w:rPr>
                <w:sz w:val="13"/>
                <w:szCs w:val="13"/>
                <w:color w:val="auto"/>
              </w:rPr>
            </w:pPr>
          </w:p>
        </w:tc>
        <w:tc>
          <w:tcPr>
            <w:tcW w:w="13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w w:val="99"/>
              </w:rPr>
              <w:t>98</w:t>
            </w:r>
          </w:p>
        </w:tc>
      </w:tr>
      <w:tr>
        <w:trPr>
          <w:trHeight w:val="195"/>
        </w:trPr>
        <w:tc>
          <w:tcPr>
            <w:tcW w:w="1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3800" w:type="dxa"/>
            <w:vAlign w:val="bottom"/>
            <w:gridSpan w:val="4"/>
          </w:tcPr>
          <w:p>
            <w:pPr>
              <w:spacing w:after="0"/>
              <w:rPr>
                <w:sz w:val="16"/>
                <w:szCs w:val="16"/>
                <w:color w:val="auto"/>
              </w:rPr>
            </w:pPr>
          </w:p>
        </w:tc>
        <w:tc>
          <w:tcPr>
            <w:tcW w:w="13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101</w:t>
            </w:r>
          </w:p>
        </w:tc>
      </w:tr>
      <w:tr>
        <w:trPr>
          <w:trHeight w:val="195"/>
        </w:trPr>
        <w:tc>
          <w:tcPr>
            <w:tcW w:w="54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13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102</w:t>
            </w:r>
          </w:p>
        </w:tc>
      </w:tr>
      <w:tr>
        <w:trPr>
          <w:trHeight w:val="20"/>
        </w:trPr>
        <w:tc>
          <w:tcPr>
            <w:tcW w:w="22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5"/>
        </w:trPr>
        <w:tc>
          <w:tcPr>
            <w:tcW w:w="54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Loss</w:t>
            </w:r>
          </w:p>
        </w:tc>
        <w:tc>
          <w:tcPr>
            <w:tcW w:w="13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1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ectPr>
          <w:pgSz w:w="11900" w:h="16868" w:orient="portrait"/>
          <w:cols w:equalWidth="0" w:num="1">
            <w:col w:w="9019"/>
          </w:cols>
          <w:pgMar w:left="1440" w:top="1440" w:right="1440" w:bottom="0" w:gutter="0" w:footer="0" w:header="0"/>
        </w:sectPr>
      </w:pPr>
    </w:p>
    <w:bookmarkStart w:id="68" w:name="page69"/>
    <w:bookmarkEnd w:id="68"/>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54654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84190" cy="5465445"/>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161"/>
        </w:trPr>
        <w:tc>
          <w:tcPr>
            <w:tcW w:w="63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Page</w:t>
            </w:r>
            <w:r>
              <w:rPr>
                <w:rFonts w:ascii="Times New Roman" w:cs="Times New Roman" w:eastAsia="Times New Roman" w:hAnsi="Times New Roman"/>
                <w:sz w:val="14"/>
                <w:szCs w:val="14"/>
                <w:color w:val="auto"/>
              </w:rPr>
              <w:t>104</w:t>
            </w:r>
          </w:p>
        </w:tc>
      </w:tr>
      <w:tr>
        <w:trPr>
          <w:trHeight w:val="20"/>
        </w:trPr>
        <w:tc>
          <w:tcPr>
            <w:tcW w:w="2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5"/>
        </w:trPr>
        <w:tc>
          <w:tcPr>
            <w:tcW w:w="230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Cash Flows</w:t>
            </w:r>
          </w:p>
        </w:tc>
        <w:tc>
          <w:tcPr>
            <w:tcW w:w="4020" w:type="dxa"/>
            <w:vAlign w:val="bottom"/>
            <w:gridSpan w:val="3"/>
          </w:tcPr>
          <w:p>
            <w:pPr>
              <w:spacing w:after="0"/>
              <w:rPr>
                <w:sz w:val="13"/>
                <w:szCs w:val="13"/>
                <w:color w:val="auto"/>
              </w:rPr>
            </w:pPr>
          </w:p>
        </w:tc>
        <w:tc>
          <w:tcPr>
            <w:tcW w:w="72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105</w:t>
            </w:r>
          </w:p>
        </w:tc>
      </w:tr>
      <w:tr>
        <w:trPr>
          <w:trHeight w:val="195"/>
        </w:trPr>
        <w:tc>
          <w:tcPr>
            <w:tcW w:w="2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3800" w:type="dxa"/>
            <w:vAlign w:val="bottom"/>
            <w:gridSpan w:val="2"/>
          </w:tcPr>
          <w:p>
            <w:pPr>
              <w:spacing w:after="0"/>
              <w:rPr>
                <w:sz w:val="16"/>
                <w:szCs w:val="16"/>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987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84190" cy="49879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To the Stockholders and the Board of Directors of Geron Corporation</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5" w:lineRule="exact"/>
        <w:rPr>
          <w:sz w:val="20"/>
          <w:szCs w:val="20"/>
          <w:color w:val="auto"/>
        </w:rPr>
      </w:pPr>
    </w:p>
    <w:p>
      <w:pPr>
        <w:ind w:left="960" w:right="1059"/>
        <w:spacing w:after="0" w:line="262"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Geron Corporation (the Company) as of December 31, 2025 and 2024, the related consolidated statements of operations,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44" w:lineRule="exact"/>
        <w:rPr>
          <w:sz w:val="20"/>
          <w:szCs w:val="20"/>
          <w:color w:val="auto"/>
        </w:rPr>
      </w:pPr>
    </w:p>
    <w:p>
      <w:pPr>
        <w:ind w:left="960" w:right="1119"/>
        <w:spacing w:after="0" w:line="268"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spacing w:after="0" w:line="2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5" w:lineRule="exact"/>
        <w:rPr>
          <w:sz w:val="20"/>
          <w:szCs w:val="20"/>
          <w:color w:val="auto"/>
        </w:rPr>
      </w:pPr>
    </w:p>
    <w:p>
      <w:pPr>
        <w:ind w:left="960" w:right="999"/>
        <w:spacing w:after="0" w:line="268"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left="960" w:right="999"/>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85" w:lineRule="exact"/>
        <w:rPr>
          <w:sz w:val="20"/>
          <w:szCs w:val="20"/>
          <w:color w:val="auto"/>
        </w:rPr>
      </w:pPr>
    </w:p>
    <w:p>
      <w:pPr>
        <w:ind w:left="960" w:right="1059"/>
        <w:spacing w:after="0" w:line="26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p>
    <w:p>
      <w:pPr>
        <w:sectPr>
          <w:pgSz w:w="11900" w:h="16917" w:orient="portrait"/>
          <w:cols w:equalWidth="0" w:num="1">
            <w:col w:w="9019"/>
          </w:cols>
          <w:pgMar w:left="1440" w:top="140" w:right="1440" w:bottom="0" w:gutter="0" w:footer="0" w:header="0"/>
        </w:sectPr>
      </w:pPr>
    </w:p>
    <w:bookmarkStart w:id="69" w:name="page70"/>
    <w:bookmarkEnd w:id="69"/>
    <w:p>
      <w:pPr>
        <w:ind w:left="960" w:right="1379"/>
        <w:spacing w:after="0" w:line="293" w:lineRule="auto"/>
        <w:rPr>
          <w:sz w:val="20"/>
          <w:szCs w:val="20"/>
          <w:color w:val="auto"/>
        </w:rPr>
      </w:pPr>
      <w:r>
        <w:rPr>
          <w:rFonts w:ascii="Times New Roman" w:cs="Times New Roman" w:eastAsia="Times New Roman" w:hAnsi="Times New Roman"/>
          <w:sz w:val="14"/>
          <w:szCs w:val="14"/>
          <w:color w:val="auto"/>
        </w:rPr>
        <w:t>financial statements, taken as a whole, and we are not, by communicating the critical audit matter below, providing a separate opinion on the critical audit matter or on the accounts or disclosure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-232410</wp:posOffset>
            </wp:positionV>
            <wp:extent cx="5584190" cy="22263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84190" cy="222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72205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5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i w:val="1"/>
          <w:iCs w:val="1"/>
          <w:color w:val="auto"/>
        </w:rPr>
        <w:t>Slow moving and excess inventory</w:t>
      </w:r>
    </w:p>
    <w:p>
      <w:pPr>
        <w:spacing w:after="0" w:line="165" w:lineRule="exact"/>
        <w:rPr>
          <w:sz w:val="20"/>
          <w:szCs w:val="20"/>
          <w:color w:val="auto"/>
        </w:rPr>
      </w:pPr>
    </w:p>
    <w:p>
      <w:pPr>
        <w:ind w:left="2720" w:right="1059"/>
        <w:spacing w:after="0" w:line="265" w:lineRule="auto"/>
        <w:rPr>
          <w:sz w:val="20"/>
          <w:szCs w:val="20"/>
          <w:color w:val="auto"/>
        </w:rPr>
      </w:pPr>
      <w:r>
        <w:rPr>
          <w:rFonts w:ascii="Times New Roman" w:cs="Times New Roman" w:eastAsia="Times New Roman" w:hAnsi="Times New Roman"/>
          <w:sz w:val="14"/>
          <w:szCs w:val="14"/>
          <w:color w:val="auto"/>
        </w:rPr>
        <w:t>The Company had total inventory of $116.6 million as of December 31, 2025. As discussed in Note 1 to the consolidated financial statements, inventory is recorded at the lower of cost or net realizable value. If slow moving or excess inventory without an alternate use is identified, the Company adjusts the recorded amount of that inventory to its net realizable value.</w:t>
      </w:r>
    </w:p>
    <w:p>
      <w:pPr>
        <w:spacing w:after="0" w:line="65" w:lineRule="exact"/>
        <w:rPr>
          <w:sz w:val="20"/>
          <w:szCs w:val="20"/>
          <w:color w:val="auto"/>
        </w:rPr>
      </w:pPr>
    </w:p>
    <w:p>
      <w:pPr>
        <w:ind w:left="2720" w:right="1039" w:hanging="1707"/>
        <w:spacing w:after="0" w:line="263" w:lineRule="auto"/>
        <w:tabs>
          <w:tab w:leader="none" w:pos="270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Auditing the Company’s estimate of the net realizable value for slow moving and excess inventory was complex and involved a higher degree of auditor judgment as the estimate is dependent upon expectations of future product demand, as well as inventory levels and product expiry. The Company’s expectations of future product demand are forward-looking and could be affected by future market conditions. Changes in the assumptions could have a material effect on the net realizable value reserve.</w:t>
      </w:r>
    </w:p>
    <w:p>
      <w:pPr>
        <w:spacing w:after="0" w:line="134" w:lineRule="exact"/>
        <w:rPr>
          <w:sz w:val="20"/>
          <w:szCs w:val="20"/>
          <w:color w:val="auto"/>
        </w:rPr>
      </w:pPr>
    </w:p>
    <w:p>
      <w:pPr>
        <w:ind w:left="1000"/>
        <w:spacing w:after="0"/>
        <w:tabs>
          <w:tab w:leader="none" w:pos="2700" w:val="left"/>
        </w:tabs>
        <w:rPr>
          <w:sz w:val="20"/>
          <w:szCs w:val="20"/>
          <w:color w:val="auto"/>
        </w:rPr>
      </w:pPr>
      <w:r>
        <w:rPr>
          <w:rFonts w:ascii="Times New Roman" w:cs="Times New Roman" w:eastAsia="Times New Roman" w:hAnsi="Times New Roman"/>
          <w:sz w:val="14"/>
          <w:szCs w:val="14"/>
          <w:i w:val="1"/>
          <w:iCs w:val="1"/>
          <w:color w:val="auto"/>
        </w:rPr>
        <w:t>How We Addressed the</w:t>
      </w:r>
      <w:r>
        <w:rPr>
          <w:sz w:val="20"/>
          <w:szCs w:val="20"/>
          <w:color w:val="auto"/>
        </w:rPr>
        <w:tab/>
      </w:r>
      <w:r>
        <w:rPr>
          <w:rFonts w:ascii="Times New Roman" w:cs="Times New Roman" w:eastAsia="Times New Roman" w:hAnsi="Times New Roman"/>
          <w:sz w:val="14"/>
          <w:szCs w:val="14"/>
          <w:color w:val="auto"/>
        </w:rPr>
        <w:t>Our audit procedures included, among others, assessing the appropriateness of the</w:t>
      </w:r>
    </w:p>
    <w:p>
      <w:pPr>
        <w:spacing w:after="0" w:line="27" w:lineRule="exact"/>
        <w:rPr>
          <w:sz w:val="20"/>
          <w:szCs w:val="20"/>
          <w:color w:val="auto"/>
        </w:rPr>
      </w:pPr>
    </w:p>
    <w:p>
      <w:pPr>
        <w:ind w:left="2720" w:right="999" w:hanging="1707"/>
        <w:spacing w:after="0" w:line="258" w:lineRule="auto"/>
        <w:tabs>
          <w:tab w:leader="none" w:pos="2700" w:val="left"/>
        </w:tabs>
        <w:rPr>
          <w:sz w:val="20"/>
          <w:szCs w:val="20"/>
          <w:color w:val="auto"/>
        </w:rPr>
      </w:pPr>
      <w:r>
        <w:rPr>
          <w:rFonts w:ascii="Times New Roman" w:cs="Times New Roman" w:eastAsia="Times New Roman" w:hAnsi="Times New Roman"/>
          <w:sz w:val="14"/>
          <w:szCs w:val="14"/>
          <w:i w:val="1"/>
          <w:iCs w:val="1"/>
          <w:color w:val="auto"/>
        </w:rPr>
        <w:t>Matter in Our Audit</w:t>
      </w:r>
      <w:r>
        <w:rPr>
          <w:sz w:val="20"/>
          <w:szCs w:val="20"/>
          <w:color w:val="auto"/>
        </w:rPr>
        <w:tab/>
      </w:r>
      <w:r>
        <w:rPr>
          <w:rFonts w:ascii="Times New Roman" w:cs="Times New Roman" w:eastAsia="Times New Roman" w:hAnsi="Times New Roman"/>
          <w:sz w:val="14"/>
          <w:szCs w:val="14"/>
          <w:color w:val="auto"/>
        </w:rPr>
        <w:t>Company’s methodology and the significant assumptions used to estimate the net realizable value of slow moving and excess inventory. We performed inquiries of management and compared the Company’s estimates of future product demand to historical sales and expectations from analyst reports. We performed sensitivity analyses to assess the impact of reasonably possible changes in future demand on the Company’s estimate of net realizable value for slow moving and excess inventory. We also tested the accuracy of the calculations and the completeness and accuracy of the underlying inputs used, such as on-hand inventory and product expiration dates.</w:t>
      </w:r>
    </w:p>
    <w:p>
      <w:pPr>
        <w:spacing w:after="0" w:line="2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We have served as the Company’s auditor since 1992.</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Iselin, New Jersey</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944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84190" cy="9442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To the Stockholders and the Board of Directors of Geron Corporation</w:t>
      </w:r>
    </w:p>
    <w:p>
      <w:pPr>
        <w:spacing w:after="0" w:line="9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ectPr>
          <w:pgSz w:w="11900" w:h="16838" w:orient="portrait"/>
          <w:cols w:equalWidth="0" w:num="1">
            <w:col w:w="9019"/>
          </w:cols>
          <w:pgMar w:left="1440" w:top="114" w:right="1440" w:bottom="0" w:gutter="0" w:footer="0" w:header="0"/>
        </w:sectPr>
      </w:pPr>
    </w:p>
    <w:bookmarkStart w:id="70" w:name="page71"/>
    <w:bookmarkEnd w:id="70"/>
    <w:p>
      <w:pPr>
        <w:ind w:left="960" w:right="1099"/>
        <w:spacing w:after="0" w:line="265" w:lineRule="auto"/>
        <w:rPr>
          <w:sz w:val="20"/>
          <w:szCs w:val="20"/>
          <w:color w:val="auto"/>
        </w:rPr>
      </w:pPr>
      <w:r>
        <w:rPr>
          <w:rFonts w:ascii="Times New Roman" w:cs="Times New Roman" w:eastAsia="Times New Roman" w:hAnsi="Times New Roman"/>
          <w:sz w:val="14"/>
          <w:szCs w:val="14"/>
          <w:color w:val="auto"/>
        </w:rPr>
        <w:t>We have audited Geron Corporation’s internal control over financial reporting as of December 31, 2025, based on criteria established in Internal Control—Integrated Framework issued by the Committee of Sponsoring Organizations of the Treadway Commission (2013 framework) (the COSO criteria). In our opinion, Geron Corporation (the Company) maintained, in all material respects, effective internal control over financial reporting as of December 31, 2025, based on the COSO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-561340</wp:posOffset>
            </wp:positionV>
            <wp:extent cx="5584190" cy="62699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84190" cy="6269990"/>
                    </a:xfrm>
                    <a:prstGeom prst="rect">
                      <a:avLst/>
                    </a:prstGeom>
                    <a:noFill/>
                  </pic:spPr>
                </pic:pic>
              </a:graphicData>
            </a:graphic>
          </wp:anchor>
        </w:drawing>
      </w:r>
    </w:p>
    <w:p>
      <w:pPr>
        <w:spacing w:after="0" w:line="122" w:lineRule="exact"/>
        <w:rPr>
          <w:sz w:val="20"/>
          <w:szCs w:val="20"/>
          <w:color w:val="auto"/>
        </w:rPr>
      </w:pPr>
    </w:p>
    <w:p>
      <w:pPr>
        <w:ind w:left="960" w:right="1019"/>
        <w:spacing w:after="0" w:line="265"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stockholders’ equity and cash flows for each of the three years in the period ended December 31, 2025, and the related notes and our report dated March 2, 2026 expressed an unqualified opinion thereon.</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9" w:lineRule="exact"/>
        <w:rPr>
          <w:sz w:val="20"/>
          <w:szCs w:val="20"/>
          <w:color w:val="auto"/>
        </w:rPr>
      </w:pPr>
    </w:p>
    <w:p>
      <w:pPr>
        <w:ind w:left="960" w:right="1019"/>
        <w:spacing w:after="0" w:line="263"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left="960" w:right="999"/>
        <w:spacing w:after="0" w:line="27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6" w:lineRule="exact"/>
        <w:rPr>
          <w:sz w:val="20"/>
          <w:szCs w:val="20"/>
          <w:color w:val="auto"/>
        </w:rPr>
      </w:pPr>
    </w:p>
    <w:p>
      <w:pPr>
        <w:jc w:val="both"/>
        <w:ind w:left="960" w:right="979"/>
        <w:spacing w:after="0" w:line="268"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99" w:lineRule="exact"/>
        <w:rPr>
          <w:sz w:val="20"/>
          <w:szCs w:val="20"/>
          <w:color w:val="auto"/>
        </w:rPr>
      </w:pPr>
    </w:p>
    <w:p>
      <w:pPr>
        <w:ind w:left="960" w:right="999"/>
        <w:spacing w:after="0" w:line="260"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ind w:left="960" w:right="1039"/>
        <w:spacing w:after="0" w:line="274"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Iselin, New Jersey</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1833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84190" cy="41833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29"/>
        </w:trPr>
        <w:tc>
          <w:tcPr>
            <w:tcW w:w="3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(In thousands, except share and per</w:t>
            </w:r>
          </w:p>
        </w:tc>
      </w:tr>
      <w:tr>
        <w:trPr>
          <w:trHeight w:val="150"/>
        </w:trPr>
        <w:tc>
          <w:tcPr>
            <w:tcW w:w="3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share data)</w:t>
            </w:r>
          </w:p>
        </w:tc>
        <w:tc>
          <w:tcPr>
            <w:tcW w:w="580" w:type="dxa"/>
            <w:vAlign w:val="bottom"/>
          </w:tcPr>
          <w:p>
            <w:pPr>
              <w:spacing w:after="0"/>
              <w:rPr>
                <w:sz w:val="13"/>
                <w:szCs w:val="13"/>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77,560</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79,016</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1,880</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280,359</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327,550</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36,987</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35,946</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other receivables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2,239</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116,636</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38,714</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4,610</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5,053</w:t>
            </w:r>
          </w:p>
        </w:tc>
      </w:tr>
      <w:tr>
        <w:trPr>
          <w:trHeight w:val="215"/>
        </w:trPr>
        <w:tc>
          <w:tcPr>
            <w:tcW w:w="3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520,271</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490,992</w:t>
            </w: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Noncurrent marketable securities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41,289</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94,519</w:t>
            </w: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884</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 right-of-use assets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2,151</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w:t>
            </w: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Deposits and other assets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5,945</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r>
      <w:tr>
        <w:trPr>
          <w:trHeight w:val="215"/>
        </w:trPr>
        <w:tc>
          <w:tcPr>
            <w:tcW w:w="39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570,540</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593,781</w:t>
            </w: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4"/>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11,257</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8,595</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30,497</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22,808</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r>
      <w:tr>
        <w:trPr>
          <w:trHeight w:val="21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Liability related to sale of future royalties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17,448</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20,372</w:t>
            </w:r>
          </w:p>
        </w:tc>
      </w:tr>
    </w:tbl>
    <w:p>
      <w:pPr>
        <w:sectPr>
          <w:pgSz w:w="11900" w:h="16838" w:orient="portrait"/>
          <w:cols w:equalWidth="0" w:num="1">
            <w:col w:w="9019"/>
          </w:cols>
          <w:pgMar w:left="1440" w:top="136" w:right="1440" w:bottom="0" w:gutter="0" w:footer="0" w:header="0"/>
        </w:sectPr>
      </w:pPr>
    </w:p>
    <w:bookmarkStart w:id="71" w:name="page72"/>
    <w:bookmarkEnd w:id="71"/>
    <w:p>
      <w:pPr>
        <w:spacing w:after="0" w:line="1" w:lineRule="exact"/>
        <w:rPr>
          <w:sz w:val="20"/>
          <w:szCs w:val="20"/>
          <w:color w:val="auto"/>
        </w:rPr>
      </w:pPr>
    </w:p>
    <w:tbl>
      <w:tblPr>
        <w:tblLayout w:type="fixed"/>
        <w:tblInd w:w="110" w:type="dxa"/>
        <w:tblCellMar>
          <w:top w:w="0" w:type="dxa"/>
          <w:left w:w="0" w:type="dxa"/>
          <w:bottom w:w="0" w:type="dxa"/>
          <w:right w:w="0" w:type="dxa"/>
        </w:tblCellMar>
      </w:tblPr>
      <w:tr>
        <w:trPr>
          <w:trHeight w:val="161"/>
        </w:trPr>
        <w:tc>
          <w:tcPr>
            <w:tcW w:w="860" w:type="dxa"/>
            <w:vAlign w:val="bottom"/>
            <w:tcBorders>
              <w:left w:val="single" w:sz="8" w:color="CCCCCC"/>
            </w:tcBorders>
          </w:tcPr>
          <w:p>
            <w:pPr>
              <w:spacing w:after="0"/>
              <w:rPr>
                <w:sz w:val="13"/>
                <w:szCs w:val="13"/>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35,549</w:t>
            </w:r>
          </w:p>
        </w:tc>
        <w:tc>
          <w:tcPr>
            <w:tcW w:w="86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860" w:type="dxa"/>
            <w:vAlign w:val="bottom"/>
            <w:tcBorders>
              <w:left w:val="single" w:sz="8" w:color="CCCCCC"/>
            </w:tcBorders>
          </w:tcPr>
          <w:p>
            <w:pPr>
              <w:spacing w:after="0"/>
              <w:rPr>
                <w:sz w:val="4"/>
                <w:szCs w:val="4"/>
                <w:color w:val="auto"/>
              </w:rPr>
            </w:pPr>
          </w:p>
        </w:tc>
        <w:tc>
          <w:tcPr>
            <w:tcW w:w="3260" w:type="dxa"/>
            <w:vAlign w:val="bottom"/>
            <w:gridSpan w:val="2"/>
            <w:vMerge w:val="restart"/>
          </w:tcPr>
          <w:p>
            <w:pPr>
              <w:ind w:left="300"/>
              <w:spacing w:after="0" w:line="129" w:lineRule="exact"/>
              <w:rPr>
                <w:sz w:val="20"/>
                <w:szCs w:val="20"/>
                <w:color w:val="auto"/>
              </w:rPr>
            </w:pPr>
            <w:r>
              <w:rPr>
                <w:rFonts w:ascii="Times New Roman" w:cs="Times New Roman" w:eastAsia="Times New Roman" w:hAnsi="Times New Roman"/>
                <w:sz w:val="14"/>
                <w:szCs w:val="14"/>
                <w:color w:val="auto"/>
              </w:rPr>
              <w:t>Total current liabilities</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tcPr>
          <w:p>
            <w:pPr>
              <w:jc w:val="right"/>
              <w:ind w:right="220"/>
              <w:spacing w:after="0" w:line="54" w:lineRule="exact"/>
              <w:rPr>
                <w:sz w:val="20"/>
                <w:szCs w:val="20"/>
                <w:color w:val="auto"/>
              </w:rPr>
            </w:pPr>
            <w:r>
              <w:rPr>
                <w:rFonts w:ascii="Times New Roman" w:cs="Times New Roman" w:eastAsia="Times New Roman" w:hAnsi="Times New Roman"/>
                <w:sz w:val="6"/>
                <w:szCs w:val="6"/>
                <w:color w:val="auto"/>
              </w:rPr>
              <w:t>December 31,</w:t>
            </w: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Borders>
              <w:right w:val="single" w:sz="8" w:color="CCCCCC"/>
            </w:tcBorders>
            <w:gridSpan w:val="2"/>
          </w:tcPr>
          <w:p>
            <w:pPr>
              <w:spacing w:after="0" w:line="54" w:lineRule="exact"/>
              <w:rPr>
                <w:sz w:val="20"/>
                <w:szCs w:val="20"/>
                <w:color w:val="auto"/>
              </w:rPr>
            </w:pPr>
            <w:r>
              <w:rPr>
                <w:rFonts w:ascii="Times New Roman" w:cs="Times New Roman" w:eastAsia="Times New Roman" w:hAnsi="Times New Roman"/>
                <w:sz w:val="6"/>
                <w:szCs w:val="6"/>
                <w:color w:val="auto"/>
              </w:rPr>
              <w:t>December 31,</w:t>
            </w:r>
          </w:p>
        </w:tc>
        <w:tc>
          <w:tcPr>
            <w:tcW w:w="0" w:type="dxa"/>
            <w:vAlign w:val="bottom"/>
          </w:tcPr>
          <w:p>
            <w:pPr>
              <w:spacing w:after="0"/>
              <w:rPr>
                <w:sz w:val="1"/>
                <w:szCs w:val="1"/>
                <w:color w:val="auto"/>
              </w:rPr>
            </w:pPr>
          </w:p>
        </w:tc>
      </w:tr>
      <w:tr>
        <w:trPr>
          <w:trHeight w:val="75"/>
        </w:trPr>
        <w:tc>
          <w:tcPr>
            <w:tcW w:w="860" w:type="dxa"/>
            <w:vAlign w:val="bottom"/>
            <w:tcBorders>
              <w:left w:val="single" w:sz="8" w:color="CCCCCC"/>
            </w:tcBorders>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111,542</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jc w:val="right"/>
              <w:ind w:right="32"/>
              <w:spacing w:after="0" w:line="76" w:lineRule="exact"/>
              <w:rPr>
                <w:sz w:val="20"/>
                <w:szCs w:val="20"/>
                <w:color w:val="auto"/>
              </w:rPr>
            </w:pPr>
            <w:r>
              <w:rPr>
                <w:rFonts w:ascii="Times New Roman" w:cs="Times New Roman" w:eastAsia="Times New Roman" w:hAnsi="Times New Roman"/>
                <w:sz w:val="8"/>
                <w:szCs w:val="8"/>
                <w:color w:val="auto"/>
              </w:rPr>
              <w:t>88,298</w:t>
            </w:r>
          </w:p>
        </w:tc>
        <w:tc>
          <w:tcPr>
            <w:tcW w:w="86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860" w:type="dxa"/>
            <w:vAlign w:val="bottom"/>
            <w:tcBorders>
              <w:left w:val="single" w:sz="8" w:color="CCCCCC"/>
            </w:tcBorders>
          </w:tcPr>
          <w:p>
            <w:pPr>
              <w:spacing w:after="0"/>
              <w:rPr>
                <w:sz w:val="7"/>
                <w:szCs w:val="7"/>
                <w:color w:val="auto"/>
              </w:rPr>
            </w:pPr>
          </w:p>
        </w:tc>
        <w:tc>
          <w:tcPr>
            <w:tcW w:w="3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312"/>
              <w:spacing w:after="0" w:line="86" w:lineRule="exact"/>
              <w:rPr>
                <w:sz w:val="20"/>
                <w:szCs w:val="20"/>
                <w:color w:val="auto"/>
              </w:rPr>
            </w:pPr>
            <w:r>
              <w:rPr>
                <w:rFonts w:ascii="Times New Roman" w:cs="Times New Roman" w:eastAsia="Times New Roman" w:hAnsi="Times New Roman"/>
                <w:sz w:val="9"/>
                <w:szCs w:val="9"/>
                <w:color w:val="auto"/>
              </w:rPr>
              <w:t>2025</w:t>
            </w: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352"/>
              <w:spacing w:after="0" w:line="86" w:lineRule="exact"/>
              <w:rPr>
                <w:sz w:val="20"/>
                <w:szCs w:val="20"/>
                <w:color w:val="auto"/>
              </w:rPr>
            </w:pPr>
            <w:r>
              <w:rPr>
                <w:rFonts w:ascii="Times New Roman" w:cs="Times New Roman" w:eastAsia="Times New Roman" w:hAnsi="Times New Roman"/>
                <w:sz w:val="9"/>
                <w:szCs w:val="9"/>
                <w:color w:val="auto"/>
              </w:rPr>
              <w:t>2024</w:t>
            </w:r>
          </w:p>
        </w:tc>
        <w:tc>
          <w:tcPr>
            <w:tcW w:w="86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CCCCCC"/>
            </w:tcBorders>
          </w:tcPr>
          <w:p>
            <w:pPr>
              <w:spacing w:after="0"/>
              <w:rPr>
                <w:sz w:val="14"/>
                <w:szCs w:val="14"/>
                <w:color w:val="auto"/>
              </w:rPr>
            </w:pPr>
          </w:p>
        </w:tc>
        <w:tc>
          <w:tcPr>
            <w:tcW w:w="3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2,266</w:t>
            </w:r>
          </w:p>
        </w:tc>
        <w:tc>
          <w:tcPr>
            <w:tcW w:w="86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CCCCCC"/>
            </w:tcBorders>
          </w:tcPr>
          <w:p>
            <w:pPr>
              <w:spacing w:after="0"/>
              <w:rPr>
                <w:sz w:val="16"/>
                <w:szCs w:val="16"/>
                <w:color w:val="auto"/>
              </w:rPr>
            </w:pPr>
          </w:p>
        </w:tc>
        <w:tc>
          <w:tcPr>
            <w:tcW w:w="3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Noncurrent liability related to sale of future royalties</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112,134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104,421</w:t>
            </w:r>
          </w:p>
        </w:tc>
        <w:tc>
          <w:tcPr>
            <w:tcW w:w="86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60" w:type="dxa"/>
            <w:vAlign w:val="bottom"/>
            <w:tcBorders>
              <w:left w:val="single" w:sz="8" w:color="CCCCCC"/>
            </w:tcBorders>
          </w:tcPr>
          <w:p>
            <w:pPr>
              <w:spacing w:after="0"/>
              <w:rPr>
                <w:sz w:val="18"/>
                <w:szCs w:val="18"/>
                <w:color w:val="auto"/>
              </w:rPr>
            </w:pPr>
          </w:p>
        </w:tc>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Noncurrent debt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118,476</w:t>
            </w: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Borders>
              <w:left w:val="single" w:sz="8" w:color="CCCCCC"/>
            </w:tcBorders>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344,668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313,461</w:t>
            </w: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 w:type="dxa"/>
            <w:vAlign w:val="bottom"/>
            <w:tcBorders>
              <w:left w:val="single" w:sz="8" w:color="CCCCCC"/>
            </w:tcBorders>
          </w:tcPr>
          <w:p>
            <w:pPr>
              <w:spacing w:after="0"/>
              <w:rPr>
                <w:sz w:val="19"/>
                <w:szCs w:val="19"/>
                <w:color w:val="auto"/>
              </w:rPr>
            </w:pPr>
          </w:p>
        </w:tc>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60" w:type="dxa"/>
            <w:vAlign w:val="bottom"/>
            <w:tcBorders>
              <w:left w:val="single" w:sz="8" w:color="CCCCCC"/>
            </w:tcBorders>
          </w:tcPr>
          <w:p>
            <w:pPr>
              <w:spacing w:after="0"/>
              <w:rPr>
                <w:sz w:val="16"/>
                <w:szCs w:val="16"/>
                <w:color w:val="auto"/>
              </w:rPr>
            </w:pPr>
          </w:p>
        </w:tc>
        <w:tc>
          <w:tcPr>
            <w:tcW w:w="3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60" w:type="dxa"/>
            <w:vAlign w:val="bottom"/>
            <w:tcBorders>
              <w:left w:val="single" w:sz="8" w:color="CCCCCC"/>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Borders>
              <w:left w:val="single" w:sz="8" w:color="CCCCCC"/>
            </w:tcBorders>
          </w:tcPr>
          <w:p>
            <w:pPr>
              <w:spacing w:after="0"/>
              <w:rPr>
                <w:sz w:val="16"/>
                <w:szCs w:val="16"/>
                <w:color w:val="auto"/>
              </w:rPr>
            </w:pPr>
          </w:p>
        </w:tc>
        <w:tc>
          <w:tcPr>
            <w:tcW w:w="50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$0.001 par value; 3,000,000 shares authorized; no shares issued</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CCEEFF"/>
            </w:tcBorders>
            <w:shd w:val="clear" w:color="auto" w:fill="CCEEFF"/>
          </w:tcPr>
          <w:p>
            <w:pPr>
              <w:spacing w:after="0"/>
              <w:rPr>
                <w:sz w:val="16"/>
                <w:szCs w:val="16"/>
                <w:color w:val="auto"/>
              </w:rPr>
            </w:pPr>
          </w:p>
        </w:tc>
        <w:tc>
          <w:tcPr>
            <w:tcW w:w="86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60" w:type="dxa"/>
            <w:vAlign w:val="bottom"/>
            <w:tcBorders>
              <w:left w:val="single" w:sz="8" w:color="CCCCCC"/>
            </w:tcBorders>
          </w:tcPr>
          <w:p>
            <w:pPr>
              <w:spacing w:after="0"/>
              <w:rPr>
                <w:sz w:val="15"/>
                <w:szCs w:val="15"/>
                <w:color w:val="auto"/>
              </w:rPr>
            </w:pP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and outstanding at December 31, 2025 and 2024</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60" w:type="dxa"/>
            <w:vAlign w:val="bottom"/>
            <w:tcBorders>
              <w:left w:val="single" w:sz="8" w:color="CCCCCC"/>
            </w:tcBorders>
          </w:tcPr>
          <w:p>
            <w:pPr>
              <w:spacing w:after="0"/>
              <w:rPr>
                <w:sz w:val="14"/>
                <w:szCs w:val="14"/>
                <w:color w:val="auto"/>
              </w:rPr>
            </w:pPr>
          </w:p>
        </w:tc>
        <w:tc>
          <w:tcPr>
            <w:tcW w:w="500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Common stock, $0.001 par value; 1,350,000,000 shares authorized; 639,856,222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0" w:type="dxa"/>
            <w:vAlign w:val="bottom"/>
            <w:tcBorders>
              <w:left w:val="single" w:sz="8" w:color="CCCCCC"/>
            </w:tcBorders>
          </w:tcPr>
          <w:p>
            <w:pPr>
              <w:spacing w:after="0"/>
              <w:rPr>
                <w:sz w:val="14"/>
                <w:szCs w:val="14"/>
                <w:color w:val="auto"/>
              </w:rPr>
            </w:pPr>
          </w:p>
        </w:tc>
        <w:tc>
          <w:tcPr>
            <w:tcW w:w="500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and 606,387,666 shares issued and outstanding at December 31, 2025 and 2024,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CCCCCC"/>
            </w:tcBorders>
          </w:tcPr>
          <w:p>
            <w:pPr>
              <w:spacing w:after="0"/>
              <w:rPr>
                <w:sz w:val="16"/>
                <w:szCs w:val="16"/>
                <w:color w:val="auto"/>
              </w:rPr>
            </w:pP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respectively</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606</w:t>
            </w:r>
          </w:p>
        </w:tc>
        <w:tc>
          <w:tcPr>
            <w:tcW w:w="86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60" w:type="dxa"/>
            <w:vAlign w:val="bottom"/>
            <w:tcBorders>
              <w:left w:val="single" w:sz="8" w:color="CCCCCC"/>
            </w:tcBorders>
          </w:tcPr>
          <w:p>
            <w:pPr>
              <w:spacing w:after="0"/>
              <w:rPr>
                <w:sz w:val="15"/>
                <w:szCs w:val="15"/>
                <w:color w:val="auto"/>
              </w:rPr>
            </w:pPr>
          </w:p>
        </w:tc>
        <w:tc>
          <w:tcPr>
            <w:tcW w:w="3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2,080,804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2,051,794</w:t>
            </w:r>
          </w:p>
        </w:tc>
        <w:tc>
          <w:tcPr>
            <w:tcW w:w="86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860" w:type="dxa"/>
            <w:vAlign w:val="bottom"/>
            <w:tcBorders>
              <w:left w:val="single" w:sz="8" w:color="CCCCCC"/>
            </w:tcBorders>
          </w:tcPr>
          <w:p>
            <w:pPr>
              <w:spacing w:after="0"/>
              <w:rPr>
                <w:sz w:val="3"/>
                <w:szCs w:val="3"/>
                <w:color w:val="auto"/>
              </w:rPr>
            </w:pPr>
          </w:p>
        </w:tc>
        <w:tc>
          <w:tcPr>
            <w:tcW w:w="32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Borders>
              <w:right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60" w:type="dxa"/>
            <w:vAlign w:val="bottom"/>
            <w:tcBorders>
              <w:left w:val="single" w:sz="8" w:color="CCCCCC"/>
            </w:tcBorders>
          </w:tcPr>
          <w:p>
            <w:pPr>
              <w:spacing w:after="0"/>
              <w:rPr>
                <w:sz w:val="13"/>
                <w:szCs w:val="13"/>
                <w:color w:val="auto"/>
              </w:rPr>
            </w:pPr>
          </w:p>
        </w:tc>
        <w:tc>
          <w:tcPr>
            <w:tcW w:w="32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color w:val="auto"/>
              </w:rPr>
              <w:t>Accumulated deficit</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auto"/>
              </w:rPr>
              <w:t>(1,855,841)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auto"/>
              </w:rPr>
              <w:t>(1,772,341)</w:t>
            </w:r>
          </w:p>
        </w:tc>
        <w:tc>
          <w:tcPr>
            <w:tcW w:w="86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60" w:type="dxa"/>
            <w:vAlign w:val="bottom"/>
            <w:tcBorders>
              <w:left w:val="single" w:sz="8" w:color="CCCCCC"/>
            </w:tcBorders>
          </w:tcPr>
          <w:p>
            <w:pPr>
              <w:spacing w:after="0"/>
              <w:rPr>
                <w:sz w:val="18"/>
                <w:szCs w:val="18"/>
                <w:color w:val="auto"/>
              </w:rPr>
            </w:pPr>
          </w:p>
        </w:tc>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261</w:t>
            </w: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Borders>
              <w:left w:val="single" w:sz="8" w:color="CCCCCC"/>
            </w:tcBorders>
          </w:tcPr>
          <w:p>
            <w:pPr>
              <w:spacing w:after="0"/>
              <w:rPr>
                <w:sz w:val="18"/>
                <w:szCs w:val="18"/>
                <w:color w:val="auto"/>
              </w:rPr>
            </w:pP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280,320</w:t>
            </w: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Borders>
              <w:left w:val="single" w:sz="8" w:color="CCCCCC"/>
            </w:tcBorders>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570,540</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593,781</w:t>
            </w: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Borders>
              <w:left w:val="single" w:sz="8" w:color="CCCCCC"/>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gridSpan w:val="2"/>
          </w:tcPr>
          <w:p>
            <w:pPr>
              <w:spacing w:after="0"/>
              <w:rPr>
                <w:sz w:val="18"/>
                <w:szCs w:val="18"/>
                <w:color w:val="auto"/>
              </w:rPr>
            </w:pPr>
          </w:p>
        </w:tc>
        <w:tc>
          <w:tcPr>
            <w:tcW w:w="100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CCCCCC"/>
            </w:tcBorders>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020" w:type="dxa"/>
            <w:vAlign w:val="bottom"/>
            <w:gridSpan w:val="8"/>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CCCCCC"/>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Borders>
              <w:left w:val="single" w:sz="8" w:color="CCCCCC"/>
            </w:tcBorders>
          </w:tcPr>
          <w:p>
            <w:pPr>
              <w:spacing w:after="0"/>
              <w:rPr>
                <w:sz w:val="13"/>
                <w:szCs w:val="13"/>
                <w:color w:val="auto"/>
              </w:rPr>
            </w:pPr>
          </w:p>
        </w:tc>
        <w:tc>
          <w:tcPr>
            <w:tcW w:w="10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60" w:type="dxa"/>
            <w:vAlign w:val="bottom"/>
            <w:tcBorders>
              <w:left w:val="single" w:sz="8" w:color="CCCCCC"/>
            </w:tcBorders>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60" w:type="dxa"/>
            <w:vAlign w:val="bottom"/>
            <w:tcBorders>
              <w:left w:val="single" w:sz="8" w:color="CCCCCC"/>
            </w:tcBorders>
          </w:tcPr>
          <w:p>
            <w:pPr>
              <w:spacing w:after="0"/>
              <w:rPr>
                <w:sz w:val="17"/>
                <w:szCs w:val="17"/>
                <w:color w:val="auto"/>
              </w:rPr>
            </w:pPr>
          </w:p>
        </w:tc>
        <w:tc>
          <w:tcPr>
            <w:tcW w:w="1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CCCCCC"/>
              <w:bottom w:val="single" w:sz="8" w:color="CCCCCC"/>
            </w:tcBorders>
          </w:tcPr>
          <w:p>
            <w:pPr>
              <w:spacing w:after="0"/>
              <w:rPr>
                <w:sz w:val="16"/>
                <w:szCs w:val="16"/>
                <w:color w:val="auto"/>
              </w:rPr>
            </w:pPr>
          </w:p>
        </w:tc>
        <w:tc>
          <w:tcPr>
            <w:tcW w:w="1020" w:type="dxa"/>
            <w:vAlign w:val="bottom"/>
            <w:tcBorders>
              <w:bottom w:val="single" w:sz="8" w:color="CCCCCC"/>
            </w:tcBorders>
            <w:shd w:val="clear" w:color="auto" w:fill="CCEEFF"/>
          </w:tcPr>
          <w:p>
            <w:pPr>
              <w:spacing w:after="0"/>
              <w:rPr>
                <w:sz w:val="16"/>
                <w:szCs w:val="16"/>
                <w:color w:val="auto"/>
              </w:rPr>
            </w:pPr>
          </w:p>
        </w:tc>
        <w:tc>
          <w:tcPr>
            <w:tcW w:w="2240" w:type="dxa"/>
            <w:vAlign w:val="bottom"/>
            <w:tcBorders>
              <w:bottom w:val="single" w:sz="8" w:color="CCCCCC"/>
            </w:tcBorders>
            <w:shd w:val="clear" w:color="auto" w:fill="CCEEFF"/>
          </w:tcPr>
          <w:p>
            <w:pPr>
              <w:spacing w:after="0"/>
              <w:rPr>
                <w:sz w:val="16"/>
                <w:szCs w:val="16"/>
                <w:color w:val="auto"/>
              </w:rPr>
            </w:pPr>
          </w:p>
        </w:tc>
        <w:tc>
          <w:tcPr>
            <w:tcW w:w="740" w:type="dxa"/>
            <w:vAlign w:val="bottom"/>
            <w:tcBorders>
              <w:bottom w:val="single" w:sz="8" w:color="CCCCCC"/>
            </w:tcBorders>
            <w:shd w:val="clear" w:color="auto" w:fill="CCEEFF"/>
          </w:tcPr>
          <w:p>
            <w:pPr>
              <w:spacing w:after="0"/>
              <w:rPr>
                <w:sz w:val="16"/>
                <w:szCs w:val="16"/>
                <w:color w:val="auto"/>
              </w:rPr>
            </w:pPr>
          </w:p>
        </w:tc>
        <w:tc>
          <w:tcPr>
            <w:tcW w:w="180" w:type="dxa"/>
            <w:vAlign w:val="bottom"/>
            <w:tcBorders>
              <w:bottom w:val="single" w:sz="8" w:color="CCCCCC"/>
            </w:tcBorders>
            <w:shd w:val="clear" w:color="auto" w:fill="CCEEFF"/>
          </w:tcPr>
          <w:p>
            <w:pPr>
              <w:spacing w:after="0"/>
              <w:rPr>
                <w:sz w:val="16"/>
                <w:szCs w:val="16"/>
                <w:color w:val="auto"/>
              </w:rPr>
            </w:pPr>
          </w:p>
        </w:tc>
        <w:tc>
          <w:tcPr>
            <w:tcW w:w="82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120" w:type="dxa"/>
            <w:vAlign w:val="bottom"/>
            <w:tcBorders>
              <w:bottom w:val="single" w:sz="8" w:color="CCCCCC"/>
            </w:tcBorders>
            <w:shd w:val="clear" w:color="auto" w:fill="CCEEFF"/>
          </w:tcPr>
          <w:p>
            <w:pPr>
              <w:spacing w:after="0"/>
              <w:rPr>
                <w:sz w:val="16"/>
                <w:szCs w:val="16"/>
                <w:color w:val="auto"/>
              </w:rPr>
            </w:pPr>
          </w:p>
        </w:tc>
        <w:tc>
          <w:tcPr>
            <w:tcW w:w="84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140" w:type="dxa"/>
            <w:vAlign w:val="bottom"/>
            <w:tcBorders>
              <w:bottom w:val="single" w:sz="8" w:color="CCCCCC"/>
            </w:tcBorders>
            <w:shd w:val="clear" w:color="auto" w:fill="CCEEFF"/>
          </w:tcPr>
          <w:p>
            <w:pPr>
              <w:spacing w:after="0"/>
              <w:rPr>
                <w:sz w:val="16"/>
                <w:szCs w:val="16"/>
                <w:color w:val="auto"/>
              </w:rPr>
            </w:pPr>
          </w:p>
        </w:tc>
        <w:tc>
          <w:tcPr>
            <w:tcW w:w="860" w:type="dxa"/>
            <w:vAlign w:val="bottom"/>
            <w:tcBorders>
              <w:bottom w:val="single" w:sz="8" w:color="CCCCCC"/>
              <w:right w:val="single" w:sz="8" w:color="CCEEFF"/>
            </w:tcBorders>
            <w:shd w:val="clear" w:color="auto" w:fill="CCEEFF"/>
          </w:tcPr>
          <w:p>
            <w:pPr>
              <w:spacing w:after="0"/>
              <w:rPr>
                <w:sz w:val="16"/>
                <w:szCs w:val="16"/>
                <w:color w:val="auto"/>
              </w:rPr>
            </w:pPr>
          </w:p>
        </w:tc>
        <w:tc>
          <w:tcPr>
            <w:tcW w:w="860" w:type="dxa"/>
            <w:vAlign w:val="bottom"/>
            <w:tcBorders>
              <w:bottom w:val="single" w:sz="8" w:color="CCCCCC"/>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1880" w:type="dxa"/>
            <w:vAlign w:val="bottom"/>
            <w:tcBorders>
              <w:bottom w:val="single" w:sz="8" w:color="CCCCCC"/>
            </w:tcBorders>
            <w:gridSpan w:val="2"/>
          </w:tcPr>
          <w:p>
            <w:pPr>
              <w:spacing w:after="0"/>
              <w:rPr>
                <w:sz w:val="8"/>
                <w:szCs w:val="8"/>
                <w:color w:val="auto"/>
              </w:rPr>
            </w:pPr>
          </w:p>
        </w:tc>
        <w:tc>
          <w:tcPr>
            <w:tcW w:w="2240" w:type="dxa"/>
            <w:vAlign w:val="bottom"/>
            <w:tcBorders>
              <w:bottom w:val="single" w:sz="8" w:color="CCCCCC"/>
            </w:tcBorders>
          </w:tcPr>
          <w:p>
            <w:pPr>
              <w:spacing w:after="0"/>
              <w:rPr>
                <w:sz w:val="8"/>
                <w:szCs w:val="8"/>
                <w:color w:val="auto"/>
              </w:rPr>
            </w:pPr>
          </w:p>
        </w:tc>
        <w:tc>
          <w:tcPr>
            <w:tcW w:w="74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412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0000FF"/>
              </w:rPr>
              <w:t>Table of Contents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86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3980" w:type="dxa"/>
            <w:vAlign w:val="bottom"/>
            <w:gridSpan w:val="4"/>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GERON CORPORATION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20" w:type="dxa"/>
            <w:vAlign w:val="bottom"/>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center"/>
              <w:ind w:left="61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9"/>
          </w:tcPr>
          <w:p>
            <w:pPr>
              <w:jc w:val="center"/>
              <w:ind w:right="104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Product revenue, net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76,495</w:t>
            </w:r>
          </w:p>
        </w:tc>
        <w:tc>
          <w:tcPr>
            <w:tcW w:w="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Royalties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Costs and operating expenses: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goods sold</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125,046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145,732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charges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326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252,466</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250,726</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194,181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3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Loss from operations</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(68,585)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(173,732)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(193,944)</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(174,572)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(184,127)</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666,662,989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646,033,247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570,645,405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60" w:type="dxa"/>
            <w:vAlign w:val="bottom"/>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gridSpan w:val="2"/>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right w:val="single" w:sz="8" w:color="CCEEFF"/>
            </w:tcBorders>
            <w:vMerge w:val="continue"/>
            <w:shd w:val="clear" w:color="auto" w:fill="CCEEFF"/>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-6409690</wp:posOffset>
            </wp:positionV>
            <wp:extent cx="4500880" cy="136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00880" cy="13652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-6136640</wp:posOffset>
            </wp:positionV>
            <wp:extent cx="4500880" cy="1365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00880" cy="13652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-5864225</wp:posOffset>
            </wp:positionV>
            <wp:extent cx="5584190" cy="9182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84190" cy="9182100"/>
                    </a:xfrm>
                    <a:prstGeom prst="rect">
                      <a:avLst/>
                    </a:prstGeom>
                    <a:noFill/>
                  </pic:spPr>
                </pic:pic>
              </a:graphicData>
            </a:graphic>
          </wp:anchor>
        </w:drawing>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ectPr>
          <w:pgSz w:w="11900" w:h="16838" w:orient="portrait"/>
          <w:cols w:equalWidth="0" w:num="1">
            <w:col w:w="9019"/>
          </w:cols>
          <w:pgMar w:left="1440" w:top="97" w:right="1440" w:bottom="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139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84190" cy="139700"/>
                    </a:xfrm>
                    <a:prstGeom prst="rect">
                      <a:avLst/>
                    </a:prstGeom>
                    <a:noFill/>
                  </pic:spPr>
                </pic:pic>
              </a:graphicData>
            </a:graphic>
          </wp:anchor>
        </w:drawing>
      </w:r>
    </w:p>
    <w:p>
      <w:pPr>
        <w:sectPr>
          <w:pgSz w:w="11900" w:h="16838" w:orient="portrait"/>
          <w:cols w:equalWidth="0" w:num="1">
            <w:col w:w="9019"/>
          </w:cols>
          <w:pgMar w:left="1440" w:top="97" w:right="1440" w:bottom="94" w:gutter="0" w:footer="0" w:header="0"/>
          <w:type w:val="continuous"/>
        </w:sectPr>
      </w:pPr>
    </w:p>
    <w:bookmarkStart w:id="72" w:name="page73"/>
    <w:bookmarkEnd w:id="72"/>
    <w:p>
      <w:pPr>
        <w:spacing w:after="0" w:line="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-85090</wp:posOffset>
            </wp:positionV>
            <wp:extent cx="5584190" cy="70745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84190" cy="7074535"/>
                    </a:xfrm>
                    <a:prstGeom prst="rect">
                      <a:avLst/>
                    </a:prstGeom>
                    <a:noFill/>
                  </pic:spPr>
                </pic:pic>
              </a:graphicData>
            </a:graphic>
          </wp:anchor>
        </w:drawing>
      </w: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STATEMENTS OF COMPREHENSIVE LOSS</w:t>
      </w:r>
    </w:p>
    <w:p>
      <w:pPr>
        <w:spacing w:after="0" w:line="244" w:lineRule="exact"/>
        <w:rPr>
          <w:sz w:val="20"/>
          <w:szCs w:val="20"/>
          <w:color w:val="auto"/>
        </w:rPr>
      </w:pPr>
    </w:p>
    <w:tbl>
      <w:tblPr>
        <w:tblLayout w:type="fixed"/>
        <w:tblInd w:w="124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jc w:val="center"/>
              <w:ind w:left="41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40" w:type="dxa"/>
            <w:vAlign w:val="bottom"/>
            <w:tcBorders>
              <w:bottom w:val="single" w:sz="8" w:color="auto"/>
            </w:tcBorders>
          </w:tcPr>
          <w:p>
            <w:pPr>
              <w:spacing w:after="0"/>
              <w:rPr>
                <w:sz w:val="12"/>
                <w:szCs w:val="12"/>
                <w:color w:val="auto"/>
              </w:rPr>
            </w:pPr>
          </w:p>
        </w:tc>
      </w:tr>
      <w:tr>
        <w:trPr>
          <w:trHeight w:val="158"/>
        </w:trPr>
        <w:tc>
          <w:tcPr>
            <w:tcW w:w="4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(174,572)</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(184,127)</w:t>
            </w:r>
          </w:p>
        </w:tc>
      </w:tr>
      <w:tr>
        <w:trPr>
          <w:trHeight w:val="21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unrealized loss (gain) on marketable securities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15"/>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3"/>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(83,492)</w:t>
            </w:r>
          </w:p>
        </w:tc>
        <w:tc>
          <w:tcPr>
            <w:tcW w:w="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(174,496)</w:t>
            </w:r>
          </w:p>
        </w:tc>
        <w:tc>
          <w:tcPr>
            <w:tcW w:w="40" w:type="dxa"/>
            <w:vAlign w:val="bottom"/>
          </w:tcPr>
          <w:p>
            <w:pPr>
              <w:spacing w:after="0"/>
              <w:rPr>
                <w:sz w:val="15"/>
                <w:szCs w:val="15"/>
                <w:color w:val="auto"/>
              </w:rPr>
            </w:pPr>
          </w:p>
        </w:tc>
        <w:tc>
          <w:tcPr>
            <w:tcW w:w="2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(183,723)</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190500</wp:posOffset>
            </wp:positionV>
            <wp:extent cx="7212965" cy="33788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2965" cy="337883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4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27"/>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Total</w:t>
            </w:r>
          </w:p>
        </w:tc>
      </w:tr>
      <w:tr>
        <w:trPr>
          <w:trHeight w:val="161"/>
        </w:trPr>
        <w:tc>
          <w:tcPr>
            <w:tcW w:w="436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14"/>
                <w:szCs w:val="14"/>
                <w:color w:val="auto"/>
              </w:rPr>
            </w:pPr>
          </w:p>
        </w:tc>
        <w:tc>
          <w:tcPr>
            <w:tcW w:w="840" w:type="dxa"/>
            <w:vAlign w:val="bottom"/>
          </w:tcPr>
          <w:p>
            <w:pPr>
              <w:jc w:val="center"/>
              <w:ind w:right="127"/>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Stockholders'</w:t>
            </w:r>
          </w:p>
        </w:tc>
      </w:tr>
      <w:tr>
        <w:trPr>
          <w:trHeight w:val="161"/>
        </w:trPr>
        <w:tc>
          <w:tcPr>
            <w:tcW w:w="436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4"/>
                <w:szCs w:val="14"/>
                <w:color w:val="auto"/>
              </w:rPr>
            </w:pPr>
          </w:p>
        </w:tc>
        <w:tc>
          <w:tcPr>
            <w:tcW w:w="78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14"/>
                <w:szCs w:val="14"/>
                <w:color w:val="auto"/>
              </w:rPr>
            </w:pPr>
          </w:p>
        </w:tc>
        <w:tc>
          <w:tcPr>
            <w:tcW w:w="840" w:type="dxa"/>
            <w:vAlign w:val="bottom"/>
          </w:tcPr>
          <w:p>
            <w:pPr>
              <w:jc w:val="center"/>
              <w:ind w:right="147"/>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217"/>
        </w:trPr>
        <w:tc>
          <w:tcPr>
            <w:tcW w:w="4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97"/>
              </w:rPr>
              <w:t>(In thousands, except share data)</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Balances at December 31, 2022</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390,262,524</w:t>
            </w: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6"/>
              </w:rPr>
              <w:t>390</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1,493,469</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(1,413,642)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(219)</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79,998</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4"/>
                <w:szCs w:val="14"/>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(184,127)</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(184,127)</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431</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4"/>
                <w:szCs w:val="14"/>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(27)</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pre-funded warrant and warrants to purchase common stock in public</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0"/>
        </w:trPr>
        <w:tc>
          <w:tcPr>
            <w:tcW w:w="4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offering, net of issuance costs of $14,507</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68,007,741</w:t>
            </w:r>
          </w:p>
        </w:tc>
        <w:tc>
          <w:tcPr>
            <w:tcW w:w="640" w:type="dxa"/>
            <w:vAlign w:val="bottom"/>
          </w:tcPr>
          <w:p>
            <w:pPr>
              <w:spacing w:after="0"/>
              <w:rPr>
                <w:sz w:val="12"/>
                <w:szCs w:val="12"/>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w:t>
            </w:r>
          </w:p>
        </w:tc>
        <w:tc>
          <w:tcPr>
            <w:tcW w:w="140" w:type="dxa"/>
            <w:vAlign w:val="bottom"/>
          </w:tcPr>
          <w:p>
            <w:pPr>
              <w:spacing w:after="0"/>
              <w:rPr>
                <w:sz w:val="12"/>
                <w:szCs w:val="12"/>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213,269</w:t>
            </w:r>
          </w:p>
        </w:tc>
        <w:tc>
          <w:tcPr>
            <w:tcW w:w="140" w:type="dxa"/>
            <w:vAlign w:val="bottom"/>
          </w:tcPr>
          <w:p>
            <w:pPr>
              <w:spacing w:after="0"/>
              <w:rPr>
                <w:sz w:val="12"/>
                <w:szCs w:val="12"/>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213,337</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in connection with exercise of warrants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77,349,858</w:t>
            </w:r>
          </w:p>
        </w:tc>
        <w:tc>
          <w:tcPr>
            <w:tcW w:w="640" w:type="dxa"/>
            <w:vAlign w:val="bottom"/>
          </w:tcPr>
          <w:p>
            <w:pPr>
              <w:spacing w:after="0"/>
              <w:rPr>
                <w:sz w:val="14"/>
                <w:szCs w:val="14"/>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w:t>
            </w:r>
          </w:p>
        </w:tc>
        <w:tc>
          <w:tcPr>
            <w:tcW w:w="140" w:type="dxa"/>
            <w:vAlign w:val="bottom"/>
          </w:tcPr>
          <w:p>
            <w:pPr>
              <w:spacing w:after="0"/>
              <w:rPr>
                <w:sz w:val="14"/>
                <w:szCs w:val="14"/>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105,834</w:t>
            </w:r>
          </w:p>
        </w:tc>
        <w:tc>
          <w:tcPr>
            <w:tcW w:w="14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105,912</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related to issuance of common stock and options in exchange for</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0"/>
        </w:trPr>
        <w:tc>
          <w:tcPr>
            <w:tcW w:w="4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services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36,864</w:t>
            </w:r>
          </w:p>
        </w:tc>
        <w:tc>
          <w:tcPr>
            <w:tcW w:w="640" w:type="dxa"/>
            <w:vAlign w:val="bottom"/>
          </w:tcPr>
          <w:p>
            <w:pPr>
              <w:spacing w:after="0"/>
              <w:rPr>
                <w:sz w:val="12"/>
                <w:szCs w:val="12"/>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2"/>
                <w:szCs w:val="12"/>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828</w:t>
            </w:r>
          </w:p>
        </w:tc>
        <w:tc>
          <w:tcPr>
            <w:tcW w:w="140" w:type="dxa"/>
            <w:vAlign w:val="bottom"/>
          </w:tcPr>
          <w:p>
            <w:pPr>
              <w:spacing w:after="0"/>
              <w:rPr>
                <w:sz w:val="12"/>
                <w:szCs w:val="12"/>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Issuances of common stock under equity plans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9,255,228</w:t>
            </w:r>
          </w:p>
        </w:tc>
        <w:tc>
          <w:tcPr>
            <w:tcW w:w="640" w:type="dxa"/>
            <w:vAlign w:val="bottom"/>
          </w:tcPr>
          <w:p>
            <w:pPr>
              <w:spacing w:after="0"/>
              <w:rPr>
                <w:sz w:val="15"/>
                <w:szCs w:val="15"/>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15"/>
                <w:szCs w:val="15"/>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13,062</w:t>
            </w:r>
          </w:p>
        </w:tc>
        <w:tc>
          <w:tcPr>
            <w:tcW w:w="140" w:type="dxa"/>
            <w:vAlign w:val="bottom"/>
          </w:tcPr>
          <w:p>
            <w:pPr>
              <w:spacing w:after="0"/>
              <w:rPr>
                <w:sz w:val="15"/>
                <w:szCs w:val="15"/>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13,070</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for equity-based awards to employees and directors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18,526</w:t>
            </w:r>
          </w:p>
        </w:tc>
        <w:tc>
          <w:tcPr>
            <w:tcW w:w="140" w:type="dxa"/>
            <w:vAlign w:val="bottom"/>
          </w:tcPr>
          <w:p>
            <w:pPr>
              <w:spacing w:after="0"/>
              <w:rPr>
                <w:sz w:val="15"/>
                <w:szCs w:val="15"/>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18,526</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Balances at December 31, 2023</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544,912,215</w:t>
            </w:r>
          </w:p>
        </w:tc>
        <w:tc>
          <w:tcPr>
            <w:tcW w:w="640" w:type="dxa"/>
            <w:vAlign w:val="bottom"/>
          </w:tcPr>
          <w:p>
            <w:pPr>
              <w:spacing w:after="0"/>
              <w:rPr>
                <w:sz w:val="14"/>
                <w:szCs w:val="14"/>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6"/>
              </w:rPr>
              <w:t>545</w:t>
            </w:r>
          </w:p>
        </w:tc>
        <w:tc>
          <w:tcPr>
            <w:tcW w:w="140" w:type="dxa"/>
            <w:vAlign w:val="bottom"/>
          </w:tcPr>
          <w:p>
            <w:pPr>
              <w:spacing w:after="0"/>
              <w:rPr>
                <w:sz w:val="14"/>
                <w:szCs w:val="14"/>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1,844,988</w:t>
            </w:r>
          </w:p>
        </w:tc>
        <w:tc>
          <w:tcPr>
            <w:tcW w:w="1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(1,597,769)</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185</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247,949</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(174,572)</w:t>
            </w:r>
          </w:p>
        </w:tc>
        <w:tc>
          <w:tcPr>
            <w:tcW w:w="100" w:type="dxa"/>
            <w:vAlign w:val="bottom"/>
          </w:tcPr>
          <w:p>
            <w:pPr>
              <w:spacing w:after="0"/>
              <w:rPr>
                <w:sz w:val="15"/>
                <w:szCs w:val="15"/>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(174,572)</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4"/>
                <w:szCs w:val="14"/>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88</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(12)</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pre-funded warrant and warrants to purchase common stock in public</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0"/>
        </w:trPr>
        <w:tc>
          <w:tcPr>
            <w:tcW w:w="4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offering, net of issuance costs of $9,271</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41,999,998</w:t>
            </w:r>
          </w:p>
        </w:tc>
        <w:tc>
          <w:tcPr>
            <w:tcW w:w="640" w:type="dxa"/>
            <w:vAlign w:val="bottom"/>
          </w:tcPr>
          <w:p>
            <w:pPr>
              <w:spacing w:after="0"/>
              <w:rPr>
                <w:sz w:val="12"/>
                <w:szCs w:val="12"/>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Pr>
          <w:p>
            <w:pPr>
              <w:spacing w:after="0"/>
              <w:rPr>
                <w:sz w:val="12"/>
                <w:szCs w:val="12"/>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140,687</w:t>
            </w:r>
          </w:p>
        </w:tc>
        <w:tc>
          <w:tcPr>
            <w:tcW w:w="140" w:type="dxa"/>
            <w:vAlign w:val="bottom"/>
          </w:tcPr>
          <w:p>
            <w:pPr>
              <w:spacing w:after="0"/>
              <w:rPr>
                <w:sz w:val="12"/>
                <w:szCs w:val="12"/>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140,729</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in connection with exercise of warrants</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1,071,981</w:t>
            </w:r>
          </w:p>
        </w:tc>
        <w:tc>
          <w:tcPr>
            <w:tcW w:w="640" w:type="dxa"/>
            <w:vAlign w:val="bottom"/>
          </w:tcPr>
          <w:p>
            <w:pPr>
              <w:spacing w:after="0"/>
              <w:rPr>
                <w:sz w:val="15"/>
                <w:szCs w:val="15"/>
                <w:color w:val="auto"/>
              </w:rPr>
            </w:pPr>
          </w:p>
        </w:tc>
        <w:tc>
          <w:tcPr>
            <w:tcW w:w="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5"/>
                <w:szCs w:val="15"/>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1,393</w:t>
            </w:r>
          </w:p>
        </w:tc>
        <w:tc>
          <w:tcPr>
            <w:tcW w:w="140" w:type="dxa"/>
            <w:vAlign w:val="bottom"/>
          </w:tcPr>
          <w:p>
            <w:pPr>
              <w:spacing w:after="0"/>
              <w:rPr>
                <w:sz w:val="15"/>
                <w:szCs w:val="15"/>
                <w:color w:val="auto"/>
              </w:rPr>
            </w:pPr>
          </w:p>
        </w:tc>
        <w:tc>
          <w:tcPr>
            <w:tcW w:w="7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1,394</w:t>
            </w:r>
          </w:p>
        </w:tc>
      </w:tr>
      <w:tr>
        <w:trPr>
          <w:trHeight w:val="183"/>
        </w:trPr>
        <w:tc>
          <w:tcPr>
            <w:tcW w:w="436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related to issuance of common stock and options in exchange for</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ectPr>
          <w:pgSz w:w="11900" w:h="16867" w:orient="portrait"/>
          <w:cols w:equalWidth="0" w:num="1">
            <w:col w:w="9640"/>
          </w:cols>
          <w:pgMar w:left="1160" w:top="114" w:right="1099" w:bottom="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860" w:type="dxa"/>
            <w:vAlign w:val="bottom"/>
            <w:tcBorders>
              <w:left w:val="single" w:sz="8" w:color="CCCCCC"/>
            </w:tcBorders>
          </w:tcPr>
          <w:p>
            <w:pPr>
              <w:spacing w:after="0"/>
              <w:rPr>
                <w:sz w:val="21"/>
                <w:szCs w:val="21"/>
                <w:color w:val="auto"/>
              </w:rPr>
            </w:pPr>
          </w:p>
        </w:tc>
        <w:tc>
          <w:tcPr>
            <w:tcW w:w="4560" w:type="dxa"/>
            <w:vAlign w:val="bottom"/>
            <w:gridSpan w:val="5"/>
          </w:tcPr>
          <w:p>
            <w:pPr>
              <w:ind w:left="180"/>
              <w:spacing w:after="0"/>
              <w:rPr>
                <w:sz w:val="20"/>
                <w:szCs w:val="20"/>
                <w:color w:val="auto"/>
              </w:rPr>
            </w:pPr>
            <w:r>
              <w:rPr>
                <w:rFonts w:ascii="Times New Roman" w:cs="Times New Roman" w:eastAsia="Times New Roman" w:hAnsi="Times New Roman"/>
                <w:sz w:val="11"/>
                <w:szCs w:val="11"/>
                <w:color w:val="auto"/>
              </w:rPr>
              <w:t>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21"/>
                <w:szCs w:val="21"/>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Accumulated</w:t>
            </w:r>
            <w:r>
              <w:rPr>
                <w:rFonts w:ascii="Times New Roman" w:cs="Times New Roman" w:eastAsia="Times New Roman" w:hAnsi="Times New Roman"/>
                <w:sz w:val="21"/>
                <w:szCs w:val="21"/>
                <w:color w:val="auto"/>
                <w:vertAlign w:val="superscript"/>
              </w:rPr>
              <w:t>—</w:t>
            </w:r>
          </w:p>
        </w:tc>
        <w:tc>
          <w:tcPr>
            <w:tcW w:w="3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60" w:type="dxa"/>
            <w:vAlign w:val="bottom"/>
            <w:tcBorders>
              <w:right w:val="single" w:sz="8" w:color="CCCCCC"/>
            </w:tcBorders>
          </w:tcPr>
          <w:p>
            <w:pPr>
              <w:spacing w:after="0"/>
              <w:rPr>
                <w:sz w:val="21"/>
                <w:szCs w:val="21"/>
                <w:color w:val="auto"/>
              </w:rPr>
            </w:pPr>
          </w:p>
        </w:tc>
      </w:tr>
      <w:tr>
        <w:trPr>
          <w:trHeight w:val="140"/>
        </w:trPr>
        <w:tc>
          <w:tcPr>
            <w:tcW w:w="860" w:type="dxa"/>
            <w:vAlign w:val="bottom"/>
            <w:tcBorders>
              <w:left w:val="single" w:sz="8" w:color="CCCCCC"/>
            </w:tcBorders>
          </w:tcPr>
          <w:p>
            <w:pPr>
              <w:spacing w:after="0"/>
              <w:rPr>
                <w:sz w:val="12"/>
                <w:szCs w:val="12"/>
                <w:color w:val="auto"/>
              </w:rPr>
            </w:pPr>
          </w:p>
        </w:tc>
        <w:tc>
          <w:tcPr>
            <w:tcW w:w="456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Issuances of common stock under equity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18,395,121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32,665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32,683</w:t>
            </w:r>
          </w:p>
        </w:tc>
        <w:tc>
          <w:tcPr>
            <w:tcW w:w="860" w:type="dxa"/>
            <w:vAlign w:val="bottom"/>
            <w:tcBorders>
              <w:right w:val="single" w:sz="8" w:color="CCCCCC"/>
            </w:tcBorders>
          </w:tcPr>
          <w:p>
            <w:pPr>
              <w:spacing w:after="0"/>
              <w:rPr>
                <w:sz w:val="12"/>
                <w:szCs w:val="12"/>
                <w:color w:val="auto"/>
              </w:rPr>
            </w:pPr>
          </w:p>
        </w:tc>
      </w:tr>
      <w:tr>
        <w:trPr>
          <w:trHeight w:val="172"/>
        </w:trPr>
        <w:tc>
          <w:tcPr>
            <w:tcW w:w="860" w:type="dxa"/>
            <w:vAlign w:val="bottom"/>
            <w:tcBorders>
              <w:left w:val="single" w:sz="8" w:color="CCCCCC"/>
            </w:tcBorders>
          </w:tcPr>
          <w:p>
            <w:pPr>
              <w:spacing w:after="0"/>
              <w:rPr>
                <w:sz w:val="14"/>
                <w:szCs w:val="14"/>
                <w:color w:val="auto"/>
              </w:rPr>
            </w:pPr>
          </w:p>
        </w:tc>
        <w:tc>
          <w:tcPr>
            <w:tcW w:w="456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Stock-based compensation for equity-based awards to employees and directors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31,927</w:t>
            </w:r>
          </w:p>
        </w:tc>
        <w:tc>
          <w:tcPr>
            <w:tcW w:w="860" w:type="dxa"/>
            <w:vAlign w:val="bottom"/>
            <w:tcBorders>
              <w:right w:val="single" w:sz="8" w:color="CCCCCC"/>
            </w:tcBorders>
          </w:tcPr>
          <w:p>
            <w:pPr>
              <w:spacing w:after="0"/>
              <w:rPr>
                <w:sz w:val="14"/>
                <w:szCs w:val="14"/>
                <w:color w:val="auto"/>
              </w:rPr>
            </w:pPr>
          </w:p>
        </w:tc>
      </w:tr>
      <w:tr>
        <w:trPr>
          <w:trHeight w:val="32"/>
        </w:trPr>
        <w:tc>
          <w:tcPr>
            <w:tcW w:w="860" w:type="dxa"/>
            <w:vAlign w:val="bottom"/>
            <w:tcBorders>
              <w:left w:val="single" w:sz="8" w:color="CCCCCC"/>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right w:val="single" w:sz="8" w:color="CCCCCC"/>
            </w:tcBorders>
          </w:tcPr>
          <w:p>
            <w:pPr>
              <w:spacing w:after="0"/>
              <w:rPr>
                <w:sz w:val="2"/>
                <w:szCs w:val="2"/>
                <w:color w:val="auto"/>
              </w:rPr>
            </w:pPr>
          </w:p>
        </w:tc>
      </w:tr>
      <w:tr>
        <w:trPr>
          <w:trHeight w:val="136"/>
        </w:trPr>
        <w:tc>
          <w:tcPr>
            <w:tcW w:w="860" w:type="dxa"/>
            <w:vAlign w:val="bottom"/>
            <w:tcBorders>
              <w:left w:val="single" w:sz="8" w:color="CCCCCC"/>
            </w:tcBorders>
          </w:tcPr>
          <w:p>
            <w:pPr>
              <w:spacing w:after="0"/>
              <w:rPr>
                <w:sz w:val="11"/>
                <w:szCs w:val="11"/>
                <w:color w:val="auto"/>
              </w:rPr>
            </w:pPr>
          </w:p>
        </w:tc>
        <w:tc>
          <w:tcPr>
            <w:tcW w:w="4280" w:type="dxa"/>
            <w:vAlign w:val="bottom"/>
            <w:gridSpan w:val="4"/>
          </w:tcPr>
          <w:p>
            <w:pPr>
              <w:ind w:left="40"/>
              <w:spacing w:after="0"/>
              <w:rPr>
                <w:sz w:val="20"/>
                <w:szCs w:val="20"/>
                <w:color w:val="auto"/>
              </w:rPr>
            </w:pPr>
            <w:r>
              <w:rPr>
                <w:rFonts w:ascii="Times New Roman" w:cs="Times New Roman" w:eastAsia="Times New Roman" w:hAnsi="Times New Roman"/>
                <w:sz w:val="11"/>
                <w:szCs w:val="11"/>
                <w:color w:val="auto"/>
              </w:rPr>
              <w:t>Balances at December 31, 2024</w:t>
            </w:r>
          </w:p>
        </w:tc>
        <w:tc>
          <w:tcPr>
            <w:tcW w:w="2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8"/>
              </w:rPr>
              <w:t>606,387,666</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2,051,794</w:t>
            </w: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97"/>
              </w:rPr>
              <w:t>(1,772,341)</w:t>
            </w:r>
          </w:p>
        </w:tc>
        <w:tc>
          <w:tcPr>
            <w:tcW w:w="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280,320</w:t>
            </w:r>
          </w:p>
        </w:tc>
        <w:tc>
          <w:tcPr>
            <w:tcW w:w="860" w:type="dxa"/>
            <w:vAlign w:val="bottom"/>
            <w:tcBorders>
              <w:right w:val="single" w:sz="8" w:color="CCCCCC"/>
            </w:tcBorders>
          </w:tcPr>
          <w:p>
            <w:pPr>
              <w:spacing w:after="0"/>
              <w:rPr>
                <w:sz w:val="11"/>
                <w:szCs w:val="11"/>
                <w:color w:val="auto"/>
              </w:rPr>
            </w:pPr>
          </w:p>
        </w:tc>
      </w:tr>
      <w:tr>
        <w:trPr>
          <w:trHeight w:val="146"/>
        </w:trPr>
        <w:tc>
          <w:tcPr>
            <w:tcW w:w="860" w:type="dxa"/>
            <w:vAlign w:val="bottom"/>
            <w:tcBorders>
              <w:left w:val="single" w:sz="8" w:color="CCCCCC"/>
            </w:tcBorders>
          </w:tcPr>
          <w:p>
            <w:pPr>
              <w:spacing w:after="0"/>
              <w:rPr>
                <w:sz w:val="12"/>
                <w:szCs w:val="12"/>
                <w:color w:val="auto"/>
              </w:rPr>
            </w:pPr>
          </w:p>
        </w:tc>
        <w:tc>
          <w:tcPr>
            <w:tcW w:w="456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Net loss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(83,500)</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(83,500)</w:t>
            </w:r>
          </w:p>
        </w:tc>
        <w:tc>
          <w:tcPr>
            <w:tcW w:w="860" w:type="dxa"/>
            <w:vAlign w:val="bottom"/>
            <w:tcBorders>
              <w:right w:val="single" w:sz="8" w:color="CCCCCC"/>
            </w:tcBorders>
          </w:tcPr>
          <w:p>
            <w:pPr>
              <w:spacing w:after="0"/>
              <w:rPr>
                <w:sz w:val="12"/>
                <w:szCs w:val="12"/>
                <w:color w:val="auto"/>
              </w:rPr>
            </w:pPr>
          </w:p>
        </w:tc>
      </w:tr>
      <w:tr>
        <w:trPr>
          <w:trHeight w:val="54"/>
        </w:trPr>
        <w:tc>
          <w:tcPr>
            <w:tcW w:w="860" w:type="dxa"/>
            <w:vAlign w:val="bottom"/>
            <w:tcBorders>
              <w:left w:val="single" w:sz="8" w:color="CCCCCC"/>
            </w:tcBorders>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Borders>
              <w:right w:val="single" w:sz="8" w:color="CCCCCC"/>
            </w:tcBorders>
          </w:tcPr>
          <w:p>
            <w:pPr>
              <w:spacing w:after="0"/>
              <w:rPr>
                <w:sz w:val="4"/>
                <w:szCs w:val="4"/>
                <w:color w:val="auto"/>
              </w:rPr>
            </w:pPr>
          </w:p>
        </w:tc>
      </w:tr>
      <w:tr>
        <w:trPr>
          <w:trHeight w:val="163"/>
        </w:trPr>
        <w:tc>
          <w:tcPr>
            <w:tcW w:w="860" w:type="dxa"/>
            <w:vAlign w:val="bottom"/>
            <w:tcBorders>
              <w:left w:val="single" w:sz="8" w:color="CCCCCC"/>
            </w:tcBorders>
          </w:tcPr>
          <w:p>
            <w:pPr>
              <w:spacing w:after="0"/>
              <w:rPr>
                <w:sz w:val="14"/>
                <w:szCs w:val="14"/>
                <w:color w:val="auto"/>
              </w:rPr>
            </w:pPr>
          </w:p>
        </w:tc>
        <w:tc>
          <w:tcPr>
            <w:tcW w:w="45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60" w:type="dxa"/>
            <w:vAlign w:val="bottom"/>
            <w:tcBorders>
              <w:right w:val="single" w:sz="8" w:color="CCCCCC"/>
            </w:tcBorders>
          </w:tcPr>
          <w:p>
            <w:pPr>
              <w:spacing w:after="0"/>
              <w:rPr>
                <w:sz w:val="14"/>
                <w:szCs w:val="14"/>
                <w:color w:val="auto"/>
              </w:rPr>
            </w:pPr>
          </w:p>
        </w:tc>
      </w:tr>
      <w:tr>
        <w:trPr>
          <w:trHeight w:val="140"/>
        </w:trPr>
        <w:tc>
          <w:tcPr>
            <w:tcW w:w="860" w:type="dxa"/>
            <w:vAlign w:val="bottom"/>
            <w:tcBorders>
              <w:left w:val="single" w:sz="8" w:color="CCCCCC"/>
            </w:tcBorders>
          </w:tcPr>
          <w:p>
            <w:pPr>
              <w:spacing w:after="0"/>
              <w:rPr>
                <w:sz w:val="12"/>
                <w:szCs w:val="12"/>
                <w:color w:val="auto"/>
              </w:rPr>
            </w:pPr>
          </w:p>
        </w:tc>
        <w:tc>
          <w:tcPr>
            <w:tcW w:w="456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60" w:type="dxa"/>
            <w:vAlign w:val="bottom"/>
            <w:tcBorders>
              <w:right w:val="single" w:sz="8" w:color="CCCCCC"/>
            </w:tcBorders>
          </w:tcPr>
          <w:p>
            <w:pPr>
              <w:spacing w:after="0"/>
              <w:rPr>
                <w:sz w:val="12"/>
                <w:szCs w:val="12"/>
                <w:color w:val="auto"/>
              </w:rPr>
            </w:pPr>
          </w:p>
        </w:tc>
      </w:tr>
      <w:tr>
        <w:trPr>
          <w:trHeight w:val="32"/>
        </w:trPr>
        <w:tc>
          <w:tcPr>
            <w:tcW w:w="860" w:type="dxa"/>
            <w:vAlign w:val="bottom"/>
            <w:tcBorders>
              <w:left w:val="single" w:sz="8" w:color="CCCCCC"/>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Borders>
              <w:right w:val="single" w:sz="8" w:color="CCCCCC"/>
            </w:tcBorders>
          </w:tcPr>
          <w:p>
            <w:pPr>
              <w:spacing w:after="0"/>
              <w:rPr>
                <w:sz w:val="2"/>
                <w:szCs w:val="2"/>
                <w:color w:val="auto"/>
              </w:rPr>
            </w:pPr>
          </w:p>
        </w:tc>
      </w:tr>
      <w:tr>
        <w:trPr>
          <w:trHeight w:val="163"/>
        </w:trPr>
        <w:tc>
          <w:tcPr>
            <w:tcW w:w="860" w:type="dxa"/>
            <w:vAlign w:val="bottom"/>
            <w:tcBorders>
              <w:left w:val="single" w:sz="8" w:color="CCCCCC"/>
            </w:tcBorders>
          </w:tcPr>
          <w:p>
            <w:pPr>
              <w:spacing w:after="0"/>
              <w:rPr>
                <w:sz w:val="14"/>
                <w:szCs w:val="14"/>
                <w:color w:val="auto"/>
              </w:rPr>
            </w:pPr>
          </w:p>
        </w:tc>
        <w:tc>
          <w:tcPr>
            <w:tcW w:w="45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Issuance of common stock in connection with exercise of warrants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30,369,830</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1,510</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1,541</w:t>
            </w:r>
          </w:p>
        </w:tc>
        <w:tc>
          <w:tcPr>
            <w:tcW w:w="860" w:type="dxa"/>
            <w:vAlign w:val="bottom"/>
            <w:tcBorders>
              <w:right w:val="single" w:sz="8" w:color="CCCCCC"/>
            </w:tcBorders>
          </w:tcPr>
          <w:p>
            <w:pPr>
              <w:spacing w:after="0"/>
              <w:rPr>
                <w:sz w:val="14"/>
                <w:szCs w:val="14"/>
                <w:color w:val="auto"/>
              </w:rPr>
            </w:pPr>
          </w:p>
        </w:tc>
      </w:tr>
      <w:tr>
        <w:trPr>
          <w:trHeight w:val="118"/>
        </w:trPr>
        <w:tc>
          <w:tcPr>
            <w:tcW w:w="860" w:type="dxa"/>
            <w:vAlign w:val="bottom"/>
            <w:tcBorders>
              <w:left w:val="single" w:sz="8" w:color="CCCCCC"/>
            </w:tcBorders>
          </w:tcPr>
          <w:p>
            <w:pPr>
              <w:spacing w:after="0"/>
              <w:rPr>
                <w:sz w:val="10"/>
                <w:szCs w:val="10"/>
                <w:color w:val="auto"/>
              </w:rPr>
            </w:pPr>
          </w:p>
        </w:tc>
        <w:tc>
          <w:tcPr>
            <w:tcW w:w="456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1"/>
                <w:szCs w:val="11"/>
                <w:color w:val="auto"/>
              </w:rPr>
              <w:t>Stock-based compensation related to issuance of common stock and options in exchange for</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CCCCCC"/>
            </w:tcBorders>
          </w:tcPr>
          <w:p>
            <w:pPr>
              <w:spacing w:after="0"/>
              <w:rPr>
                <w:sz w:val="10"/>
                <w:szCs w:val="10"/>
                <w:color w:val="auto"/>
              </w:rPr>
            </w:pPr>
          </w:p>
        </w:tc>
      </w:tr>
      <w:tr>
        <w:trPr>
          <w:trHeight w:val="140"/>
        </w:trPr>
        <w:tc>
          <w:tcPr>
            <w:tcW w:w="860" w:type="dxa"/>
            <w:vAlign w:val="bottom"/>
            <w:tcBorders>
              <w:left w:val="single" w:sz="8" w:color="CCCCCC"/>
            </w:tcBorders>
          </w:tcPr>
          <w:p>
            <w:pPr>
              <w:spacing w:after="0"/>
              <w:rPr>
                <w:sz w:val="12"/>
                <w:szCs w:val="12"/>
                <w:color w:val="auto"/>
              </w:rPr>
            </w:pPr>
          </w:p>
        </w:tc>
        <w:tc>
          <w:tcPr>
            <w:tcW w:w="4560" w:type="dxa"/>
            <w:vAlign w:val="bottom"/>
            <w:gridSpan w:val="5"/>
          </w:tcPr>
          <w:p>
            <w:pPr>
              <w:ind w:left="180"/>
              <w:spacing w:after="0"/>
              <w:rPr>
                <w:sz w:val="20"/>
                <w:szCs w:val="20"/>
                <w:color w:val="auto"/>
              </w:rPr>
            </w:pPr>
            <w:r>
              <w:rPr>
                <w:rFonts w:ascii="Times New Roman" w:cs="Times New Roman" w:eastAsia="Times New Roman" w:hAnsi="Times New Roman"/>
                <w:sz w:val="11"/>
                <w:szCs w:val="11"/>
                <w:color w:val="auto"/>
              </w:rPr>
              <w:t>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60" w:type="dxa"/>
            <w:vAlign w:val="bottom"/>
            <w:tcBorders>
              <w:right w:val="single" w:sz="8" w:color="CCCCCC"/>
            </w:tcBorders>
          </w:tcPr>
          <w:p>
            <w:pPr>
              <w:spacing w:after="0"/>
              <w:rPr>
                <w:sz w:val="12"/>
                <w:szCs w:val="12"/>
                <w:color w:val="auto"/>
              </w:rPr>
            </w:pPr>
          </w:p>
        </w:tc>
      </w:tr>
      <w:tr>
        <w:trPr>
          <w:trHeight w:val="183"/>
        </w:trPr>
        <w:tc>
          <w:tcPr>
            <w:tcW w:w="860" w:type="dxa"/>
            <w:vAlign w:val="bottom"/>
            <w:tcBorders>
              <w:left w:val="single" w:sz="8" w:color="CCCCCC"/>
            </w:tcBorders>
          </w:tcPr>
          <w:p>
            <w:pPr>
              <w:spacing w:after="0"/>
              <w:rPr>
                <w:sz w:val="15"/>
                <w:szCs w:val="15"/>
                <w:color w:val="auto"/>
              </w:rPr>
            </w:pPr>
          </w:p>
        </w:tc>
        <w:tc>
          <w:tcPr>
            <w:tcW w:w="456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Subscription receivables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1,162,376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(1,511)</w:t>
            </w:r>
          </w:p>
        </w:tc>
        <w:tc>
          <w:tcPr>
            <w:tcW w:w="860" w:type="dxa"/>
            <w:vAlign w:val="bottom"/>
            <w:tcBorders>
              <w:right w:val="single" w:sz="8" w:color="CCCCCC"/>
            </w:tcBorders>
          </w:tcPr>
          <w:p>
            <w:pPr>
              <w:spacing w:after="0"/>
              <w:rPr>
                <w:sz w:val="15"/>
                <w:szCs w:val="15"/>
                <w:color w:val="auto"/>
              </w:rPr>
            </w:pPr>
          </w:p>
        </w:tc>
      </w:tr>
      <w:tr>
        <w:trPr>
          <w:trHeight w:val="172"/>
        </w:trPr>
        <w:tc>
          <w:tcPr>
            <w:tcW w:w="860" w:type="dxa"/>
            <w:vAlign w:val="bottom"/>
            <w:tcBorders>
              <w:left w:val="single" w:sz="8" w:color="CCCCCC"/>
            </w:tcBorders>
          </w:tcPr>
          <w:p>
            <w:pPr>
              <w:spacing w:after="0"/>
              <w:rPr>
                <w:sz w:val="14"/>
                <w:szCs w:val="14"/>
                <w:color w:val="auto"/>
              </w:rPr>
            </w:pPr>
          </w:p>
        </w:tc>
        <w:tc>
          <w:tcPr>
            <w:tcW w:w="456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Issuances of common stock under equity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1,275,292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w:t>
            </w:r>
          </w:p>
        </w:tc>
        <w:tc>
          <w:tcPr>
            <w:tcW w:w="860" w:type="dxa"/>
            <w:vAlign w:val="bottom"/>
            <w:tcBorders>
              <w:right w:val="single" w:sz="8" w:color="CCCCCC"/>
            </w:tcBorders>
          </w:tcPr>
          <w:p>
            <w:pPr>
              <w:spacing w:after="0"/>
              <w:rPr>
                <w:sz w:val="14"/>
                <w:szCs w:val="14"/>
                <w:color w:val="auto"/>
              </w:rPr>
            </w:pPr>
          </w:p>
        </w:tc>
      </w:tr>
      <w:tr>
        <w:trPr>
          <w:trHeight w:val="43"/>
        </w:trPr>
        <w:tc>
          <w:tcPr>
            <w:tcW w:w="860" w:type="dxa"/>
            <w:vAlign w:val="bottom"/>
            <w:tcBorders>
              <w:left w:val="single" w:sz="8" w:color="CCCCCC"/>
            </w:tcBorders>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Borders>
              <w:right w:val="single" w:sz="8" w:color="CCCCCC"/>
            </w:tcBorders>
          </w:tcPr>
          <w:p>
            <w:pPr>
              <w:spacing w:after="0"/>
              <w:rPr>
                <w:sz w:val="3"/>
                <w:szCs w:val="3"/>
                <w:color w:val="auto"/>
              </w:rPr>
            </w:pPr>
          </w:p>
        </w:tc>
      </w:tr>
      <w:tr>
        <w:trPr>
          <w:trHeight w:val="140"/>
        </w:trPr>
        <w:tc>
          <w:tcPr>
            <w:tcW w:w="860" w:type="dxa"/>
            <w:vAlign w:val="bottom"/>
            <w:tcBorders>
              <w:left w:val="single" w:sz="8" w:color="CCCCCC"/>
            </w:tcBorders>
          </w:tcPr>
          <w:p>
            <w:pPr>
              <w:spacing w:after="0"/>
              <w:rPr>
                <w:sz w:val="12"/>
                <w:szCs w:val="12"/>
                <w:color w:val="auto"/>
              </w:rPr>
            </w:pPr>
          </w:p>
        </w:tc>
        <w:tc>
          <w:tcPr>
            <w:tcW w:w="45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Stock-based compensation for equity-based awards to employees and directors</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26,659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26,659</w:t>
            </w:r>
          </w:p>
        </w:tc>
        <w:tc>
          <w:tcPr>
            <w:tcW w:w="860" w:type="dxa"/>
            <w:vAlign w:val="bottom"/>
            <w:tcBorders>
              <w:right w:val="single" w:sz="8" w:color="CCCCCC"/>
            </w:tcBorders>
          </w:tcPr>
          <w:p>
            <w:pPr>
              <w:spacing w:after="0"/>
              <w:rPr>
                <w:sz w:val="12"/>
                <w:szCs w:val="12"/>
                <w:color w:val="auto"/>
              </w:rPr>
            </w:pPr>
          </w:p>
        </w:tc>
      </w:tr>
      <w:tr>
        <w:trPr>
          <w:trHeight w:val="172"/>
        </w:trPr>
        <w:tc>
          <w:tcPr>
            <w:tcW w:w="860" w:type="dxa"/>
            <w:vAlign w:val="bottom"/>
            <w:tcBorders>
              <w:left w:val="single" w:sz="8" w:color="CCCCCC"/>
            </w:tcBorders>
          </w:tcPr>
          <w:p>
            <w:pPr>
              <w:spacing w:after="0"/>
              <w:rPr>
                <w:sz w:val="14"/>
                <w:szCs w:val="14"/>
                <w:color w:val="auto"/>
              </w:rPr>
            </w:pPr>
          </w:p>
        </w:tc>
        <w:tc>
          <w:tcPr>
            <w:tcW w:w="45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Issuances of common stock under employee stock purchase plan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638,985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w:t>
            </w:r>
          </w:p>
        </w:tc>
        <w:tc>
          <w:tcPr>
            <w:tcW w:w="860" w:type="dxa"/>
            <w:vAlign w:val="bottom"/>
            <w:tcBorders>
              <w:right w:val="single" w:sz="8" w:color="CCCCCC"/>
            </w:tcBorders>
          </w:tcPr>
          <w:p>
            <w:pPr>
              <w:spacing w:after="0"/>
              <w:rPr>
                <w:sz w:val="14"/>
                <w:szCs w:val="14"/>
                <w:color w:val="auto"/>
              </w:rPr>
            </w:pPr>
          </w:p>
        </w:tc>
      </w:tr>
      <w:tr>
        <w:trPr>
          <w:trHeight w:val="182"/>
        </w:trPr>
        <w:tc>
          <w:tcPr>
            <w:tcW w:w="860" w:type="dxa"/>
            <w:vAlign w:val="bottom"/>
            <w:tcBorders>
              <w:left w:val="single" w:sz="8" w:color="CCCCCC"/>
            </w:tcBorders>
          </w:tcPr>
          <w:p>
            <w:pPr>
              <w:spacing w:after="0"/>
              <w:rPr>
                <w:sz w:val="15"/>
                <w:szCs w:val="15"/>
                <w:color w:val="auto"/>
              </w:rPr>
            </w:pPr>
          </w:p>
        </w:tc>
        <w:tc>
          <w:tcPr>
            <w:tcW w:w="456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Balances at December 31, 2025</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8"/>
              </w:rPr>
              <w:t>639,856,222</w:t>
            </w:r>
          </w:p>
        </w:tc>
        <w:tc>
          <w:tcPr>
            <w:tcW w:w="60" w:type="dxa"/>
            <w:vAlign w:val="bottom"/>
          </w:tcPr>
          <w:p>
            <w:pPr>
              <w:spacing w:after="0"/>
              <w:rPr>
                <w:sz w:val="15"/>
                <w:szCs w:val="15"/>
                <w:color w:val="auto"/>
              </w:rPr>
            </w:pPr>
          </w:p>
        </w:tc>
        <w:tc>
          <w:tcPr>
            <w:tcW w:w="4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220" w:type="dxa"/>
            <w:vAlign w:val="bottom"/>
            <w:gridSpan w:val="3"/>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2,080,804</w:t>
            </w: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7"/>
              </w:rPr>
              <w:t>(1,855,841)</w:t>
            </w:r>
          </w:p>
        </w:tc>
        <w:tc>
          <w:tcPr>
            <w:tcW w:w="460" w:type="dxa"/>
            <w:vAlign w:val="bottom"/>
            <w:gridSpan w:val="2"/>
          </w:tcPr>
          <w:p>
            <w:pPr>
              <w:jc w:val="right"/>
              <w:ind w:right="27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40" w:type="dxa"/>
            <w:vAlign w:val="bottom"/>
          </w:tcPr>
          <w:p>
            <w:pPr>
              <w:spacing w:after="0"/>
              <w:rPr>
                <w:sz w:val="15"/>
                <w:szCs w:val="15"/>
                <w:color w:val="auto"/>
              </w:rPr>
            </w:pPr>
          </w:p>
        </w:tc>
        <w:tc>
          <w:tcPr>
            <w:tcW w:w="38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225,872</w:t>
            </w:r>
          </w:p>
        </w:tc>
        <w:tc>
          <w:tcPr>
            <w:tcW w:w="860" w:type="dxa"/>
            <w:vAlign w:val="bottom"/>
            <w:tcBorders>
              <w:right w:val="single" w:sz="8" w:color="CCCCCC"/>
            </w:tcBorders>
          </w:tcPr>
          <w:p>
            <w:pPr>
              <w:spacing w:after="0"/>
              <w:rPr>
                <w:sz w:val="15"/>
                <w:szCs w:val="15"/>
                <w:color w:val="auto"/>
              </w:rPr>
            </w:pPr>
          </w:p>
        </w:tc>
      </w:tr>
      <w:tr>
        <w:trPr>
          <w:trHeight w:val="183"/>
        </w:trPr>
        <w:tc>
          <w:tcPr>
            <w:tcW w:w="860" w:type="dxa"/>
            <w:vAlign w:val="bottom"/>
            <w:tcBorders>
              <w:left w:val="single" w:sz="8" w:color="CCCCCC"/>
            </w:tcBorders>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20" w:type="dxa"/>
            <w:vAlign w:val="bottom"/>
            <w:gridSpan w:val="11"/>
            <w:shd w:val="clear" w:color="auto" w:fill="CCEEFF"/>
          </w:tcPr>
          <w:p>
            <w:pPr>
              <w:ind w:left="1160"/>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tcBorders>
              <w:right w:val="single" w:sz="8" w:color="CCCCCC"/>
            </w:tcBorders>
          </w:tcPr>
          <w:p>
            <w:pPr>
              <w:spacing w:after="0"/>
              <w:rPr>
                <w:sz w:val="15"/>
                <w:szCs w:val="15"/>
                <w:color w:val="auto"/>
              </w:rPr>
            </w:pPr>
          </w:p>
        </w:tc>
      </w:tr>
      <w:tr>
        <w:trPr>
          <w:trHeight w:val="152"/>
        </w:trPr>
        <w:tc>
          <w:tcPr>
            <w:tcW w:w="860" w:type="dxa"/>
            <w:vAlign w:val="bottom"/>
            <w:tcBorders>
              <w:left w:val="single" w:sz="8" w:color="CCCCCC"/>
            </w:tcBorders>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60" w:type="dxa"/>
            <w:vAlign w:val="bottom"/>
            <w:tcBorders>
              <w:right w:val="single" w:sz="8" w:color="CCCCCC"/>
            </w:tcBorders>
          </w:tcPr>
          <w:p>
            <w:pPr>
              <w:spacing w:after="0"/>
              <w:rPr>
                <w:sz w:val="13"/>
                <w:szCs w:val="13"/>
                <w:color w:val="auto"/>
              </w:rPr>
            </w:pPr>
          </w:p>
        </w:tc>
      </w:tr>
      <w:tr>
        <w:trPr>
          <w:trHeight w:val="183"/>
        </w:trPr>
        <w:tc>
          <w:tcPr>
            <w:tcW w:w="860" w:type="dxa"/>
            <w:vAlign w:val="bottom"/>
            <w:tcBorders>
              <w:left w:val="single" w:sz="8" w:color="CCCCCC"/>
            </w:tcBorders>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tcBorders>
              <w:right w:val="single" w:sz="8" w:color="CCCCCC"/>
            </w:tcBorders>
          </w:tcPr>
          <w:p>
            <w:pPr>
              <w:spacing w:after="0"/>
              <w:rPr>
                <w:sz w:val="15"/>
                <w:szCs w:val="15"/>
                <w:color w:val="auto"/>
              </w:rPr>
            </w:pPr>
          </w:p>
        </w:tc>
      </w:tr>
      <w:tr>
        <w:trPr>
          <w:trHeight w:val="172"/>
        </w:trPr>
        <w:tc>
          <w:tcPr>
            <w:tcW w:w="860" w:type="dxa"/>
            <w:vAlign w:val="bottom"/>
            <w:tcBorders>
              <w:left w:val="single" w:sz="8" w:color="CCCCCC"/>
            </w:tcBorders>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Borders>
              <w:right w:val="single" w:sz="8" w:color="CCCCCC"/>
            </w:tcBorders>
          </w:tcPr>
          <w:p>
            <w:pPr>
              <w:spacing w:after="0"/>
              <w:rPr>
                <w:sz w:val="14"/>
                <w:szCs w:val="14"/>
                <w:color w:val="auto"/>
              </w:rPr>
            </w:pPr>
          </w:p>
        </w:tc>
      </w:tr>
      <w:tr>
        <w:trPr>
          <w:trHeight w:val="189"/>
        </w:trPr>
        <w:tc>
          <w:tcPr>
            <w:tcW w:w="860" w:type="dxa"/>
            <w:vAlign w:val="bottom"/>
            <w:tcBorders>
              <w:left w:val="single" w:sz="8" w:color="CCCCCC"/>
              <w:bottom w:val="single" w:sz="8" w:color="CCCCCC"/>
            </w:tcBorders>
          </w:tcPr>
          <w:p>
            <w:pPr>
              <w:spacing w:after="0"/>
              <w:rPr>
                <w:sz w:val="16"/>
                <w:szCs w:val="16"/>
                <w:color w:val="auto"/>
              </w:rPr>
            </w:pPr>
          </w:p>
        </w:tc>
        <w:tc>
          <w:tcPr>
            <w:tcW w:w="380" w:type="dxa"/>
            <w:vAlign w:val="bottom"/>
            <w:tcBorders>
              <w:bottom w:val="single" w:sz="8" w:color="CCCCCC"/>
            </w:tcBorders>
            <w:shd w:val="clear" w:color="auto" w:fill="CCEEFF"/>
          </w:tcPr>
          <w:p>
            <w:pPr>
              <w:spacing w:after="0"/>
              <w:rPr>
                <w:sz w:val="16"/>
                <w:szCs w:val="16"/>
                <w:color w:val="auto"/>
              </w:rPr>
            </w:pPr>
          </w:p>
        </w:tc>
        <w:tc>
          <w:tcPr>
            <w:tcW w:w="860" w:type="dxa"/>
            <w:vAlign w:val="bottom"/>
            <w:tcBorders>
              <w:bottom w:val="single" w:sz="8" w:color="CCCCCC"/>
            </w:tcBorders>
            <w:shd w:val="clear" w:color="auto" w:fill="CCEEFF"/>
          </w:tcPr>
          <w:p>
            <w:pPr>
              <w:spacing w:after="0"/>
              <w:rPr>
                <w:sz w:val="16"/>
                <w:szCs w:val="16"/>
                <w:color w:val="auto"/>
              </w:rPr>
            </w:pPr>
          </w:p>
        </w:tc>
        <w:tc>
          <w:tcPr>
            <w:tcW w:w="1020" w:type="dxa"/>
            <w:vAlign w:val="bottom"/>
            <w:tcBorders>
              <w:bottom w:val="single" w:sz="8" w:color="CCCCCC"/>
            </w:tcBorders>
            <w:shd w:val="clear" w:color="auto" w:fill="CCEEFF"/>
          </w:tcPr>
          <w:p>
            <w:pPr>
              <w:spacing w:after="0"/>
              <w:rPr>
                <w:sz w:val="16"/>
                <w:szCs w:val="16"/>
                <w:color w:val="auto"/>
              </w:rPr>
            </w:pPr>
          </w:p>
        </w:tc>
        <w:tc>
          <w:tcPr>
            <w:tcW w:w="2020" w:type="dxa"/>
            <w:vAlign w:val="bottom"/>
            <w:tcBorders>
              <w:bottom w:val="single" w:sz="8" w:color="CCCCCC"/>
            </w:tcBorders>
            <w:shd w:val="clear" w:color="auto" w:fill="CCEEFF"/>
          </w:tcPr>
          <w:p>
            <w:pPr>
              <w:spacing w:after="0"/>
              <w:rPr>
                <w:sz w:val="16"/>
                <w:szCs w:val="16"/>
                <w:color w:val="auto"/>
              </w:rPr>
            </w:pPr>
          </w:p>
        </w:tc>
        <w:tc>
          <w:tcPr>
            <w:tcW w:w="280" w:type="dxa"/>
            <w:vAlign w:val="bottom"/>
            <w:tcBorders>
              <w:bottom w:val="single" w:sz="8" w:color="CCCCCC"/>
            </w:tcBorders>
            <w:shd w:val="clear" w:color="auto" w:fill="CCEEFF"/>
          </w:tcPr>
          <w:p>
            <w:pPr>
              <w:spacing w:after="0"/>
              <w:rPr>
                <w:sz w:val="16"/>
                <w:szCs w:val="16"/>
                <w:color w:val="auto"/>
              </w:rPr>
            </w:pPr>
          </w:p>
        </w:tc>
        <w:tc>
          <w:tcPr>
            <w:tcW w:w="580" w:type="dxa"/>
            <w:vAlign w:val="bottom"/>
            <w:tcBorders>
              <w:bottom w:val="single" w:sz="8" w:color="CCCCCC"/>
            </w:tcBorders>
            <w:shd w:val="clear" w:color="auto" w:fill="CCEEFF"/>
          </w:tcPr>
          <w:p>
            <w:pPr>
              <w:spacing w:after="0"/>
              <w:rPr>
                <w:sz w:val="16"/>
                <w:szCs w:val="16"/>
                <w:color w:val="auto"/>
              </w:rPr>
            </w:pPr>
          </w:p>
        </w:tc>
        <w:tc>
          <w:tcPr>
            <w:tcW w:w="6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380" w:type="dxa"/>
            <w:vAlign w:val="bottom"/>
            <w:tcBorders>
              <w:bottom w:val="single" w:sz="8" w:color="CCCCCC"/>
            </w:tcBorders>
            <w:shd w:val="clear" w:color="auto" w:fill="CCEEFF"/>
          </w:tcPr>
          <w:p>
            <w:pPr>
              <w:spacing w:after="0"/>
              <w:rPr>
                <w:sz w:val="16"/>
                <w:szCs w:val="16"/>
                <w:color w:val="auto"/>
              </w:rPr>
            </w:pPr>
          </w:p>
        </w:tc>
        <w:tc>
          <w:tcPr>
            <w:tcW w:w="40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14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140" w:type="dxa"/>
            <w:vAlign w:val="bottom"/>
            <w:tcBorders>
              <w:bottom w:val="single" w:sz="8" w:color="CCCCCC"/>
            </w:tcBorders>
            <w:shd w:val="clear" w:color="auto" w:fill="CCEEFF"/>
          </w:tcPr>
          <w:p>
            <w:pPr>
              <w:spacing w:after="0"/>
              <w:rPr>
                <w:sz w:val="16"/>
                <w:szCs w:val="16"/>
                <w:color w:val="auto"/>
              </w:rPr>
            </w:pPr>
          </w:p>
        </w:tc>
        <w:tc>
          <w:tcPr>
            <w:tcW w:w="520" w:type="dxa"/>
            <w:vAlign w:val="bottom"/>
            <w:tcBorders>
              <w:bottom w:val="single" w:sz="8" w:color="CCCCCC"/>
            </w:tcBorders>
            <w:shd w:val="clear" w:color="auto" w:fill="CCEEFF"/>
          </w:tcPr>
          <w:p>
            <w:pPr>
              <w:spacing w:after="0"/>
              <w:rPr>
                <w:sz w:val="16"/>
                <w:szCs w:val="16"/>
                <w:color w:val="auto"/>
              </w:rPr>
            </w:pPr>
          </w:p>
        </w:tc>
        <w:tc>
          <w:tcPr>
            <w:tcW w:w="2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28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140" w:type="dxa"/>
            <w:vAlign w:val="bottom"/>
            <w:tcBorders>
              <w:bottom w:val="single" w:sz="8" w:color="CCCCCC"/>
            </w:tcBorders>
            <w:shd w:val="clear" w:color="auto" w:fill="CCEEFF"/>
          </w:tcPr>
          <w:p>
            <w:pPr>
              <w:spacing w:after="0"/>
              <w:rPr>
                <w:sz w:val="16"/>
                <w:szCs w:val="16"/>
                <w:color w:val="auto"/>
              </w:rPr>
            </w:pPr>
          </w:p>
        </w:tc>
        <w:tc>
          <w:tcPr>
            <w:tcW w:w="40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420" w:type="dxa"/>
            <w:vAlign w:val="bottom"/>
            <w:tcBorders>
              <w:bottom w:val="single" w:sz="8" w:color="CCCCCC"/>
            </w:tcBorders>
            <w:shd w:val="clear" w:color="auto" w:fill="CCEEFF"/>
          </w:tcPr>
          <w:p>
            <w:pPr>
              <w:spacing w:after="0"/>
              <w:rPr>
                <w:sz w:val="16"/>
                <w:szCs w:val="16"/>
                <w:color w:val="auto"/>
              </w:rPr>
            </w:pPr>
          </w:p>
        </w:tc>
        <w:tc>
          <w:tcPr>
            <w:tcW w:w="440" w:type="dxa"/>
            <w:vAlign w:val="bottom"/>
            <w:tcBorders>
              <w:bottom w:val="single" w:sz="8" w:color="CCCCCC"/>
            </w:tcBorders>
            <w:shd w:val="clear" w:color="auto" w:fill="CCEEFF"/>
          </w:tcPr>
          <w:p>
            <w:pPr>
              <w:spacing w:after="0"/>
              <w:rPr>
                <w:sz w:val="16"/>
                <w:szCs w:val="16"/>
                <w:color w:val="auto"/>
              </w:rPr>
            </w:pPr>
          </w:p>
        </w:tc>
        <w:tc>
          <w:tcPr>
            <w:tcW w:w="40" w:type="dxa"/>
            <w:vAlign w:val="bottom"/>
            <w:tcBorders>
              <w:bottom w:val="single" w:sz="8" w:color="CCCCCC"/>
            </w:tcBorders>
            <w:shd w:val="clear" w:color="auto" w:fill="CCEEFF"/>
          </w:tcPr>
          <w:p>
            <w:pPr>
              <w:spacing w:after="0"/>
              <w:rPr>
                <w:sz w:val="16"/>
                <w:szCs w:val="16"/>
                <w:color w:val="auto"/>
              </w:rPr>
            </w:pPr>
          </w:p>
        </w:tc>
        <w:tc>
          <w:tcPr>
            <w:tcW w:w="380" w:type="dxa"/>
            <w:vAlign w:val="bottom"/>
            <w:tcBorders>
              <w:bottom w:val="single" w:sz="8" w:color="CCCCCC"/>
            </w:tcBorders>
            <w:shd w:val="clear" w:color="auto" w:fill="CCEEFF"/>
          </w:tcPr>
          <w:p>
            <w:pPr>
              <w:spacing w:after="0"/>
              <w:rPr>
                <w:sz w:val="16"/>
                <w:szCs w:val="16"/>
                <w:color w:val="auto"/>
              </w:rPr>
            </w:pPr>
          </w:p>
        </w:tc>
        <w:tc>
          <w:tcPr>
            <w:tcW w:w="480" w:type="dxa"/>
            <w:vAlign w:val="bottom"/>
            <w:tcBorders>
              <w:bottom w:val="single" w:sz="8" w:color="CCCCCC"/>
            </w:tcBorders>
            <w:shd w:val="clear" w:color="auto" w:fill="CCEEFF"/>
          </w:tcPr>
          <w:p>
            <w:pPr>
              <w:spacing w:after="0"/>
              <w:rPr>
                <w:sz w:val="16"/>
                <w:szCs w:val="16"/>
                <w:color w:val="auto"/>
              </w:rPr>
            </w:pPr>
          </w:p>
        </w:tc>
        <w:tc>
          <w:tcPr>
            <w:tcW w:w="860" w:type="dxa"/>
            <w:vAlign w:val="bottom"/>
            <w:tcBorders>
              <w:bottom w:val="single" w:sz="8" w:color="CCCCCC"/>
              <w:right w:val="single" w:sz="8" w:color="CCCCCC"/>
            </w:tcBorders>
          </w:tcPr>
          <w:p>
            <w:pPr>
              <w:spacing w:after="0"/>
              <w:rPr>
                <w:sz w:val="16"/>
                <w:szCs w:val="16"/>
                <w:color w:val="auto"/>
              </w:rPr>
            </w:pPr>
          </w:p>
        </w:tc>
      </w:tr>
      <w:tr>
        <w:trPr>
          <w:trHeight w:val="98"/>
        </w:trPr>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1020" w:type="dxa"/>
            <w:vAlign w:val="bottom"/>
            <w:tcBorders>
              <w:bottom w:val="single" w:sz="8" w:color="CCCCCC"/>
            </w:tcBorders>
          </w:tcPr>
          <w:p>
            <w:pPr>
              <w:spacing w:after="0"/>
              <w:rPr>
                <w:sz w:val="8"/>
                <w:szCs w:val="8"/>
                <w:color w:val="auto"/>
              </w:rPr>
            </w:pPr>
          </w:p>
        </w:tc>
        <w:tc>
          <w:tcPr>
            <w:tcW w:w="2300" w:type="dxa"/>
            <w:vAlign w:val="bottom"/>
            <w:tcBorders>
              <w:bottom w:val="single" w:sz="8" w:color="CCCCCC"/>
            </w:tcBorders>
            <w:gridSpan w:val="2"/>
          </w:tcPr>
          <w:p>
            <w:pPr>
              <w:spacing w:after="0"/>
              <w:rPr>
                <w:sz w:val="8"/>
                <w:szCs w:val="8"/>
                <w:color w:val="auto"/>
              </w:rPr>
            </w:pPr>
          </w:p>
        </w:tc>
        <w:tc>
          <w:tcPr>
            <w:tcW w:w="58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380" w:type="dxa"/>
            <w:vAlign w:val="bottom"/>
            <w:tcBorders>
              <w:bottom w:val="single" w:sz="8" w:color="CCCCCC"/>
            </w:tcBorders>
          </w:tcPr>
          <w:p>
            <w:pPr>
              <w:spacing w:after="0"/>
              <w:rPr>
                <w:sz w:val="8"/>
                <w:szCs w:val="8"/>
                <w:color w:val="auto"/>
              </w:rPr>
            </w:pPr>
          </w:p>
        </w:tc>
        <w:tc>
          <w:tcPr>
            <w:tcW w:w="4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5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28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4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420" w:type="dxa"/>
            <w:vAlign w:val="bottom"/>
            <w:tcBorders>
              <w:bottom w:val="single" w:sz="8" w:color="CCCCCC"/>
            </w:tcBorders>
          </w:tcPr>
          <w:p>
            <w:pPr>
              <w:spacing w:after="0"/>
              <w:rPr>
                <w:sz w:val="8"/>
                <w:szCs w:val="8"/>
                <w:color w:val="auto"/>
              </w:rPr>
            </w:pPr>
          </w:p>
        </w:tc>
        <w:tc>
          <w:tcPr>
            <w:tcW w:w="4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380" w:type="dxa"/>
            <w:vAlign w:val="bottom"/>
            <w:tcBorders>
              <w:bottom w:val="single" w:sz="8" w:color="CCCCCC"/>
            </w:tcBorders>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318"/>
        </w:trPr>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80" w:type="dxa"/>
            <w:vAlign w:val="bottom"/>
            <w:gridSpan w:val="4"/>
          </w:tcPr>
          <w:p>
            <w:pPr>
              <w:ind w:left="860"/>
              <w:spacing w:after="0"/>
              <w:rPr>
                <w:sz w:val="20"/>
                <w:szCs w:val="20"/>
                <w:color w:val="auto"/>
              </w:rPr>
            </w:pPr>
            <w:r>
              <w:rPr>
                <w:rFonts w:ascii="Times New Roman" w:cs="Times New Roman" w:eastAsia="Times New Roman" w:hAnsi="Times New Roman"/>
                <w:sz w:val="14"/>
                <w:szCs w:val="14"/>
                <w:color w:val="0000FF"/>
              </w:rPr>
              <w:t>Table of Contents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62"/>
        </w:trPr>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33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GERON CORPORATION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8"/>
        </w:trPr>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80" w:type="dxa"/>
            <w:vAlign w:val="bottom"/>
            <w:gridSpan w:val="1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66"/>
        </w:trPr>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8"/>
        </w:trPr>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6"/>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(83,500)</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(174,572)</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(184,127)</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9"/>
              </w:rPr>
              <w:t>Adjustments to reconcile net loss to net cash used in operating activities:</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546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Accretion and amortization on investments, net</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(11,150)</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Amortization of debt issuance costs/debt discount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Non-cash interest expense on liabilities for sales of future royalties</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5,345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Loss of extinguishment of debt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5"/>
              </w:rPr>
              <w:t>1,707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Stock-based compensation for services by non-employees</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w w:val="99"/>
              </w:rPr>
              <w:t>Stock-based compensation for employees and directors</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26,659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31,185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18,526</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675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Increase in allowance for doubtful accounts</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2"/>
              </w:rPr>
              <w:t>(50)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Inventory</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(77,922)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(37,971)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Accounts receivable, net</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(35,695)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Interest and other receivables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1,490</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Deposit and other assets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Accounts payable</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2,435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(4,029)</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7,689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5"/>
              </w:rPr>
              <w:t>9,049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2,224</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Royalty financing obligation</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Accrued liabilities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15,790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(4,759)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7,208</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2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(111,037)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(218,618)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(167,743)</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2"/>
              </w:rPr>
              <w:t>(49)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(304,421)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(476,932)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(475,594)</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3"/>
                <w:szCs w:val="13"/>
                <w:color w:val="auto"/>
              </w:rPr>
              <w:t>Proceeds from maturities and sales of marketable securities</w:t>
            </w:r>
          </w:p>
        </w:tc>
        <w:tc>
          <w:tcPr>
            <w:tcW w:w="5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3"/>
                <w:szCs w:val="13"/>
                <w:color w:val="auto"/>
              </w:rPr>
              <w:t>411,717</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371,608</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4"/>
              </w:rPr>
              <w:t>296,102</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107,247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(106,004)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(180,322)</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8"/>
              </w:rPr>
              <w:t>Proceeds from issuances of common stock from equity plans</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32,683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13,072</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3"/>
        </w:trPr>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60" w:type="dxa"/>
            <w:vAlign w:val="bottom"/>
            <w:gridSpan w:val="5"/>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 and warrants in public</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1"/>
        </w:trPr>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2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offering, net of paid issuance costs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140,729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4"/>
              </w:rPr>
              <w:t>213,337</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1,394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105,912</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Proceeds from sale of future royalties</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7"/>
                <w:szCs w:val="17"/>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125,000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3"/>
        </w:trPr>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debt financing, net of paid debt issuance costs and debt</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1"/>
        </w:trPr>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discounts</w:t>
            </w: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121,120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29,700</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Repayment of debt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(86,554)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4"/>
        </w:trPr>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20" w:type="dxa"/>
            <w:vAlign w:val="bottom"/>
            <w:tcBorders>
              <w:top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5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334,372</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362,021</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60" w:type="dxa"/>
            <w:vAlign w:val="bottom"/>
            <w:tcBorders>
              <w:bottom w:val="single" w:sz="8" w:color="CCEEFF"/>
            </w:tcBorders>
            <w:gridSpan w:val="5"/>
          </w:tcPr>
          <w:p>
            <w:pPr>
              <w:ind w:left="40"/>
              <w:spacing w:after="0"/>
              <w:rPr>
                <w:sz w:val="20"/>
                <w:szCs w:val="20"/>
                <w:color w:val="auto"/>
              </w:rPr>
            </w:pPr>
            <w:r>
              <w:rPr>
                <w:rFonts w:ascii="Times New Roman" w:cs="Times New Roman" w:eastAsia="Times New Roman" w:hAnsi="Times New Roman"/>
                <w:sz w:val="13"/>
                <w:szCs w:val="13"/>
                <w:color w:val="auto"/>
              </w:rPr>
              <w:t>Net effect of exchange rates on cash, cash equivalents and restricted cash</w:t>
            </w:r>
          </w:p>
        </w:tc>
        <w:tc>
          <w:tcPr>
            <w:tcW w:w="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4"/>
        </w:trPr>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9,738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13,929</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60" w:type="dxa"/>
            <w:vAlign w:val="bottom"/>
            <w:tcBorders>
              <w:bottom w:val="single" w:sz="8" w:color="CCEEFF"/>
            </w:tcBorders>
            <w:gridSpan w:val="5"/>
          </w:tcPr>
          <w:p>
            <w:pPr>
              <w:ind w:left="40"/>
              <w:spacing w:after="0"/>
              <w:rPr>
                <w:sz w:val="20"/>
                <w:szCs w:val="20"/>
                <w:color w:val="auto"/>
              </w:rPr>
            </w:pPr>
            <w:r>
              <w:rPr>
                <w:rFonts w:ascii="Times New Roman" w:cs="Times New Roman" w:eastAsia="Times New Roman" w:hAnsi="Times New Roman"/>
                <w:sz w:val="13"/>
                <w:szCs w:val="13"/>
                <w:color w:val="auto"/>
              </w:rPr>
              <w:t>Cash, cash equivalents and restricted cash at the beginning of the period</w:t>
            </w:r>
          </w:p>
        </w:tc>
        <w:tc>
          <w:tcPr>
            <w:tcW w:w="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80,876</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71,138</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57,209</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9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Cash, cash equivalents and restricted cash at the end of the period</w:t>
            </w: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79,440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80,876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71,138</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-8128000</wp:posOffset>
            </wp:positionV>
            <wp:extent cx="6137275" cy="109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37275" cy="10922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-7903210</wp:posOffset>
            </wp:positionV>
            <wp:extent cx="6137275" cy="415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37275" cy="41592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-7289165</wp:posOffset>
            </wp:positionV>
            <wp:extent cx="6137275" cy="79819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37275" cy="7981950"/>
                    </a:xfrm>
                    <a:prstGeom prst="rect">
                      <a:avLst/>
                    </a:prstGeom>
                    <a:noFill/>
                  </pic:spPr>
                </pic:pic>
              </a:graphicData>
            </a:graphic>
          </wp:anchor>
        </w:drawing>
      </w:r>
    </w:p>
    <w:p>
      <w:pPr>
        <w:spacing w:after="0" w:line="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190500</wp:posOffset>
            </wp:positionV>
            <wp:extent cx="5584190" cy="9715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84190" cy="9715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ectPr>
          <w:pgSz w:w="11900" w:h="16838" w:orient="portrait"/>
          <w:cols w:equalWidth="0" w:num="1">
            <w:col w:w="11360"/>
          </w:cols>
          <w:pgMar w:left="300" w:top="38" w:right="239" w:bottom="0" w:gutter="0" w:footer="0" w:header="0"/>
        </w:sectPr>
      </w:pPr>
    </w:p>
    <w:p>
      <w:pPr>
        <w:spacing w:after="0" w:line="200" w:lineRule="exact"/>
        <w:rPr>
          <w:sz w:val="20"/>
          <w:szCs w:val="20"/>
          <w:color w:val="auto"/>
        </w:rPr>
      </w:pP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1. ORGANIZATION AND SUMMARY OF SIGNIFICANT ACCOUNTING POLICIES</w:t>
      </w:r>
    </w:p>
    <w:p>
      <w:pPr>
        <w:sectPr>
          <w:pgSz w:w="11900" w:h="16838" w:orient="portrait"/>
          <w:cols w:equalWidth="0" w:num="1">
            <w:col w:w="11360"/>
          </w:cols>
          <w:pgMar w:left="300" w:top="38" w:right="239" w:bottom="0" w:gutter="0" w:footer="0" w:header="0"/>
          <w:type w:val="continuous"/>
        </w:sectPr>
      </w:pPr>
    </w:p>
    <w:bookmarkStart w:id="74" w:name="page75"/>
    <w:bookmarkEnd w:id="74"/>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242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84190" cy="6242685"/>
                    </a:xfrm>
                    <a:prstGeom prst="rect">
                      <a:avLst/>
                    </a:prstGeom>
                    <a:noFill/>
                  </pic:spPr>
                </pic:pic>
              </a:graphicData>
            </a:graphic>
          </wp:anchor>
        </w:drawing>
      </w:r>
    </w:p>
    <w:p>
      <w:pPr>
        <w:ind w:left="960" w:right="979" w:firstLine="902"/>
        <w:spacing w:after="0" w:line="252" w:lineRule="auto"/>
        <w:rPr>
          <w:sz w:val="20"/>
          <w:szCs w:val="20"/>
          <w:color w:val="auto"/>
        </w:rPr>
      </w:pPr>
      <w:r>
        <w:rPr>
          <w:rFonts w:ascii="Times New Roman" w:cs="Times New Roman" w:eastAsia="Times New Roman" w:hAnsi="Times New Roman"/>
          <w:sz w:val="14"/>
          <w:szCs w:val="14"/>
          <w:color w:val="auto"/>
        </w:rPr>
        <w:t>The terms “Geron”, the “Company”, “we” and “us” as used in this report refer to Geron Corporation, which was incorporated in the State of Delaware on November 28, 1990,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 The Company's first-in-class telomerase inhibitor, RYTELO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(imetelstat), was approved by the U.S. Food and Drug Administration, or FDA, on June 6, 2024 for the treatment of certain adult patients with low- to intermediate-1 risk myelodysplastic syndromes, or lower-risk MDS, and is under development for the treatment of other hematologic malignancies. In March 2025, we received European Commission approval of RYTELO for the treatment of adults with transfusion-dependent, or TD, anemia due to lower-risk MDS. We are pursuing paths to make RYTELO available to eligible lower-risk MDS patients outside of the U.S. To enable paid access to patients outside the U.S. through approved Named Patient Programs (NPPs), in 2025 we partnered with Tanner Pharma, a distributor with broad global reach to support patient access.</w:t>
      </w:r>
    </w:p>
    <w:p>
      <w:pPr>
        <w:spacing w:after="0" w:line="2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99" w:lineRule="exact"/>
        <w:rPr>
          <w:sz w:val="20"/>
          <w:szCs w:val="20"/>
          <w:color w:val="auto"/>
        </w:rPr>
      </w:pPr>
    </w:p>
    <w:p>
      <w:pPr>
        <w:ind w:left="960" w:right="1099" w:firstLine="902"/>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Geron Corporation and its wholly-owned subsidiaries,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Foreign currency translation adjustments are included in accumulated other comprehensive income (loss), a separate component of stockholders’ equity, on our consolidated balance sheets.</w:t>
      </w:r>
    </w:p>
    <w:p>
      <w:pPr>
        <w:spacing w:after="0" w:line="2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9"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generally accepted accounting principles in the United States, or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inventory valuation, operating leases, right-of-use assets, lease liabilities, income taxes, stock-based compensation, and interest expense related to sale of future royalties. We base our estimates on historical experience and on various other market specific and relevant assumptions that we believe to be reasonable under the circumstances. Actual results could differ from those estimates.</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9" w:lineRule="exact"/>
        <w:rPr>
          <w:sz w:val="20"/>
          <w:szCs w:val="20"/>
          <w:color w:val="auto"/>
        </w:rPr>
      </w:pPr>
    </w:p>
    <w:p>
      <w:pPr>
        <w:ind w:left="960" w:right="1019" w:firstLine="902"/>
        <w:spacing w:after="0" w:line="260" w:lineRule="auto"/>
        <w:rPr>
          <w:sz w:val="20"/>
          <w:szCs w:val="20"/>
          <w:color w:val="auto"/>
        </w:rPr>
      </w:pPr>
      <w:r>
        <w:rPr>
          <w:rFonts w:ascii="Times New Roman" w:cs="Times New Roman" w:eastAsia="Times New Roman" w:hAnsi="Times New Roman"/>
          <w:sz w:val="14"/>
          <w:szCs w:val="14"/>
          <w:color w:val="auto"/>
        </w:rPr>
        <w:t>Revenues are recognized when control of the promised goods or services is transferred to our customers, in an amount that reflects the consideration we expect to be entitled to in exchange for those goods or services. We recognize revenue in accordance with the provisions of Accounting Standards Codification Topic 606, Revenue from Contracts with Customers, or Topic 606. In determining the appropriate amount and timing of revenue to be recognized, we perform the following five steps: (i) identify the contract(s) with a customer; (ii) identify the performance obligations in the contract;</w:t>
      </w:r>
    </w:p>
    <w:p>
      <w:pPr>
        <w:spacing w:after="0" w:line="1" w:lineRule="exact"/>
        <w:rPr>
          <w:sz w:val="20"/>
          <w:szCs w:val="20"/>
          <w:color w:val="auto"/>
        </w:rPr>
      </w:pPr>
    </w:p>
    <w:p>
      <w:pPr>
        <w:ind w:left="960" w:right="1119"/>
        <w:spacing w:after="0" w:line="264" w:lineRule="auto"/>
        <w:tabs>
          <w:tab w:leader="none" w:pos="121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 the transaction price; (iv) allocate the transaction price to the performance obligations; and (v) recognize revenue when (or as) we satisfy each performance obligation. We recognize shipping and handling costs as an expense in cost of goods sold when we transfer control to a customer.</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Product Revenue</w:t>
      </w:r>
    </w:p>
    <w:p>
      <w:pPr>
        <w:spacing w:after="0" w:line="185" w:lineRule="exact"/>
        <w:rPr>
          <w:sz w:val="20"/>
          <w:szCs w:val="20"/>
          <w:color w:val="auto"/>
        </w:rPr>
      </w:pPr>
    </w:p>
    <w:p>
      <w:pPr>
        <w:ind w:left="960" w:right="1139" w:firstLine="902"/>
        <w:spacing w:after="0" w:line="265" w:lineRule="auto"/>
        <w:rPr>
          <w:sz w:val="20"/>
          <w:szCs w:val="20"/>
          <w:color w:val="auto"/>
        </w:rPr>
      </w:pPr>
      <w:r>
        <w:rPr>
          <w:rFonts w:ascii="Times New Roman" w:cs="Times New Roman" w:eastAsia="Times New Roman" w:hAnsi="Times New Roman"/>
          <w:sz w:val="14"/>
          <w:szCs w:val="14"/>
          <w:color w:val="auto"/>
        </w:rPr>
        <w:t>We distribute RYTELO through third party distributors and specialty pharmacies who are our customers. The third party distributors subsequently resell our product through their related specialty pharmacy providers to patients and health care providers. Separately, we have or may enter into payment arrangements with various third-party payors including pharmacy benefit managers, private healthcare insurers and government healthcare programs who provide coverage and reimbursement for our product that have been prescribed to a patient.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190500</wp:posOffset>
            </wp:positionV>
            <wp:extent cx="5584190" cy="4210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84190" cy="42106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979" w:firstLine="902"/>
        <w:spacing w:after="0" w:line="265" w:lineRule="auto"/>
        <w:rPr>
          <w:sz w:val="20"/>
          <w:szCs w:val="20"/>
          <w:color w:val="auto"/>
        </w:rPr>
      </w:pPr>
      <w:r>
        <w:rPr>
          <w:rFonts w:ascii="Times New Roman" w:cs="Times New Roman" w:eastAsia="Times New Roman" w:hAnsi="Times New Roman"/>
          <w:sz w:val="14"/>
          <w:szCs w:val="14"/>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 We expense incremental costs of obtaining a contract as and when incurred if the expected amortization period of the asset that we would have recognized is one year or less or the amount is immaterial.</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Reserves for Discounts and Allowances</w:t>
      </w:r>
    </w:p>
    <w:p>
      <w:pPr>
        <w:spacing w:after="0" w:line="185" w:lineRule="exact"/>
        <w:rPr>
          <w:sz w:val="20"/>
          <w:szCs w:val="20"/>
          <w:color w:val="auto"/>
        </w:rPr>
      </w:pPr>
    </w:p>
    <w:p>
      <w:pPr>
        <w:ind w:left="960" w:right="1239" w:firstLine="902"/>
        <w:spacing w:after="0" w:line="292" w:lineRule="auto"/>
        <w:rPr>
          <w:sz w:val="20"/>
          <w:szCs w:val="20"/>
          <w:color w:val="auto"/>
        </w:rPr>
      </w:pPr>
      <w:r>
        <w:rPr>
          <w:rFonts w:ascii="Times New Roman" w:cs="Times New Roman" w:eastAsia="Times New Roman" w:hAnsi="Times New Roman"/>
          <w:sz w:val="14"/>
          <w:szCs w:val="14"/>
          <w:color w:val="auto"/>
        </w:rPr>
        <w:t>Product revenue is recorded net of reserves established for applicable discounts and allowances that are offered within contracts with our customers, health care providers or payors.</w:t>
      </w:r>
    </w:p>
    <w:p>
      <w:pPr>
        <w:spacing w:after="0" w:line="124"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146" w:lineRule="exact"/>
        <w:rPr>
          <w:sz w:val="20"/>
          <w:szCs w:val="20"/>
          <w:color w:val="auto"/>
        </w:rPr>
      </w:pPr>
    </w:p>
    <w:p>
      <w:pPr>
        <w:ind w:left="960" w:right="1759" w:firstLine="902"/>
        <w:spacing w:after="0" w:line="292" w:lineRule="auto"/>
        <w:rPr>
          <w:sz w:val="20"/>
          <w:szCs w:val="20"/>
          <w:color w:val="auto"/>
        </w:rPr>
      </w:pPr>
      <w:r>
        <w:rPr>
          <w:rFonts w:ascii="Times New Roman" w:cs="Times New Roman" w:eastAsia="Times New Roman" w:hAnsi="Times New Roman"/>
          <w:sz w:val="14"/>
          <w:szCs w:val="14"/>
          <w:color w:val="auto"/>
        </w:rPr>
        <w:t>Product revenue reserves, which are classified as a reduction in product revenue, are generally characterized in the following categories: contractual adjustments, discounts, and returns.</w:t>
      </w:r>
    </w:p>
    <w:p>
      <w:pPr>
        <w:spacing w:after="0" w:line="124" w:lineRule="exact"/>
        <w:rPr>
          <w:sz w:val="20"/>
          <w:szCs w:val="20"/>
          <w:color w:val="auto"/>
        </w:rPr>
      </w:pPr>
    </w:p>
    <w:p>
      <w:pPr>
        <w:ind w:left="960" w:right="1179" w:firstLine="902"/>
        <w:spacing w:after="0" w:line="292" w:lineRule="auto"/>
        <w:rPr>
          <w:sz w:val="20"/>
          <w:szCs w:val="20"/>
          <w:color w:val="auto"/>
        </w:rPr>
      </w:pPr>
      <w:r>
        <w:rPr>
          <w:rFonts w:ascii="Times New Roman" w:cs="Times New Roman" w:eastAsia="Times New Roman" w:hAnsi="Times New Roman"/>
          <w:sz w:val="14"/>
          <w:szCs w:val="14"/>
          <w:color w:val="auto"/>
        </w:rPr>
        <w:t>Contractual adjustments primarily relate to VA and PHS discounts, Medicaid and Medicare rebates, fees for distribution services, co-payment (copay) assistance, and other governmental rebates or applicable allowances:</w:t>
      </w:r>
    </w:p>
    <w:p>
      <w:pPr>
        <w:spacing w:after="0" w:line="124" w:lineRule="exact"/>
        <w:rPr>
          <w:sz w:val="20"/>
          <w:szCs w:val="20"/>
          <w:color w:val="auto"/>
        </w:rPr>
      </w:pPr>
    </w:p>
    <w:p>
      <w:pPr>
        <w:ind w:left="1480" w:right="979" w:hanging="262"/>
        <w:spacing w:after="0" w:line="265" w:lineRule="auto"/>
        <w:tabs>
          <w:tab w:leader="none" w:pos="14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Chargebacks, including VA and PHS discounts, represent our estimated obligations resulting from contractual commitments to sell products to qualified healthcare providers at prices lower than the list prices we charge to wholesalers or distributors, which provide those products. The wholesalers or distributors charge us for the difference between what they pay for RYTELO and the ultimate selling price to the qualified healthcare providers. Rebate and chargeback reserves are established in the same period as the related revenue is recognized, resulting</w:t>
      </w:r>
    </w:p>
    <w:p>
      <w:pPr>
        <w:sectPr>
          <w:pgSz w:w="11900" w:h="16926" w:orient="portrait"/>
          <w:cols w:equalWidth="0" w:num="1">
            <w:col w:w="9019"/>
          </w:cols>
          <w:pgMar w:left="1440" w:top="157" w:right="1440" w:bottom="0" w:gutter="0" w:footer="0" w:header="0"/>
        </w:sectPr>
      </w:pPr>
    </w:p>
    <w:bookmarkStart w:id="75" w:name="page76"/>
    <w:bookmarkEnd w:id="75"/>
    <w:p>
      <w:pPr>
        <w:ind w:left="1480" w:right="1119"/>
        <w:spacing w:after="0" w:line="263" w:lineRule="auto"/>
        <w:rPr>
          <w:sz w:val="20"/>
          <w:szCs w:val="20"/>
          <w:color w:val="auto"/>
        </w:rPr>
      </w:pPr>
      <w:r>
        <w:rPr>
          <w:rFonts w:ascii="Times New Roman" w:cs="Times New Roman" w:eastAsia="Times New Roman" w:hAnsi="Times New Roman"/>
          <w:sz w:val="14"/>
          <w:szCs w:val="14"/>
          <w:color w:val="auto"/>
        </w:rPr>
        <w:t>in a reduction of product revenue and a reduction in the net accounts receivable. Chargeback amounts are generally determined at the time of resale to the qualified healthcare provider from the wholesaler or distributor, and we generally issue credits for such amounts within a few weeks of the wholesaler notifying us about the resale. Our reserves for VA, PHS and other chargebacks consist of amounts for inventory that exists at the wholesalers that we expect will be sold to qualified healthcare providers and chargebacks that wholesalers have claimed for which we have not issued a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-662305</wp:posOffset>
            </wp:positionV>
            <wp:extent cx="5584190" cy="30035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84190" cy="3003550"/>
                    </a:xfrm>
                    <a:prstGeom prst="rect">
                      <a:avLst/>
                    </a:prstGeom>
                    <a:noFill/>
                  </pic:spPr>
                </pic:pic>
              </a:graphicData>
            </a:graphic>
          </wp:anchor>
        </w:drawing>
      </w:r>
    </w:p>
    <w:p>
      <w:pPr>
        <w:spacing w:after="0" w:line="124" w:lineRule="exact"/>
        <w:rPr>
          <w:sz w:val="20"/>
          <w:szCs w:val="20"/>
          <w:color w:val="auto"/>
        </w:rPr>
      </w:pPr>
    </w:p>
    <w:p>
      <w:pPr>
        <w:ind w:left="1480" w:right="1059" w:hanging="262"/>
        <w:spacing w:after="0" w:line="262" w:lineRule="auto"/>
        <w:tabs>
          <w:tab w:leader="none" w:pos="1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Medicaid rebates relate to our estimated obligations to states under established reimbursement arrangements. Rebate accruals are recorded in the same period the related revenue is recognized, resulting in a reduction of product revenue and the establishment of a liability which is included in accrued expense and other current liabilities in our consolidated balance sheets.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144" w:lineRule="exact"/>
        <w:rPr>
          <w:rFonts w:ascii="Times New Roman" w:cs="Times New Roman" w:eastAsia="Times New Roman" w:hAnsi="Times New Roman"/>
          <w:sz w:val="14"/>
          <w:szCs w:val="14"/>
          <w:color w:val="auto"/>
        </w:rPr>
      </w:pPr>
    </w:p>
    <w:p>
      <w:pPr>
        <w:ind w:left="1480" w:right="999" w:hanging="262"/>
        <w:spacing w:after="0" w:line="274" w:lineRule="auto"/>
        <w:tabs>
          <w:tab w:leader="none" w:pos="1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for distribution services include fees for certain data that customers provide to us. We estimate our customers will earn these fees and deduct these fees from gross product revenue and accounts receivable at the time we recognize the related revenues.</w:t>
      </w:r>
    </w:p>
    <w:p>
      <w:pPr>
        <w:spacing w:after="0" w:line="135" w:lineRule="exact"/>
        <w:rPr>
          <w:rFonts w:ascii="Times New Roman" w:cs="Times New Roman" w:eastAsia="Times New Roman" w:hAnsi="Times New Roman"/>
          <w:sz w:val="14"/>
          <w:szCs w:val="14"/>
          <w:color w:val="auto"/>
        </w:rPr>
      </w:pPr>
    </w:p>
    <w:p>
      <w:pPr>
        <w:ind w:left="1480" w:right="999" w:hanging="262"/>
        <w:spacing w:after="0" w:line="268" w:lineRule="auto"/>
        <w:tabs>
          <w:tab w:leader="none" w:pos="14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Copay assistance represents financial assistance to qualified patients, assisting them with prescription drug co-payments required by insurance. The calculation of the accrual for copay is based on an estimate of claims and the cost per claim that we expect to receive associated with inventory that exists in the distribution channel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545465</wp:posOffset>
            </wp:positionV>
            <wp:extent cx="5584190" cy="72205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Discounts primarily include prompt pay discounts. Prompt pay discounts relate to estimated obligations for credits to be granted to customers for remitting payment on their purchases within established incentive periods. We determine these reserves based on our historical experience, including the timing of customer payments.</w:t>
      </w:r>
    </w:p>
    <w:p>
      <w:pPr>
        <w:spacing w:after="0" w:line="136"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Product return reserves are established for returns made by customers and are recorded in the period the related revenue is recognized, resulting in a reduction to product revenue. We offer customers the right to return products if they are damaged, defective, or expired, as defined in customer agreements.The majority of wholesaler returns are due to product expiration. We estimate product returns considering experience from similar products in the market, historical return patterns, sales data, and inventory levels in the distribution channel.</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87" w:lineRule="exact"/>
        <w:rPr>
          <w:sz w:val="20"/>
          <w:szCs w:val="20"/>
          <w:color w:val="auto"/>
        </w:rPr>
      </w:pPr>
    </w:p>
    <w:p>
      <w:pPr>
        <w:ind w:left="960" w:right="1179" w:firstLine="902"/>
        <w:spacing w:after="0" w:line="292" w:lineRule="auto"/>
        <w:rPr>
          <w:sz w:val="20"/>
          <w:szCs w:val="20"/>
          <w:color w:val="auto"/>
        </w:rPr>
      </w:pPr>
      <w:r>
        <w:rPr>
          <w:rFonts w:ascii="Times New Roman" w:cs="Times New Roman" w:eastAsia="Times New Roman" w:hAnsi="Times New Roman"/>
          <w:sz w:val="14"/>
          <w:szCs w:val="14"/>
          <w:color w:val="auto"/>
        </w:rPr>
        <w:t>We categorize financial instruments recorded at fair value in our consolidated balance sheets based upon the level of judgment associated with inputs used to measure their fair value. The categories are as follows:</w:t>
      </w:r>
    </w:p>
    <w:p>
      <w:pPr>
        <w:spacing w:after="0" w:line="102" w:lineRule="exact"/>
        <w:rPr>
          <w:sz w:val="20"/>
          <w:szCs w:val="20"/>
          <w:color w:val="auto"/>
        </w:rPr>
      </w:pPr>
    </w:p>
    <w:p>
      <w:pPr>
        <w:ind w:left="1780" w:right="1319" w:hanging="837"/>
        <w:spacing w:after="0" w:line="268" w:lineRule="auto"/>
        <w:tabs>
          <w:tab w:leader="none" w:pos="1760" w:val="left"/>
        </w:tabs>
        <w:rPr>
          <w:sz w:val="20"/>
          <w:szCs w:val="20"/>
          <w:color w:val="auto"/>
        </w:rPr>
      </w:pPr>
      <w:r>
        <w:rPr>
          <w:rFonts w:ascii="Times New Roman" w:cs="Times New Roman" w:eastAsia="Times New Roman" w:hAnsi="Times New Roman"/>
          <w:sz w:val="14"/>
          <w:szCs w:val="14"/>
          <w:color w:val="auto"/>
        </w:rPr>
        <w:t>Level 1</w:t>
        <w:tab/>
        <w:t>— Inputs are unadjusted, quoted prices in active markets for identical assets or liabilities at the measurement date that we have the ability to access. An active market for the asset or liability is a market in which transactions for the asset or liability occur with sufficient frequency and volume to provide pricing information on an ongoing basis.</w:t>
      </w:r>
    </w:p>
    <w:p>
      <w:pPr>
        <w:spacing w:after="0" w:line="86" w:lineRule="exact"/>
        <w:rPr>
          <w:sz w:val="20"/>
          <w:szCs w:val="20"/>
          <w:color w:val="auto"/>
        </w:rPr>
      </w:pPr>
    </w:p>
    <w:p>
      <w:pPr>
        <w:ind w:left="1780" w:right="1119" w:hanging="837"/>
        <w:spacing w:after="0" w:line="274" w:lineRule="auto"/>
        <w:tabs>
          <w:tab w:leader="none" w:pos="1760" w:val="left"/>
        </w:tabs>
        <w:rPr>
          <w:sz w:val="20"/>
          <w:szCs w:val="20"/>
          <w:color w:val="auto"/>
        </w:rPr>
      </w:pPr>
      <w:r>
        <w:rPr>
          <w:rFonts w:ascii="Times New Roman" w:cs="Times New Roman" w:eastAsia="Times New Roman" w:hAnsi="Times New Roman"/>
          <w:sz w:val="14"/>
          <w:szCs w:val="14"/>
          <w:color w:val="auto"/>
        </w:rPr>
        <w:t>Level 2</w:t>
        <w:tab/>
        <w:t>—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93" w:lineRule="exact"/>
        <w:rPr>
          <w:sz w:val="20"/>
          <w:szCs w:val="20"/>
          <w:color w:val="auto"/>
        </w:rPr>
      </w:pPr>
    </w:p>
    <w:p>
      <w:pPr>
        <w:jc w:val="both"/>
        <w:ind w:left="1780" w:right="1119" w:hanging="837"/>
        <w:spacing w:after="0" w:line="282" w:lineRule="auto"/>
        <w:tabs>
          <w:tab w:leader="none" w:pos="1760" w:val="left"/>
        </w:tabs>
        <w:rPr>
          <w:sz w:val="20"/>
          <w:szCs w:val="20"/>
          <w:color w:val="auto"/>
        </w:rPr>
      </w:pPr>
      <w:r>
        <w:rPr>
          <w:rFonts w:ascii="Times New Roman" w:cs="Times New Roman" w:eastAsia="Times New Roman" w:hAnsi="Times New Roman"/>
          <w:sz w:val="14"/>
          <w:szCs w:val="14"/>
          <w:color w:val="auto"/>
        </w:rPr>
        <w:t>Level 3</w:t>
        <w:tab/>
        <w:t>—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84" w:lineRule="exact"/>
        <w:rPr>
          <w:sz w:val="20"/>
          <w:szCs w:val="20"/>
          <w:color w:val="auto"/>
        </w:rPr>
      </w:pPr>
    </w:p>
    <w:p>
      <w:pPr>
        <w:ind w:left="960" w:right="1139" w:firstLine="902"/>
        <w:spacing w:after="0" w:line="268"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Below is a description of the valuation methodologies used for financial instruments measured at fair value on our consolidated balance sheets, including the category for such financial instruments.</w:t>
      </w:r>
    </w:p>
    <w:p>
      <w:pPr>
        <w:spacing w:after="0" w:line="140" w:lineRule="exact"/>
        <w:rPr>
          <w:sz w:val="20"/>
          <w:szCs w:val="20"/>
          <w:color w:val="auto"/>
        </w:rPr>
      </w:pPr>
    </w:p>
    <w:p>
      <w:pPr>
        <w:ind w:left="960" w:right="1059" w:firstLine="902"/>
        <w:spacing w:after="0" w:line="265" w:lineRule="auto"/>
        <w:rPr>
          <w:sz w:val="20"/>
          <w:szCs w:val="20"/>
          <w:color w:val="auto"/>
        </w:rPr>
      </w:pPr>
      <w:r>
        <w:rPr>
          <w:rFonts w:ascii="Times New Roman" w:cs="Times New Roman" w:eastAsia="Times New Roman" w:hAnsi="Times New Roman"/>
          <w:sz w:val="14"/>
          <w:szCs w:val="14"/>
          <w:color w:val="auto"/>
        </w:rPr>
        <w:t>The majority of our financial assets have been classified as Level 2, and have been initially valued at the transaction price and subsequently valued, at the end of each reporting period, utilizing third-party pricing services.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142" w:lineRule="exact"/>
        <w:rPr>
          <w:sz w:val="20"/>
          <w:szCs w:val="20"/>
          <w:color w:val="auto"/>
        </w:rPr>
      </w:pPr>
    </w:p>
    <w:p>
      <w:pPr>
        <w:ind w:left="960" w:right="1179" w:firstLine="902"/>
        <w:spacing w:after="0" w:line="268" w:lineRule="auto"/>
        <w:rPr>
          <w:sz w:val="20"/>
          <w:szCs w:val="20"/>
          <w:color w:val="auto"/>
        </w:rPr>
      </w:pPr>
      <w:r>
        <w:rPr>
          <w:rFonts w:ascii="Times New Roman" w:cs="Times New Roman" w:eastAsia="Times New Roman" w:hAnsi="Times New Roman"/>
          <w:sz w:val="14"/>
          <w:szCs w:val="14"/>
          <w:color w:val="auto"/>
        </w:rPr>
        <w:t>We validate the prices provided by our third-party pricing services by understanding the models used, obtaining market values from other pricing sources and analyzing pricing data in certain instances. After completing our validation procedures, we did not adjust or override any fair value measurements provided by our pricing services as of December 31, 2025 and 2024.</w:t>
      </w:r>
    </w:p>
    <w:p>
      <w:pPr>
        <w:spacing w:after="0" w:line="140"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The carrying amounts reflected in our consolidated balance sheets for accounts receivable, other current assets, accounts payable, accrued compensation and benefits and accrued expense approximate fair value due to their short-term maturities.</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Cash Equivalents</w:t>
      </w:r>
    </w:p>
    <w:p>
      <w:pPr>
        <w:spacing w:after="0" w:line="187" w:lineRule="exact"/>
        <w:rPr>
          <w:sz w:val="20"/>
          <w:szCs w:val="20"/>
          <w:color w:val="auto"/>
        </w:rPr>
      </w:pPr>
    </w:p>
    <w:p>
      <w:pPr>
        <w:jc w:val="both"/>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We consider all highly liquid investments, readily convertible to cash and that mature within three months or less from date of purchase to be cash equivalents. As of December 31, 2025 and 2024, cash equivalents were comprised of money market funds and commercial paper with maturities less than three months from the date of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904240</wp:posOffset>
            </wp:positionV>
            <wp:extent cx="5584190" cy="166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84190" cy="16637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70472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84190" cy="7047230"/>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01" w:lineRule="exact"/>
        <w:rPr>
          <w:sz w:val="20"/>
          <w:szCs w:val="20"/>
          <w:color w:val="auto"/>
        </w:rPr>
      </w:pPr>
    </w:p>
    <w:p>
      <w:pPr>
        <w:ind w:left="960" w:right="1519" w:firstLine="902"/>
        <w:spacing w:after="0" w:line="292" w:lineRule="auto"/>
        <w:rPr>
          <w:sz w:val="20"/>
          <w:szCs w:val="20"/>
          <w:color w:val="auto"/>
        </w:rPr>
      </w:pPr>
      <w:r>
        <w:rPr>
          <w:rFonts w:ascii="Times New Roman" w:cs="Times New Roman" w:eastAsia="Times New Roman" w:hAnsi="Times New Roman"/>
          <w:sz w:val="14"/>
          <w:szCs w:val="14"/>
          <w:color w:val="auto"/>
        </w:rPr>
        <w:t>Our marketable debt securities include U.S. Treasury securities, municipal securities, government-sponsored enterprise securities, commercial paper and corporate notes.</w:t>
      </w:r>
    </w:p>
    <w:p>
      <w:pPr>
        <w:spacing w:after="0" w:line="124"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We classify our marketable debt securities as available for sale. We record available for sale debt securities at fair value with unrealized gains and losses reported in accumulated other comprehensive income (loss) in stockholders’ equity, unless the security has experienced a credit loss, we have determined that we have the intent to sell the security or we have determined that it is more likely than not that we will have to sell the security before its expected recovery. We have not recorded any allowances for credit losses on our available-for-sale securities for the years ended December 31, 2025, 2024 or 2023. Realized gains and losses are reported in other (income) expense, net on a specific identification basis. Dividend and interest income are recognized when earned and included in interest income on our consolidated statements of operations.</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Restricted Cash</w:t>
      </w:r>
    </w:p>
    <w:p>
      <w:pPr>
        <w:spacing w:after="0" w:line="99" w:lineRule="exact"/>
        <w:rPr>
          <w:sz w:val="20"/>
          <w:szCs w:val="20"/>
          <w:color w:val="auto"/>
        </w:rPr>
      </w:pPr>
    </w:p>
    <w:p>
      <w:pPr>
        <w:ind w:left="960" w:right="999" w:firstLine="902"/>
        <w:spacing w:after="0" w:line="292" w:lineRule="auto"/>
        <w:rPr>
          <w:sz w:val="20"/>
          <w:szCs w:val="20"/>
          <w:color w:val="auto"/>
        </w:rPr>
      </w:pPr>
      <w:r>
        <w:rPr>
          <w:rFonts w:ascii="Times New Roman" w:cs="Times New Roman" w:eastAsia="Times New Roman" w:hAnsi="Times New Roman"/>
          <w:sz w:val="14"/>
          <w:szCs w:val="14"/>
          <w:color w:val="auto"/>
        </w:rPr>
        <w:t>Restricted cash consists of funds maintained in separate money market or certificate of deposit accounts for credit card purchases.</w:t>
      </w:r>
    </w:p>
    <w:p>
      <w:pPr>
        <w:spacing w:after="0" w:line="20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99" w:lineRule="exact"/>
        <w:rPr>
          <w:sz w:val="20"/>
          <w:szCs w:val="20"/>
          <w:color w:val="auto"/>
        </w:rPr>
      </w:pPr>
    </w:p>
    <w:p>
      <w:pPr>
        <w:ind w:left="960" w:right="1039" w:firstLine="902"/>
        <w:spacing w:after="0" w:line="259" w:lineRule="auto"/>
        <w:rPr>
          <w:sz w:val="20"/>
          <w:szCs w:val="20"/>
          <w:color w:val="auto"/>
        </w:rPr>
      </w:pPr>
      <w:r>
        <w:rPr>
          <w:rFonts w:ascii="Times New Roman" w:cs="Times New Roman" w:eastAsia="Times New Roman" w:hAnsi="Times New Roman"/>
          <w:sz w:val="14"/>
          <w:szCs w:val="14"/>
          <w:color w:val="auto"/>
        </w:rPr>
        <w:t>Accounts receivable consists of amounts due from customers, net of customer allowances for cash discounts, product returns, and chargebacks. Accounts receivable are stated net of an allowance that reflects our current estimate of credit losses expected to occur over the life of the receivable. In developing our allowance for expected credit losses, we use assumptions to capture the risk of loss, even if remote, based on a number of factors including existing contractual payment terms, individual customer circumstances, historical payment patterns of our customers, a review of the local economic environment and its potential impact on expected future customer payment patterns. We update our allowance as necessary to reflect expected credit losses over the remaining lives of the accounts receivable for outstanding trade receivables that are past due, have known disputes or have experienced any negative credit events that may result in future collectability issues. The estimated allowance for expected credit losses was not material as of December 31, 2025, nor were the changes to the allowance during any of the periods presented. We do not adjust our receivables for the effects of a significant financing component at contract inception if we expect to collect the receivables in one year or less from the time of sale.</w:t>
      </w:r>
    </w:p>
    <w:p>
      <w:pPr>
        <w:spacing w:after="0" w:line="3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99" w:lineRule="exact"/>
        <w:rPr>
          <w:sz w:val="20"/>
          <w:szCs w:val="20"/>
          <w:color w:val="auto"/>
        </w:rPr>
      </w:pPr>
    </w:p>
    <w:p>
      <w:pPr>
        <w:ind w:left="960" w:right="1359" w:firstLine="902"/>
        <w:spacing w:after="0" w:line="292" w:lineRule="auto"/>
        <w:rPr>
          <w:sz w:val="20"/>
          <w:szCs w:val="20"/>
          <w:color w:val="auto"/>
        </w:rPr>
      </w:pPr>
      <w:r>
        <w:rPr>
          <w:rFonts w:ascii="Times New Roman" w:cs="Times New Roman" w:eastAsia="Times New Roman" w:hAnsi="Times New Roman"/>
          <w:sz w:val="14"/>
          <w:szCs w:val="14"/>
          <w:color w:val="auto"/>
        </w:rPr>
        <w:t>Financial instruments that potentially subject us to concentrations of credit risk include cash and cash equivalents, restricted cash, marketable securities, and accounts receivable.</w:t>
      </w:r>
    </w:p>
    <w:p>
      <w:pPr>
        <w:spacing w:after="0" w:line="124" w:lineRule="exact"/>
        <w:rPr>
          <w:sz w:val="20"/>
          <w:szCs w:val="20"/>
          <w:color w:val="auto"/>
        </w:rPr>
      </w:pPr>
    </w:p>
    <w:p>
      <w:pPr>
        <w:ind w:left="960" w:right="1139" w:firstLine="902"/>
        <w:spacing w:after="0" w:line="268" w:lineRule="auto"/>
        <w:rPr>
          <w:sz w:val="20"/>
          <w:szCs w:val="20"/>
          <w:color w:val="auto"/>
        </w:rPr>
      </w:pPr>
      <w:r>
        <w:rPr>
          <w:rFonts w:ascii="Times New Roman" w:cs="Times New Roman" w:eastAsia="Times New Roman" w:hAnsi="Times New Roman"/>
          <w:sz w:val="14"/>
          <w:szCs w:val="14"/>
          <w:color w:val="auto"/>
        </w:rPr>
        <w:t>We currently place our cash, restricted cash, cash equivalents and marketable securities with multiple institutions in the U.S. Deposits with banks may exceed the amount of insurance provided on such deposits. We have not experienced any losses in such accounts and we believe that we are not exposed to significant credit risk of our financial position at the depository institutions, in which those deposits are held.</w:t>
      </w:r>
    </w:p>
    <w:p>
      <w:pPr>
        <w:spacing w:after="0" w:line="140" w:lineRule="exact"/>
        <w:rPr>
          <w:sz w:val="20"/>
          <w:szCs w:val="20"/>
          <w:color w:val="auto"/>
        </w:rPr>
      </w:pPr>
    </w:p>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t>We attempt to minimize the risks related to cash equivalents and marketable securities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Cash equivalents and marketable securities currently consist of money market funds, U.S. Treasury securities, municipal securities, commercial paper and corporate notes.</w:t>
      </w:r>
    </w:p>
    <w:p>
      <w:pPr>
        <w:spacing w:after="0" w:line="144" w:lineRule="exact"/>
        <w:rPr>
          <w:sz w:val="20"/>
          <w:szCs w:val="20"/>
          <w:color w:val="auto"/>
        </w:rPr>
      </w:pPr>
    </w:p>
    <w:p>
      <w:pPr>
        <w:ind w:left="960" w:right="1079" w:firstLine="902"/>
        <w:spacing w:after="0" w:line="263" w:lineRule="auto"/>
        <w:rPr>
          <w:sz w:val="20"/>
          <w:szCs w:val="20"/>
          <w:color w:val="auto"/>
        </w:rPr>
      </w:pPr>
      <w:r>
        <w:rPr>
          <w:rFonts w:ascii="Times New Roman" w:cs="Times New Roman" w:eastAsia="Times New Roman" w:hAnsi="Times New Roman"/>
          <w:sz w:val="14"/>
          <w:szCs w:val="14"/>
          <w:color w:val="auto"/>
        </w:rPr>
        <w:t>Concentrations of credit risk with respect to receivables, which are typically unsecured, are somewhat mitigated since the payment terms on our trade receivables are relatively short. As a result, our collection risk is mitigated to a certain extent by the fact that sales are collected in a relatively short period of time, allowing for the ability to reduce exposure on defaults if collection issues are identified. We monitor the financial performance and creditworthiness of our customers so that we can properly assess and respond to changes in their credit profile. We continue to monitor these conditions and assess their possible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548005</wp:posOffset>
            </wp:positionV>
            <wp:extent cx="5584190" cy="34061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84190" cy="340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185" w:lineRule="exact"/>
        <w:rPr>
          <w:sz w:val="20"/>
          <w:szCs w:val="20"/>
          <w:color w:val="auto"/>
        </w:rPr>
      </w:pPr>
    </w:p>
    <w:p>
      <w:pPr>
        <w:ind w:left="960" w:right="1079" w:firstLine="902"/>
        <w:spacing w:after="0" w:line="274" w:lineRule="auto"/>
        <w:rPr>
          <w:sz w:val="20"/>
          <w:szCs w:val="20"/>
          <w:color w:val="auto"/>
        </w:rPr>
      </w:pPr>
      <w:r>
        <w:rPr>
          <w:rFonts w:ascii="Times New Roman" w:cs="Times New Roman" w:eastAsia="Times New Roman" w:hAnsi="Times New Roman"/>
          <w:sz w:val="14"/>
          <w:szCs w:val="14"/>
          <w:color w:val="auto"/>
        </w:rPr>
        <w:t>Property and equipment are carried at cost,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w:t>
      </w:r>
    </w:p>
    <w:p>
      <w:pPr>
        <w:spacing w:after="0" w:line="136" w:lineRule="exact"/>
        <w:rPr>
          <w:sz w:val="20"/>
          <w:szCs w:val="20"/>
          <w:color w:val="auto"/>
        </w:rPr>
      </w:pPr>
    </w:p>
    <w:p>
      <w:pPr>
        <w:jc w:val="both"/>
        <w:ind w:left="960" w:right="1079" w:firstLine="902"/>
        <w:spacing w:after="0" w:line="274" w:lineRule="auto"/>
        <w:rPr>
          <w:sz w:val="20"/>
          <w:szCs w:val="20"/>
          <w:color w:val="auto"/>
        </w:rPr>
      </w:pPr>
      <w:r>
        <w:rPr>
          <w:rFonts w:ascii="Times New Roman" w:cs="Times New Roman" w:eastAsia="Times New Roman" w:hAnsi="Times New Roman"/>
          <w:sz w:val="14"/>
          <w:szCs w:val="14"/>
          <w:color w:val="auto"/>
        </w:rPr>
        <w:t>We generally depreciate or amortize the cost of our property and equipment using the straight-line method over the estimated useful lives of the respective assets, generally four years. Leasehold improvements are amortized over the shorter of the estimated useful life or remaining term of the lease.</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185" w:lineRule="exact"/>
        <w:rPr>
          <w:sz w:val="20"/>
          <w:szCs w:val="20"/>
          <w:color w:val="auto"/>
        </w:rPr>
      </w:pPr>
    </w:p>
    <w:p>
      <w:pPr>
        <w:ind w:left="960" w:right="1219" w:firstLine="902"/>
        <w:spacing w:after="0" w:line="274" w:lineRule="auto"/>
        <w:rPr>
          <w:sz w:val="20"/>
          <w:szCs w:val="20"/>
          <w:color w:val="auto"/>
        </w:rPr>
      </w:pPr>
      <w:r>
        <w:rPr>
          <w:rFonts w:ascii="Times New Roman" w:cs="Times New Roman" w:eastAsia="Times New Roman" w:hAnsi="Times New Roman"/>
          <w:sz w:val="14"/>
          <w:szCs w:val="14"/>
          <w:color w:val="auto"/>
        </w:rPr>
        <w:t>We began capitalizing inventory related to RYTELO in the quarter ended June 30, 2024, as we received approval of RYTELO on June 6, 2024, and the related costs were expected to be recoverable through the commercialization of RYTELO.</w:t>
      </w:r>
    </w:p>
    <w:p>
      <w:pPr>
        <w:spacing w:after="0" w:line="136"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Inventory is recorded at the lower of cost or net realizable value, with cost determined under the weighted average method. Inventory costs include third-party contract manufacturing, third-party packaging services, freight, salaries, wages and stock-based compensation for personnel involved in the manufacturing process, and indirect overhead costs. We periodically review our inventories to identify excess, obsolete, or slow moving items. If excess, obsolete, or slow moving inventory without an alternate use is identified, we adjust the recorded amount to its net realizable value. The determination of net realizable value requires judgment including consideration of many factors, such as estimates of future product demand, product net selling prices, current and future market conditions and potential product obsolescence, among others. Additionally, our products are subject to strict quality control and monitoring that we perform throughout the manufacturing process. In the event that certain batches or units of product no longer meet quality specifications, we</w:t>
      </w:r>
    </w:p>
    <w:p>
      <w:pPr>
        <w:sectPr>
          <w:pgSz w:w="11900" w:h="16838" w:orient="portrait"/>
          <w:cols w:equalWidth="0" w:num="1">
            <w:col w:w="9019"/>
          </w:cols>
          <w:pgMar w:left="1440" w:top="114" w:right="1440" w:bottom="0" w:gutter="0" w:footer="0" w:header="0"/>
        </w:sectPr>
      </w:pPr>
    </w:p>
    <w:bookmarkStart w:id="77" w:name="page78"/>
    <w:bookmarkEnd w:id="77"/>
    <w:p>
      <w:pPr>
        <w:spacing w:after="0" w:line="40" w:lineRule="exact"/>
        <w:rPr>
          <w:sz w:val="20"/>
          <w:szCs w:val="20"/>
          <w:color w:val="auto"/>
        </w:rPr>
      </w:pPr>
    </w:p>
    <w:p>
      <w:pPr>
        <w:ind w:left="960" w:right="1119"/>
        <w:spacing w:after="0" w:line="194" w:lineRule="auto"/>
        <w:rPr>
          <w:sz w:val="20"/>
          <w:szCs w:val="20"/>
          <w:color w:val="auto"/>
        </w:rPr>
      </w:pPr>
      <w:r>
        <w:rPr>
          <w:rFonts w:ascii="Times New Roman" w:cs="Times New Roman" w:eastAsia="Times New Roman" w:hAnsi="Times New Roman"/>
          <w:sz w:val="14"/>
          <w:szCs w:val="14"/>
          <w:color w:val="auto"/>
        </w:rPr>
        <w:t>will record a charge to cost of sales to write-down any unmarketable inventory to its estimated net realizable value. In all cases, product inventory is carried at the lower of cost or its estimated net realizable value. Amounts written-down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-147955</wp:posOffset>
            </wp:positionV>
            <wp:extent cx="5584190" cy="38080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84190" cy="380809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4"/>
          <w:szCs w:val="14"/>
          <w:color w:val="auto"/>
        </w:rPr>
        <w:t>unmarketable inventory are charged to cost of sales in our consolidated statements of operations.</w:t>
      </w:r>
    </w:p>
    <w:p>
      <w:pPr>
        <w:spacing w:after="0" w:line="169" w:lineRule="exact"/>
        <w:rPr>
          <w:sz w:val="20"/>
          <w:szCs w:val="20"/>
          <w:color w:val="auto"/>
        </w:rPr>
      </w:pPr>
    </w:p>
    <w:p>
      <w:pPr>
        <w:ind w:left="960" w:right="1019" w:firstLine="902"/>
        <w:spacing w:after="0" w:line="268" w:lineRule="auto"/>
        <w:rPr>
          <w:sz w:val="20"/>
          <w:szCs w:val="20"/>
          <w:color w:val="auto"/>
        </w:rPr>
      </w:pPr>
      <w:r>
        <w:rPr>
          <w:rFonts w:ascii="Times New Roman" w:cs="Times New Roman" w:eastAsia="Times New Roman" w:hAnsi="Times New Roman"/>
          <w:sz w:val="14"/>
          <w:szCs w:val="14"/>
          <w:color w:val="auto"/>
        </w:rPr>
        <w:t>Prior to regulatory approval, we expense costs associated with the manufacture of a product candidate to research and development expense unless we are reasonably certain such costs have future commercial use and net realizable value. Since we consider attaining regulatory approval of a product candidate to be highly uncertain and difficult to predict, we expect only in rare instances that pre-launch inventory will be capitalized, if at all.</w:t>
      </w:r>
    </w:p>
    <w:p>
      <w:pPr>
        <w:spacing w:after="0" w:line="140"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Assets that are expected to be realized in cash or consumed during the normal operating cycle are classified as current. Due to the nature of pharmaceutical manufacturing, including production lead times, stability testing requirements, quality control procedures, and regulatory release processes, our operating cycle may exceed twelve months. Inventory is held for sale or use within this normal operating cycle and is not held for long-term strategic purposes. We classify all inventory as a current asset on the consolidated balance sheets.</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Cost of Goods Sold</w:t>
      </w:r>
    </w:p>
    <w:p>
      <w:pPr>
        <w:spacing w:after="0" w:line="99" w:lineRule="exact"/>
        <w:rPr>
          <w:sz w:val="20"/>
          <w:szCs w:val="20"/>
          <w:color w:val="auto"/>
        </w:rPr>
      </w:pPr>
    </w:p>
    <w:p>
      <w:pPr>
        <w:ind w:left="960" w:right="1119" w:firstLine="902"/>
        <w:spacing w:after="0" w:line="262" w:lineRule="auto"/>
        <w:rPr>
          <w:sz w:val="20"/>
          <w:szCs w:val="20"/>
          <w:color w:val="auto"/>
        </w:rPr>
      </w:pPr>
      <w:r>
        <w:rPr>
          <w:rFonts w:ascii="Times New Roman" w:cs="Times New Roman" w:eastAsia="Times New Roman" w:hAnsi="Times New Roman"/>
          <w:sz w:val="14"/>
          <w:szCs w:val="14"/>
          <w:color w:val="auto"/>
        </w:rPr>
        <w:t>Cost of goods sold includes the cost of producing and distributing inventories that are related to product revenue during the respective period, including salary related and stock-based compensation expense for employees involved with production and distribution, freight, and indirect overhead costs. Cost of goods sold may also include costs related to excess or obsolete inventory adjustment, abnormal costs, unabsorbed manufacturing and overhead costs, and manufacturing variances. For the twelve months ended December 31, 2025 and 2024, cost of sales related to product revenue was positively impacted since the weighted average cost of inventories sold included batches that were partially expensed prior to FDA approval.</w:t>
      </w:r>
    </w:p>
    <w:p>
      <w:pPr>
        <w:spacing w:after="0" w:line="2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Research and Development Expenses</w:t>
      </w:r>
    </w:p>
    <w:p>
      <w:pPr>
        <w:spacing w:after="0" w:line="99" w:lineRule="exact"/>
        <w:rPr>
          <w:sz w:val="20"/>
          <w:szCs w:val="20"/>
          <w:color w:val="auto"/>
        </w:rPr>
      </w:pPr>
    </w:p>
    <w:p>
      <w:pPr>
        <w:ind w:left="960" w:right="979" w:firstLine="902"/>
        <w:spacing w:after="0" w:line="265" w:lineRule="auto"/>
        <w:rPr>
          <w:sz w:val="20"/>
          <w:szCs w:val="20"/>
          <w:color w:val="auto"/>
        </w:rPr>
      </w:pPr>
      <w:r>
        <w:rPr>
          <w:rFonts w:ascii="Times New Roman" w:cs="Times New Roman" w:eastAsia="Times New Roman" w:hAnsi="Times New Roman"/>
          <w:sz w:val="14"/>
          <w:szCs w:val="14"/>
          <w:color w:val="auto"/>
        </w:rPr>
        <w:t>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492125</wp:posOffset>
            </wp:positionV>
            <wp:extent cx="5584190" cy="6645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84190" cy="664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1099"/>
        <w:spacing w:after="0" w:line="274" w:lineRule="auto"/>
        <w:rPr>
          <w:sz w:val="20"/>
          <w:szCs w:val="20"/>
          <w:color w:val="auto"/>
        </w:rPr>
      </w:pPr>
      <w:r>
        <w:rPr>
          <w:rFonts w:ascii="Times New Roman" w:cs="Times New Roman" w:eastAsia="Times New Roman" w:hAnsi="Times New Roman"/>
          <w:sz w:val="14"/>
          <w:szCs w:val="14"/>
          <w:color w:val="auto"/>
        </w:rPr>
        <w:t>development expense is expensed as incurred. Payments we make for research and development services prior to the services being rendered are recorded as prepaid assets in our consolidated balance sheets and are expensed as the services are provided.</w:t>
      </w:r>
    </w:p>
    <w:p>
      <w:pPr>
        <w:spacing w:after="0" w:line="136"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Our current RYTELO (imetelstat) clinical trials are being supported by contract research organizations, or CROs, and other vendors. We accrue expenses for clinical trial activities performed and managed by CROs based upon the amount of work completed on each trial. Expenses are recorded based on contracted amounts agreed to with our CROs and through monthly reporting provided by CROs. We monitor activities conducted and managed by the CROs to the extent possible through internal reviews, review of contractual terms and correspondence with CROs. We record expense on the best information available at the time. However, additional information may become available to us which may require us to record adjustments to research and development expenses in future periods.</w:t>
      </w:r>
    </w:p>
    <w:p>
      <w:pPr>
        <w:spacing w:after="0" w:line="2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w:t>
      </w:r>
    </w:p>
    <w:p>
      <w:pPr>
        <w:spacing w:after="0" w:line="185" w:lineRule="exact"/>
        <w:rPr>
          <w:sz w:val="20"/>
          <w:szCs w:val="20"/>
          <w:color w:val="auto"/>
        </w:rPr>
      </w:pPr>
    </w:p>
    <w:p>
      <w:pPr>
        <w:ind w:left="960" w:right="999" w:firstLine="902"/>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 is primarily comprised of compensation and benefits associated with sales and marketing, finance, human resources, legal, information technology and other administrative personnel, outside marketing, advertising and legal expense and other general and administrative costs.</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Restructuring Charges</w:t>
      </w:r>
    </w:p>
    <w:p>
      <w:pPr>
        <w:spacing w:after="0" w:line="185"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Restructuring charges consist of termination benefits such as one-time employee severance payments, healthcare and related benefits, and other employee-related costs. We accrue severance and other related restructuring costs when it is probable that they will be paid and the amount is reasonably estimable. Restructuring costs are recorded in restructuring charges in the consolidated statements of operations. The related restructuring liability is included in accrued compensation and benefits in the consolidated balance sheet.</w:t>
      </w:r>
    </w:p>
    <w:p>
      <w:pPr>
        <w:spacing w:after="0" w:line="111" w:lineRule="exact"/>
        <w:rPr>
          <w:sz w:val="20"/>
          <w:szCs w:val="20"/>
          <w:color w:val="auto"/>
        </w:rPr>
      </w:pPr>
    </w:p>
    <w:p>
      <w:pPr>
        <w:ind w:left="960"/>
        <w:spacing w:after="0" w:line="161" w:lineRule="exact"/>
        <w:rPr>
          <w:sz w:val="20"/>
          <w:szCs w:val="20"/>
          <w:color w:val="auto"/>
        </w:rPr>
      </w:pPr>
      <w:r>
        <w:rPr>
          <w:rFonts w:ascii="Times New Roman" w:cs="Times New Roman" w:eastAsia="Times New Roman" w:hAnsi="Times New Roman"/>
          <w:sz w:val="14"/>
          <w:szCs w:val="14"/>
          <w:b w:val="1"/>
          <w:bCs w:val="1"/>
          <w:color w:val="auto"/>
        </w:rPr>
        <w:t>Stock</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Based Compensation</w:t>
      </w:r>
    </w:p>
    <w:p>
      <w:pPr>
        <w:spacing w:after="0" w:line="128" w:lineRule="exact"/>
        <w:rPr>
          <w:sz w:val="20"/>
          <w:szCs w:val="20"/>
          <w:color w:val="auto"/>
        </w:rPr>
      </w:pPr>
    </w:p>
    <w:p>
      <w:pPr>
        <w:ind w:left="960" w:right="1119" w:firstLine="902"/>
        <w:spacing w:after="0" w:line="274" w:lineRule="auto"/>
        <w:rPr>
          <w:sz w:val="20"/>
          <w:szCs w:val="20"/>
          <w:color w:val="auto"/>
        </w:rPr>
      </w:pPr>
      <w:r>
        <w:rPr>
          <w:rFonts w:ascii="Times New Roman" w:cs="Times New Roman" w:eastAsia="Times New Roman" w:hAnsi="Times New Roman"/>
          <w:sz w:val="14"/>
          <w:szCs w:val="14"/>
          <w:color w:val="auto"/>
        </w:rPr>
        <w:t>We maintain various stock incentive plans under which stock options, restricted stock units and restricted stock awards can be granted to employees, non-employee directors and consultants. We also have an employee stock purchase plan for all eligible employees.</w:t>
      </w:r>
    </w:p>
    <w:p>
      <w:pPr>
        <w:spacing w:after="0" w:line="136"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For service based options, restricted stock award and restricted stock units, compensation expense is recognized based on the estimated fair value of the awards at grant date. We recognize compensation expense on a straight-line basis, after taking into consideration an estimate of forfeitures, over the requisite service period, which is generally the vesting period.</w:t>
      </w:r>
    </w:p>
    <w:p>
      <w:pPr>
        <w:spacing w:after="0" w:line="140"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For performance-based stock options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w:t>
      </w:r>
    </w:p>
    <w:p>
      <w:pPr>
        <w:spacing w:after="0" w:line="144"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The grant-date fair value for service-based restricted stock units or restricted stock awards is determined using the fair value of our common stock on the date of grant. The determination of grant-date fair values for our service-based and performance-based stock options and employee stock purchases using the Black-Scholes option pricing model is affected by our stock price as well as assumptions regarding a number of complex and subjective variables.</w:t>
      </w:r>
    </w:p>
    <w:p>
      <w:pPr>
        <w:spacing w:after="0" w:line="140" w:lineRule="exact"/>
        <w:rPr>
          <w:sz w:val="20"/>
          <w:szCs w:val="20"/>
          <w:color w:val="auto"/>
        </w:rPr>
      </w:pPr>
    </w:p>
    <w:p>
      <w:pPr>
        <w:ind w:left="960" w:right="999" w:firstLine="902"/>
        <w:spacing w:after="0" w:line="180" w:lineRule="exact"/>
        <w:rPr>
          <w:sz w:val="20"/>
          <w:szCs w:val="20"/>
          <w:color w:val="auto"/>
        </w:rPr>
      </w:pPr>
      <w:r>
        <w:rPr>
          <w:rFonts w:ascii="Times New Roman" w:cs="Times New Roman" w:eastAsia="Times New Roman" w:hAnsi="Times New Roman"/>
          <w:sz w:val="14"/>
          <w:szCs w:val="14"/>
          <w:color w:val="auto"/>
        </w:rPr>
        <w:t>Dividend yield is based on historical cash dividend payments and we have paid no cash dividends to date. The expected volatility range is based on historical volatilities of our stock, since traded options on our common stock do not correspond to option terms and the trading volume of options is limited. The 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free interest rate range is based on the U.S. Zero Coupon Treasury Strip Yields for the expected term in effect on the date of grant for an award. The expected term of stock options is derived from actual historical exercise and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vesting cancellation data and represents the period</w:t>
      </w:r>
    </w:p>
    <w:p>
      <w:pPr>
        <w:sectPr>
          <w:pgSz w:w="11900" w:h="16879" w:orient="portrait"/>
          <w:cols w:equalWidth="0" w:num="1">
            <w:col w:w="9019"/>
          </w:cols>
          <w:pgMar w:left="1440" w:top="114" w:right="1440" w:bottom="0" w:gutter="0" w:footer="0" w:header="0"/>
        </w:sectPr>
      </w:pPr>
    </w:p>
    <w:bookmarkStart w:id="78" w:name="page79"/>
    <w:bookmarkEnd w:id="78"/>
    <w:p>
      <w:pPr>
        <w:ind w:left="9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8517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84190" cy="7851775"/>
                    </a:xfrm>
                    <a:prstGeom prst="rect">
                      <a:avLst/>
                    </a:prstGeom>
                    <a:noFill/>
                  </pic:spPr>
                </pic:pic>
              </a:graphicData>
            </a:graphic>
          </wp:anchor>
        </w:drawing>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999"/>
        <w:spacing w:after="0" w:line="292" w:lineRule="auto"/>
        <w:rPr>
          <w:sz w:val="20"/>
          <w:szCs w:val="20"/>
          <w:color w:val="auto"/>
        </w:rPr>
      </w:pPr>
      <w:r>
        <w:rPr>
          <w:rFonts w:ascii="Times New Roman" w:cs="Times New Roman" w:eastAsia="Times New Roman" w:hAnsi="Times New Roman"/>
          <w:sz w:val="14"/>
          <w:szCs w:val="14"/>
          <w:color w:val="auto"/>
        </w:rPr>
        <w:t>of time that stock options granted are expected to be outstanding. The expected term of employees’ purchase rights is equal to the purchase period.</w:t>
      </w:r>
    </w:p>
    <w:p>
      <w:pPr>
        <w:spacing w:after="0" w:line="124" w:lineRule="exact"/>
        <w:rPr>
          <w:sz w:val="20"/>
          <w:szCs w:val="20"/>
          <w:color w:val="auto"/>
        </w:rPr>
      </w:pPr>
    </w:p>
    <w:p>
      <w:pPr>
        <w:ind w:left="960" w:right="1059" w:firstLine="902"/>
        <w:spacing w:after="0" w:line="265" w:lineRule="auto"/>
        <w:rPr>
          <w:sz w:val="20"/>
          <w:szCs w:val="20"/>
          <w:color w:val="auto"/>
        </w:rPr>
      </w:pPr>
      <w:r>
        <w:rPr>
          <w:rFonts w:ascii="Times New Roman" w:cs="Times New Roman" w:eastAsia="Times New Roman" w:hAnsi="Times New Roman"/>
          <w:sz w:val="14"/>
          <w:szCs w:val="14"/>
          <w:color w:val="auto"/>
        </w:rPr>
        <w:t xml:space="preserve">We grant stock options to consultants from time to time in exchange for services performed for us. In general, these stock options vest over the contractual period of the consulting arrangement. The fair value of stock options held by consultants is recorded as operating expenses over the vesting term of the respective equity awards. With the adoption of Accounting Standards Update 2018-07, </w:t>
      </w:r>
      <w:r>
        <w:rPr>
          <w:rFonts w:ascii="Times New Roman" w:cs="Times New Roman" w:eastAsia="Times New Roman" w:hAnsi="Times New Roman"/>
          <w:sz w:val="14"/>
          <w:szCs w:val="14"/>
          <w:i w:val="1"/>
          <w:iCs w:val="1"/>
          <w:color w:val="auto"/>
        </w:rPr>
        <w:t>Improvements to Nonemployee Share-Based Payment Accounting</w:t>
      </w:r>
      <w:r>
        <w:rPr>
          <w:rFonts w:ascii="Times New Roman" w:cs="Times New Roman" w:eastAsia="Times New Roman" w:hAnsi="Times New Roman"/>
          <w:sz w:val="14"/>
          <w:szCs w:val="14"/>
          <w:color w:val="auto"/>
        </w:rPr>
        <w:t>, the measurement date of stock options granted to consultants was fixed at the grant date.</w:t>
      </w:r>
    </w:p>
    <w:p>
      <w:pPr>
        <w:spacing w:after="0" w:line="2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Net Loss Per Share</w:t>
      </w:r>
    </w:p>
    <w:p>
      <w:pPr>
        <w:spacing w:after="0" w:line="99" w:lineRule="exact"/>
        <w:rPr>
          <w:sz w:val="20"/>
          <w:szCs w:val="20"/>
          <w:color w:val="auto"/>
        </w:rPr>
      </w:pPr>
    </w:p>
    <w:p>
      <w:pPr>
        <w:ind w:left="960" w:right="1259" w:firstLine="902"/>
        <w:spacing w:after="0" w:line="268" w:lineRule="auto"/>
        <w:rPr>
          <w:sz w:val="20"/>
          <w:szCs w:val="20"/>
          <w:color w:val="auto"/>
        </w:rPr>
      </w:pPr>
      <w:r>
        <w:rPr>
          <w:rFonts w:ascii="Times New Roman" w:cs="Times New Roman" w:eastAsia="Times New Roman" w:hAnsi="Times New Roman"/>
          <w:sz w:val="14"/>
          <w:szCs w:val="14"/>
          <w:color w:val="auto"/>
        </w:rPr>
        <w:t>Basic net income (loss) per share is calculated by dividing net income (loss) by the weighted-average number of shares of common stock outstanding for the periods presented without consideration of potential common shares. In connection with previous public offerings, we issued pre-funded warrants to purchase shares of our common stock.</w:t>
      </w:r>
    </w:p>
    <w:p>
      <w:pPr>
        <w:spacing w:after="0" w:line="140"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consolidated statements of operations.</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9"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At the inception of an arrangement, we determine whether the arrangement is or contains a lease based on the unique facts and circumstances present. Operating leases are included in operating leases, right-of-use assets and lease liabilities on our consolidated balance sheets. Right-of-use assets represent our right to use an underlying asset for the lease term and lease liabilities 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spacing w:after="0" w:line="155" w:lineRule="exact"/>
        <w:rPr>
          <w:sz w:val="20"/>
          <w:szCs w:val="20"/>
          <w:color w:val="auto"/>
        </w:rPr>
      </w:pPr>
    </w:p>
    <w:p>
      <w:pPr>
        <w:ind w:left="960" w:right="999" w:firstLine="902"/>
        <w:spacing w:after="0" w:line="285" w:lineRule="auto"/>
        <w:rPr>
          <w:sz w:val="20"/>
          <w:szCs w:val="20"/>
          <w:color w:val="auto"/>
        </w:rPr>
      </w:pPr>
      <w:r>
        <w:rPr>
          <w:rFonts w:ascii="Times New Roman" w:cs="Times New Roman" w:eastAsia="Times New Roman" w:hAnsi="Times New Roman"/>
          <w:sz w:val="14"/>
          <w:szCs w:val="14"/>
          <w:color w:val="auto"/>
        </w:rPr>
        <w:t>For lease agreements that include lease and non-lease components, such components are generally accounted for separately. We have also elected not to recognize on our consolidated balance sheets leases with terms of one year or less.</w:t>
      </w:r>
    </w:p>
    <w:p>
      <w:pPr>
        <w:spacing w:after="0" w:line="3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Royalty Pharma Agreement Interest Expense</w:t>
      </w:r>
    </w:p>
    <w:p>
      <w:pPr>
        <w:spacing w:after="0" w:line="185"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The liability related to the Royalty Pharma Agreement and the related interest expense are measured based on our current estimate of the timing and amount of expected future Royalty Payments expected to be paid over the estimated term of the Royalty Pharma Agreement using a discounted cash flow model. The liability is amortized using the effective interest rate method, resulting in recognition of non-cash interest expense over the estimated term of the agreement. Each reporting period, we assess the estimated timing and amount of future expected Royalty Payments over the estimated term. If there are changes to the estimate, we recognize the impact to the liability’s amortization schedule and the related non-cash interest expense prospectively. Additionally, the transaction costs associated with the liability are amortized to non-cash interest expense over the estimated term of the Royalty Pharma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767080</wp:posOffset>
            </wp:positionV>
            <wp:extent cx="5584190" cy="2601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84190" cy="260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9"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We maintain deferred tax assets and liabilities that reflect the net tax effects of temporary differences between the carrying amounts of assets and liabilities for financial reporting purposes and the amounts used for income tax purposes and are subject to tests of recoverability. Our deferred tax assets include net operating loss carryforwards, federal and state tax credits and capitalized research and development. Deferred tax assets and liabilities are measured using enacted tax rates expected to apply to taxable income in the years in which those temporary differences are expected to be recovered or settled. Our net deferred tax asset has been fully offset by a valuation allowance because of our history of losses. Any potential accrued interest and penalties related to unrecognized tax benefits would be recorded as income tax expense.</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99" w:lineRule="exact"/>
        <w:rPr>
          <w:sz w:val="20"/>
          <w:szCs w:val="20"/>
          <w:color w:val="auto"/>
        </w:rPr>
      </w:pPr>
    </w:p>
    <w:p>
      <w:pPr>
        <w:ind w:left="960" w:right="1279" w:firstLine="902"/>
        <w:spacing w:after="0" w:line="268" w:lineRule="auto"/>
        <w:rPr>
          <w:sz w:val="20"/>
          <w:szCs w:val="20"/>
          <w:color w:val="auto"/>
        </w:rPr>
      </w:pPr>
      <w:r>
        <w:rPr>
          <w:rFonts w:ascii="Times New Roman" w:cs="Times New Roman" w:eastAsia="Times New Roman" w:hAnsi="Times New Roman"/>
          <w:sz w:val="14"/>
          <w:szCs w:val="14"/>
          <w:color w:val="auto"/>
        </w:rPr>
        <w:t>Our chief executive officer represents our chief operating decision maker. We view our operations as a single segment, the development of therapeutic products for oncology. As a result, the financial information disclosed herein materially represents all of the financial information related to our principal operating segment. For additional information, see Note 15 on Segment Reporting.</w:t>
      </w:r>
    </w:p>
    <w:p>
      <w:pPr>
        <w:sectPr>
          <w:pgSz w:w="11900" w:h="16838" w:orient="portrait"/>
          <w:cols w:equalWidth="0" w:num="1">
            <w:col w:w="9019"/>
          </w:cols>
          <w:pgMar w:left="1440" w:top="1317" w:right="1440" w:bottom="0" w:gutter="0" w:footer="0" w:header="0"/>
        </w:sectPr>
      </w:pPr>
    </w:p>
    <w:bookmarkStart w:id="79" w:name="page80"/>
    <w:bookmarkEnd w:id="79"/>
    <w:p>
      <w:pPr>
        <w:ind w:left="9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-83820</wp:posOffset>
            </wp:positionV>
            <wp:extent cx="5584190" cy="4612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84190" cy="4612640"/>
                    </a:xfrm>
                    <a:prstGeom prst="rect">
                      <a:avLst/>
                    </a:prstGeom>
                    <a:noFill/>
                  </pic:spPr>
                </pic:pic>
              </a:graphicData>
            </a:graphic>
          </wp:anchor>
        </w:drawing>
      </w:r>
    </w:p>
    <w:p>
      <w:pPr>
        <w:spacing w:after="0" w:line="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 Issued But Not Yet Adopted</w:t>
      </w:r>
    </w:p>
    <w:p>
      <w:pPr>
        <w:spacing w:after="0" w:line="101"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In November 2024, the Financial Standards Accounting Board (FASB) issued Accounting Standards Update (ASU) 2024-03, Income Statement - Reporting Comprehensive Income - Expense Disaggregation Disclosures (Subtopic 220-40): Disaggregation of Income Statement Expenses. The amendments in ASU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We are evaluating the impact of this ASU on our consolidated financial statements.</w:t>
      </w: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 Issued and Adopted</w:t>
      </w:r>
    </w:p>
    <w:p>
      <w:pPr>
        <w:spacing w:after="0" w:line="101" w:lineRule="exact"/>
        <w:rPr>
          <w:sz w:val="20"/>
          <w:szCs w:val="20"/>
          <w:color w:val="auto"/>
        </w:rPr>
      </w:pPr>
    </w:p>
    <w:p>
      <w:pPr>
        <w:ind w:left="960" w:right="999" w:firstLine="902"/>
        <w:spacing w:after="0" w:line="261" w:lineRule="auto"/>
        <w:rPr>
          <w:sz w:val="20"/>
          <w:szCs w:val="20"/>
          <w:color w:val="auto"/>
        </w:rPr>
      </w:pPr>
      <w:r>
        <w:rPr>
          <w:rFonts w:ascii="Times New Roman" w:cs="Times New Roman" w:eastAsia="Times New Roman" w:hAnsi="Times New Roman"/>
          <w:sz w:val="14"/>
          <w:szCs w:val="14"/>
          <w:color w:val="auto"/>
        </w:rPr>
        <w:t>In December 2024, the FASB issued ASU 2023-09, Income Taxes (ASU 2023-09), which requires issuers to make additional discloses on an annual basis related to specific categories in the rate reconciliation and provide additional information for reconciling items that meet a quantitative threshold on an annual basis, disclose additional information about income taxes paid as well as other disaggregated disclosures. ASU 2023-09 is effective for the Company as of January 1, 2025 for annual periods. We adopted this standard and applied the disclosure requirements on a prospective basis effective for the year ended December 31, 2025. The adoption did not have a material impact on our consolidated financial position or results of operations. Refer to Note 13, Income Taxes, for our updated income tax disclosure.</w:t>
      </w:r>
    </w:p>
    <w:p>
      <w:pPr>
        <w:spacing w:after="0" w:line="235"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(ASU 2023-07), which requires issuers to make additional disclosures with respect to segment expenses, including required disclosure on an annual and interim basis for significant segment expenses and other segment items. The improved disclosure requirements apply to all public entities that are required to report segment information, including those with only one reportable segment. ASU 2023-07 also permits the disclosure of more than one measure of a segment’s profit or loss. ASU 2023-07 is effective for the Company as of January 1, 2024 for annual periods and as of January 1, 2025 for interim periods. We adopted the guidance in the annual period ended December 31, 2024. There was no impact on our reportable segments identified and additional required disclosures have been included in Note 15. We view our operations as a single segment. See Note 15 on Segment Reporting.</w:t>
      </w:r>
    </w:p>
    <w:p>
      <w:pPr>
        <w:spacing w:after="0" w:line="149" w:lineRule="exact"/>
        <w:rPr>
          <w:sz w:val="20"/>
          <w:szCs w:val="20"/>
          <w:color w:val="auto"/>
        </w:rPr>
      </w:pPr>
    </w:p>
    <w:p>
      <w:pPr>
        <w:ind w:left="960" w:right="999" w:firstLine="902"/>
        <w:spacing w:after="0" w:line="292" w:lineRule="auto"/>
        <w:rPr>
          <w:sz w:val="20"/>
          <w:szCs w:val="20"/>
          <w:color w:val="auto"/>
        </w:rPr>
      </w:pPr>
      <w:r>
        <w:rPr>
          <w:rFonts w:ascii="Times New Roman" w:cs="Times New Roman" w:eastAsia="Times New Roman" w:hAnsi="Times New Roman"/>
          <w:sz w:val="14"/>
          <w:szCs w:val="14"/>
          <w:color w:val="auto"/>
        </w:rPr>
        <w:t>Other recent accounting pronouncements issued by the FASB did not or are not believed by management to have a material impact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916940</wp:posOffset>
            </wp:positionV>
            <wp:extent cx="5584190" cy="58407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84190" cy="584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2. PRODUCT REVENUE</w:t>
      </w:r>
    </w:p>
    <w:p>
      <w:pPr>
        <w:spacing w:after="0" w:line="185" w:lineRule="exact"/>
        <w:rPr>
          <w:sz w:val="20"/>
          <w:szCs w:val="20"/>
          <w:color w:val="auto"/>
        </w:rPr>
      </w:pPr>
    </w:p>
    <w:p>
      <w:pPr>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To date, our primary source of product revenue has been from the U.S. sales of RYTELO, which we began shipping to our customers in June 2024. To date, product revenue pursuant to NPPs outside of the U.S. have been not material.</w:t>
      </w:r>
    </w:p>
    <w:p>
      <w:pPr>
        <w:spacing w:after="0" w:line="50" w:lineRule="exact"/>
        <w:rPr>
          <w:sz w:val="20"/>
          <w:szCs w:val="20"/>
          <w:color w:val="auto"/>
        </w:rPr>
      </w:pPr>
    </w:p>
    <w:p>
      <w:pPr>
        <w:ind w:left="960" w:right="1159" w:firstLine="902"/>
        <w:spacing w:after="0" w:line="292" w:lineRule="auto"/>
        <w:rPr>
          <w:sz w:val="20"/>
          <w:szCs w:val="20"/>
          <w:color w:val="auto"/>
        </w:rPr>
      </w:pPr>
      <w:r>
        <w:rPr>
          <w:rFonts w:ascii="Times New Roman" w:cs="Times New Roman" w:eastAsia="Times New Roman" w:hAnsi="Times New Roman"/>
          <w:sz w:val="14"/>
          <w:szCs w:val="14"/>
          <w:color w:val="auto"/>
        </w:rPr>
        <w:t>The reconciliation of gross product sales to net product sales by each significant category of gross-to-net adjustments was as follows for the years ended December 31, 2025 and 2024:</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8"/>
        </w:trPr>
        <w:tc>
          <w:tcPr>
            <w:tcW w:w="4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3"/>
                <w:szCs w:val="13"/>
                <w:color w:val="auto"/>
              </w:rPr>
            </w:pPr>
          </w:p>
        </w:tc>
      </w:tr>
      <w:tr>
        <w:trPr>
          <w:trHeight w:val="167"/>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Gross product revenue</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223,112</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89,418</w:t>
            </w:r>
          </w:p>
        </w:tc>
        <w:tc>
          <w:tcPr>
            <w:tcW w:w="40" w:type="dxa"/>
            <w:vAlign w:val="bottom"/>
            <w:shd w:val="clear" w:color="auto" w:fill="CCEEFF"/>
          </w:tcPr>
          <w:p>
            <w:pPr>
              <w:spacing w:after="0"/>
              <w:rPr>
                <w:sz w:val="14"/>
                <w:szCs w:val="14"/>
                <w:color w:val="auto"/>
              </w:rPr>
            </w:pPr>
          </w:p>
        </w:tc>
      </w:tr>
      <w:tr>
        <w:trPr>
          <w:trHeight w:val="17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Gross-to-net adjustments: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Chargebacks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(25,525)</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(8,724)</w:t>
            </w:r>
          </w:p>
        </w:tc>
        <w:tc>
          <w:tcPr>
            <w:tcW w:w="40" w:type="dxa"/>
            <w:vAlign w:val="bottom"/>
            <w:shd w:val="clear" w:color="auto" w:fill="CCEEFF"/>
          </w:tcPr>
          <w:p>
            <w:pPr>
              <w:spacing w:after="0"/>
              <w:rPr>
                <w:sz w:val="16"/>
                <w:szCs w:val="16"/>
                <w:color w:val="auto"/>
              </w:rPr>
            </w:pPr>
          </w:p>
        </w:tc>
      </w:tr>
      <w:tr>
        <w:trPr>
          <w:trHeight w:val="178"/>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Distributor service fees</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(3,048)</w:t>
            </w:r>
          </w:p>
        </w:tc>
        <w:tc>
          <w:tcPr>
            <w:tcW w:w="40" w:type="dxa"/>
            <w:vAlign w:val="bottom"/>
          </w:tcPr>
          <w:p>
            <w:pPr>
              <w:spacing w:after="0"/>
              <w:rPr>
                <w:sz w:val="15"/>
                <w:szCs w:val="15"/>
                <w:color w:val="auto"/>
              </w:rPr>
            </w:pPr>
          </w:p>
        </w:tc>
      </w:tr>
      <w:tr>
        <w:trPr>
          <w:trHeight w:val="187"/>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Government rebates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(2,603)</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40" w:type="dxa"/>
            <w:vAlign w:val="bottom"/>
            <w:shd w:val="clear" w:color="auto" w:fill="CCEEFF"/>
          </w:tcPr>
          <w:p>
            <w:pPr>
              <w:spacing w:after="0"/>
              <w:rPr>
                <w:sz w:val="16"/>
                <w:szCs w:val="16"/>
                <w:color w:val="auto"/>
              </w:rPr>
            </w:pPr>
          </w:p>
        </w:tc>
      </w:tr>
      <w:tr>
        <w:trPr>
          <w:trHeight w:val="178"/>
        </w:trPr>
        <w:tc>
          <w:tcPr>
            <w:tcW w:w="4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1"/>
                <w:szCs w:val="11"/>
                <w:color w:val="auto"/>
              </w:rPr>
              <w:t>Sales returns and allowances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(3,849)</w:t>
            </w: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40" w:type="dxa"/>
            <w:vAlign w:val="bottom"/>
            <w:tcBorders>
              <w:bottom w:val="single" w:sz="8" w:color="CCEEFF"/>
            </w:tcBorders>
          </w:tcPr>
          <w:p>
            <w:pPr>
              <w:spacing w:after="0"/>
              <w:rPr>
                <w:sz w:val="15"/>
                <w:szCs w:val="15"/>
                <w:color w:val="auto"/>
              </w:rPr>
            </w:pPr>
          </w:p>
        </w:tc>
      </w:tr>
      <w:tr>
        <w:trPr>
          <w:trHeight w:val="163"/>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Total gross-to-net adjustments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(39,489)</w:t>
            </w: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(12,923)</w:t>
            </w:r>
          </w:p>
        </w:tc>
        <w:tc>
          <w:tcPr>
            <w:tcW w:w="40" w:type="dxa"/>
            <w:vAlign w:val="bottom"/>
            <w:shd w:val="clear" w:color="auto" w:fill="CCEEFF"/>
          </w:tcPr>
          <w:p>
            <w:pPr>
              <w:spacing w:after="0"/>
              <w:rPr>
                <w:sz w:val="14"/>
                <w:szCs w:val="14"/>
                <w:color w:val="auto"/>
              </w:rPr>
            </w:pPr>
          </w:p>
        </w:tc>
      </w:tr>
      <w:tr>
        <w:trPr>
          <w:trHeight w:val="146"/>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Product revenues, net</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183,623</w:t>
            </w:r>
          </w:p>
        </w:tc>
        <w:tc>
          <w:tcPr>
            <w:tcW w:w="40" w:type="dxa"/>
            <w:vAlign w:val="bottom"/>
          </w:tcPr>
          <w:p>
            <w:pPr>
              <w:spacing w:after="0"/>
              <w:rPr>
                <w:sz w:val="12"/>
                <w:szCs w:val="12"/>
                <w:color w:val="auto"/>
              </w:rPr>
            </w:pP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76,495</w:t>
            </w:r>
          </w:p>
        </w:tc>
        <w:tc>
          <w:tcPr>
            <w:tcW w:w="40" w:type="dxa"/>
            <w:vAlign w:val="bottom"/>
          </w:tcPr>
          <w:p>
            <w:pPr>
              <w:spacing w:after="0"/>
              <w:rPr>
                <w:sz w:val="12"/>
                <w:szCs w:val="12"/>
                <w:color w:val="auto"/>
              </w:rPr>
            </w:pPr>
          </w:p>
        </w:tc>
      </w:tr>
      <w:tr>
        <w:trPr>
          <w:trHeight w:val="20"/>
        </w:trPr>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As of December 31, 2025, three customers individually accounted for approximately 45%, 32% and 21% of our gross accounts receivable associated with our product revenue, as compared to 43%, 38% and 17% as of December 31, 2024, respectively.</w:t>
      </w:r>
    </w:p>
    <w:p>
      <w:pPr>
        <w:spacing w:after="0" w:line="30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3. INVENTORY</w:t>
      </w:r>
    </w:p>
    <w:p>
      <w:pPr>
        <w:spacing w:after="0" w:line="99" w:lineRule="exact"/>
        <w:rPr>
          <w:sz w:val="20"/>
          <w:szCs w:val="20"/>
          <w:color w:val="auto"/>
        </w:rPr>
      </w:pPr>
    </w:p>
    <w:p>
      <w:pPr>
        <w:ind w:left="960" w:right="1379" w:firstLine="902"/>
        <w:spacing w:after="0" w:line="292" w:lineRule="auto"/>
        <w:rPr>
          <w:sz w:val="20"/>
          <w:szCs w:val="20"/>
          <w:color w:val="auto"/>
        </w:rPr>
      </w:pPr>
      <w:r>
        <w:rPr>
          <w:rFonts w:ascii="Times New Roman" w:cs="Times New Roman" w:eastAsia="Times New Roman" w:hAnsi="Times New Roman"/>
          <w:sz w:val="14"/>
          <w:szCs w:val="14"/>
          <w:color w:val="auto"/>
        </w:rPr>
        <w:t>All of our inventories are related to the manufacturing of RYTELO. The following table presents our inventory as of December 31, 2025 and 2024:</w:t>
      </w:r>
    </w:p>
    <w:p>
      <w:pPr>
        <w:spacing w:after="0" w:line="98"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58"/>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3"/>
                <w:szCs w:val="13"/>
                <w:color w:val="auto"/>
              </w:rPr>
            </w:pPr>
          </w:p>
        </w:tc>
      </w:tr>
      <w:tr>
        <w:trPr>
          <w:trHeight w:val="167"/>
        </w:trPr>
        <w:tc>
          <w:tcPr>
            <w:tcW w:w="4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Raw materials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8,927</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60" w:type="dxa"/>
            <w:vAlign w:val="bottom"/>
            <w:shd w:val="clear" w:color="auto" w:fill="CCEEFF"/>
          </w:tcPr>
          <w:p>
            <w:pPr>
              <w:spacing w:after="0"/>
              <w:rPr>
                <w:sz w:val="14"/>
                <w:szCs w:val="14"/>
                <w:color w:val="auto"/>
              </w:rPr>
            </w:pPr>
          </w:p>
        </w:tc>
      </w:tr>
      <w:tr>
        <w:trPr>
          <w:trHeight w:val="178"/>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Work-in-process</w:t>
            </w:r>
          </w:p>
        </w:tc>
        <w:tc>
          <w:tcPr>
            <w:tcW w:w="2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91,969</w:t>
            </w:r>
          </w:p>
        </w:tc>
        <w:tc>
          <w:tcPr>
            <w:tcW w:w="40" w:type="dxa"/>
            <w:vAlign w:val="bottom"/>
          </w:tcPr>
          <w:p>
            <w:pPr>
              <w:spacing w:after="0"/>
              <w:rPr>
                <w:sz w:val="15"/>
                <w:szCs w:val="15"/>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30,093</w:t>
            </w:r>
          </w:p>
        </w:tc>
        <w:tc>
          <w:tcPr>
            <w:tcW w:w="60" w:type="dxa"/>
            <w:vAlign w:val="bottom"/>
          </w:tcPr>
          <w:p>
            <w:pPr>
              <w:spacing w:after="0"/>
              <w:rPr>
                <w:sz w:val="15"/>
                <w:szCs w:val="15"/>
                <w:color w:val="auto"/>
              </w:rPr>
            </w:pPr>
          </w:p>
        </w:tc>
      </w:tr>
      <w:tr>
        <w:trPr>
          <w:trHeight w:val="183"/>
        </w:trPr>
        <w:tc>
          <w:tcPr>
            <w:tcW w:w="4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Finished goods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15,740</w:t>
            </w:r>
          </w:p>
        </w:tc>
        <w:tc>
          <w:tcPr>
            <w:tcW w:w="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3,717</w:t>
            </w:r>
          </w:p>
        </w:tc>
        <w:tc>
          <w:tcPr>
            <w:tcW w:w="60" w:type="dxa"/>
            <w:vAlign w:val="bottom"/>
            <w:shd w:val="clear" w:color="auto" w:fill="CCEEFF"/>
          </w:tcPr>
          <w:p>
            <w:pPr>
              <w:spacing w:after="0"/>
              <w:rPr>
                <w:sz w:val="15"/>
                <w:szCs w:val="15"/>
                <w:color w:val="auto"/>
              </w:rPr>
            </w:pPr>
          </w:p>
        </w:tc>
      </w:tr>
      <w:tr>
        <w:trPr>
          <w:trHeight w:val="146"/>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Total inventory</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116,636</w:t>
            </w:r>
          </w:p>
        </w:tc>
        <w:tc>
          <w:tcPr>
            <w:tcW w:w="40" w:type="dxa"/>
            <w:vAlign w:val="bottom"/>
          </w:tcPr>
          <w:p>
            <w:pPr>
              <w:spacing w:after="0"/>
              <w:rPr>
                <w:sz w:val="12"/>
                <w:szCs w:val="12"/>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38,714</w:t>
            </w:r>
          </w:p>
        </w:tc>
        <w:tc>
          <w:tcPr>
            <w:tcW w:w="60" w:type="dxa"/>
            <w:vAlign w:val="bottom"/>
          </w:tcPr>
          <w:p>
            <w:pPr>
              <w:spacing w:after="0"/>
              <w:rPr>
                <w:sz w:val="12"/>
                <w:szCs w:val="12"/>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11" w:right="1440" w:bottom="680" w:gutter="0" w:footer="0" w:header="0"/>
        </w:sectPr>
      </w:pPr>
    </w:p>
    <w:p>
      <w:pPr>
        <w:spacing w:after="0" w:line="161" w:lineRule="exact"/>
        <w:rPr>
          <w:sz w:val="20"/>
          <w:szCs w:val="20"/>
          <w:color w:val="auto"/>
        </w:rPr>
      </w:pPr>
    </w:p>
    <w:p>
      <w:pPr>
        <w:ind w:left="960" w:right="1259" w:firstLine="938"/>
        <w:spacing w:after="0" w:line="274" w:lineRule="auto"/>
        <w:rPr>
          <w:sz w:val="20"/>
          <w:szCs w:val="20"/>
          <w:color w:val="auto"/>
        </w:rPr>
      </w:pPr>
      <w:r>
        <w:rPr>
          <w:rFonts w:ascii="Times New Roman" w:cs="Times New Roman" w:eastAsia="Times New Roman" w:hAnsi="Times New Roman"/>
          <w:sz w:val="14"/>
          <w:szCs w:val="14"/>
          <w:color w:val="auto"/>
        </w:rPr>
        <w:t>Prior to the FDA’s approval of RYTELO, all costs for the manufacture of product to support clinical development and commercial launch, including pre-launch inventory, were expensed as incurred. Pre-launch inventory manufactured prior to the FDA approval of RYTELO will be used in commercial production until it is depleted.</w:t>
      </w:r>
    </w:p>
    <w:p>
      <w:pPr>
        <w:sectPr>
          <w:pgSz w:w="11900" w:h="16838" w:orient="portrait"/>
          <w:cols w:equalWidth="0" w:num="1">
            <w:col w:w="9019"/>
          </w:cols>
          <w:pgMar w:left="1440" w:top="111" w:right="1440" w:bottom="680" w:gutter="0" w:footer="0" w:header="0"/>
          <w:type w:val="continuous"/>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8656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84190" cy="865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4. FINANCIAL INSTRUMENTS</w:t>
      </w:r>
    </w:p>
    <w:p>
      <w:pPr>
        <w:spacing w:after="0" w:line="9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Cash equivalents, restricted cash and marketable securities by security type at December 31, 2025 were as</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follows:</w:t>
      </w:r>
    </w:p>
    <w:p>
      <w:pPr>
        <w:spacing w:after="0" w:line="143"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3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4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Gains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Included in cash and cash equivalents: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48,950</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53,929</w:t>
            </w:r>
          </w:p>
        </w:tc>
        <w:tc>
          <w:tcPr>
            <w:tcW w:w="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Certificate of deposit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 (due in less than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Treasury securities (due in one to two years)</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Municipal securities (due in less than one year)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Government-sponsored enterprise securities (due in</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less than one year)</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 (due in less than one year)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notes (due in less than one year)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notes (due in one to two years)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41,316</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321,417</w:t>
            </w: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3311525</wp:posOffset>
            </wp:positionV>
            <wp:extent cx="5584190" cy="1796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84190" cy="179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Cash equivalents, restricted cash and marketable securities by security type at December 31, 2024 were as</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follows:</w:t>
      </w:r>
    </w:p>
    <w:p>
      <w:pPr>
        <w:spacing w:after="0" w:line="390" w:lineRule="exact"/>
        <w:rPr>
          <w:sz w:val="20"/>
          <w:szCs w:val="20"/>
          <w:color w:val="auto"/>
        </w:rPr>
      </w:pPr>
    </w:p>
    <w:tbl>
      <w:tblPr>
        <w:tblLayout w:type="fixed"/>
        <w:tblInd w:w="1000" w:type="dxa"/>
        <w:tblCellMar>
          <w:top w:w="0" w:type="dxa"/>
          <w:left w:w="0" w:type="dxa"/>
          <w:bottom w:w="0" w:type="dxa"/>
          <w:right w:w="0" w:type="dxa"/>
        </w:tblCellMar>
      </w:tblPr>
      <w:tr>
        <w:trPr>
          <w:trHeight w:val="150"/>
        </w:trPr>
        <w:tc>
          <w:tcPr>
            <w:tcW w:w="2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3"/>
                <w:szCs w:val="13"/>
                <w:color w:val="auto"/>
              </w:rPr>
            </w:pPr>
          </w:p>
        </w:tc>
        <w:tc>
          <w:tcPr>
            <w:tcW w:w="960" w:type="dxa"/>
            <w:vAlign w:val="bottom"/>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980" w:type="dxa"/>
            <w:vAlign w:val="bottom"/>
          </w:tcPr>
          <w:p>
            <w:pPr>
              <w:jc w:val="center"/>
              <w:ind w:right="296"/>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700" w:type="dxa"/>
            <w:vAlign w:val="bottom"/>
          </w:tcPr>
          <w:p>
            <w:pPr>
              <w:spacing w:after="0"/>
              <w:rPr>
                <w:sz w:val="13"/>
                <w:szCs w:val="13"/>
                <w:color w:val="auto"/>
              </w:rPr>
            </w:pPr>
          </w:p>
        </w:tc>
      </w:tr>
      <w:tr>
        <w:trPr>
          <w:trHeight w:val="172"/>
        </w:trPr>
        <w:tc>
          <w:tcPr>
            <w:tcW w:w="2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20" w:type="dxa"/>
            <w:vAlign w:val="bottom"/>
          </w:tcPr>
          <w:p>
            <w:pPr>
              <w:spacing w:after="0"/>
              <w:rPr>
                <w:sz w:val="14"/>
                <w:szCs w:val="14"/>
                <w:color w:val="auto"/>
              </w:rPr>
            </w:pP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4"/>
                <w:szCs w:val="14"/>
                <w:color w:val="auto"/>
              </w:rPr>
            </w:pPr>
          </w:p>
        </w:tc>
        <w:tc>
          <w:tcPr>
            <w:tcW w:w="960" w:type="dxa"/>
            <w:vAlign w:val="bottom"/>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Gains</w:t>
            </w:r>
          </w:p>
        </w:tc>
        <w:tc>
          <w:tcPr>
            <w:tcW w:w="980" w:type="dxa"/>
            <w:vAlign w:val="bottom"/>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22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Included in cash and cash equivalents:</w:t>
            </w: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45,215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45,215</w:t>
            </w:r>
          </w:p>
        </w:tc>
      </w:tr>
      <w:tr>
        <w:trPr>
          <w:trHeight w:val="21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62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4,978</w:t>
            </w:r>
          </w:p>
        </w:tc>
        <w:tc>
          <w:tcPr>
            <w:tcW w:w="180" w:type="dxa"/>
            <w:vAlign w:val="bottom"/>
          </w:tcPr>
          <w:p>
            <w:pPr>
              <w:spacing w:after="0"/>
              <w:rPr>
                <w:sz w:val="18"/>
                <w:szCs w:val="18"/>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w:t>
            </w:r>
          </w:p>
        </w:tc>
      </w:tr>
    </w:tbl>
    <w:p>
      <w:pPr>
        <w:sectPr>
          <w:pgSz w:w="11900" w:h="16838" w:orient="portrait"/>
          <w:cols w:equalWidth="0" w:num="1">
            <w:col w:w="9019"/>
          </w:cols>
          <w:pgMar w:left="1440" w:top="1440" w:right="1440" w:bottom="0" w:gutter="0" w:footer="0" w:header="0"/>
        </w:sectPr>
      </w:pPr>
    </w:p>
    <w:bookmarkStart w:id="81" w:name="page82"/>
    <w:bookmarkEnd w:id="81"/>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323"/>
        </w:trPr>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50,193</w:t>
            </w:r>
          </w:p>
        </w:tc>
        <w:tc>
          <w:tcPr>
            <w:tcW w:w="4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Gross  </w:t>
            </w:r>
            <w:r>
              <w:rPr>
                <w:rFonts w:ascii="Times New Roman" w:cs="Times New Roman" w:eastAsia="Times New Roman" w:hAnsi="Times New Roman"/>
                <w:sz w:val="28"/>
                <w:szCs w:val="28"/>
                <w:color w:val="auto"/>
                <w:vertAlign w:val="superscript"/>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 xml:space="preserve">Gross   </w:t>
            </w:r>
            <w:r>
              <w:rPr>
                <w:rFonts w:ascii="Times New Roman" w:cs="Times New Roman" w:eastAsia="Times New Roman" w:hAnsi="Times New Roman"/>
                <w:sz w:val="28"/>
                <w:szCs w:val="28"/>
                <w:color w:val="auto"/>
                <w:vertAlign w:val="superscript"/>
              </w:rPr>
              <w:t>(1)</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18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 market fund</w:t>
            </w:r>
          </w:p>
        </w:tc>
        <w:tc>
          <w:tcPr>
            <w:tcW w:w="40" w:type="dxa"/>
            <w:vAlign w:val="bottom"/>
            <w:vMerge w:val="continue"/>
          </w:tcPr>
          <w:p>
            <w:pPr>
              <w:spacing w:after="0"/>
              <w:rPr>
                <w:sz w:val="16"/>
                <w:szCs w:val="16"/>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4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6"/>
                <w:szCs w:val="16"/>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 of deposit</w:t>
            </w: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4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Marketable securities:</w:t>
            </w: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U.S. Treasury securities (due in less than one year)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20" w:type="dxa"/>
            <w:vAlign w:val="bottom"/>
            <w:gridSpan w:val="2"/>
            <w:vMerge w:val="continue"/>
          </w:tcPr>
          <w:p>
            <w:pPr>
              <w:spacing w:after="0"/>
              <w:rPr>
                <w:sz w:val="14"/>
                <w:szCs w:val="14"/>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7,937</w:t>
            </w:r>
          </w:p>
        </w:tc>
        <w:tc>
          <w:tcPr>
            <w:tcW w:w="4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4"/>
                <w:szCs w:val="14"/>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 (due in one to two years)</w:t>
            </w: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22,620</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22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4"/>
                <w:szCs w:val="14"/>
                <w:color w:val="auto"/>
              </w:rPr>
              <w:t>Government-sponsored enterprise securities (due in</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8,741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8,748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less than one year)</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paper (due in less than one year)</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3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Corporate notes (due in less than one year)</w:t>
            </w: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130,361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284</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130,618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notes (due in one to two years)</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72,000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421,790</w:t>
            </w:r>
          </w:p>
        </w:tc>
        <w:tc>
          <w:tcPr>
            <w:tcW w:w="40" w:type="dxa"/>
            <w:vAlign w:val="bottom"/>
          </w:tcPr>
          <w:p>
            <w:pPr>
              <w:spacing w:after="0"/>
              <w:rPr>
                <w:sz w:val="18"/>
                <w:szCs w:val="18"/>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4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tcPr>
          <w:p>
            <w:pPr>
              <w:spacing w:after="0"/>
              <w:rPr>
                <w:sz w:val="18"/>
                <w:szCs w:val="18"/>
                <w:color w:val="auto"/>
              </w:rPr>
            </w:pP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-2774950</wp:posOffset>
            </wp:positionV>
            <wp:extent cx="5584190"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8419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jc w:val="both"/>
        <w:ind w:left="960" w:right="979" w:firstLine="902"/>
        <w:spacing w:after="0" w:line="292" w:lineRule="auto"/>
        <w:rPr>
          <w:sz w:val="20"/>
          <w:szCs w:val="20"/>
          <w:color w:val="auto"/>
        </w:rPr>
      </w:pPr>
      <w:r>
        <w:rPr>
          <w:rFonts w:ascii="Times New Roman" w:cs="Times New Roman" w:eastAsia="Times New Roman" w:hAnsi="Times New Roman"/>
          <w:sz w:val="14"/>
          <w:szCs w:val="14"/>
          <w:color w:val="auto"/>
        </w:rPr>
        <w:t>Cash equivalents and marketable securities with unrealized losses that have been in a continuous unrealized loss position for less than 12 months and 12 months or longer at December 31, 2025 and 2024 were as follows:</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12 Months or Longer</w:t>
            </w:r>
          </w:p>
        </w:tc>
        <w:tc>
          <w:tcPr>
            <w:tcW w:w="2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left="135"/>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87"/>
        </w:trPr>
        <w:tc>
          <w:tcPr>
            <w:tcW w:w="2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 (due in less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than one year)</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paper (due in less than</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one year)</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notes (due in less than one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year)</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notes (due in one to two</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4"/>
                <w:szCs w:val="14"/>
                <w:color w:val="auto"/>
              </w:rPr>
              <w:t>years)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 (due in less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than one year)</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paper (due in less than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one year)</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notes (due in less than one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year)</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Corporate notes (due in one to two</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4"/>
                <w:szCs w:val="14"/>
                <w:color w:val="auto"/>
              </w:rPr>
              <w:t>years)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169,724</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171,717</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The gross unrealized losses related to U.S. Treasury securities, municipal securities, government-sponsored enterprise securities, commercial paper and corporate notes as of December 31, 2025 and 2024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years ended December 31, 2025 and 2024 as we have not identified any unrealized losses for these securities attributable to credit factors. Our exposure to unrealized losses may increase in the future due to the economic pressures or uncertainties</w:t>
      </w:r>
    </w:p>
    <w:p>
      <w:pPr>
        <w:sectPr>
          <w:pgSz w:w="11900" w:h="16838" w:orient="portrait"/>
          <w:cols w:equalWidth="0" w:num="1">
            <w:col w:w="9019"/>
          </w:cols>
          <w:pgMar w:left="1440" w:top="114" w:right="1440" w:bottom="0" w:gutter="0" w:footer="0" w:header="0"/>
        </w:sectPr>
      </w:pPr>
    </w:p>
    <w:bookmarkStart w:id="82" w:name="page83"/>
    <w:bookmarkEnd w:id="82"/>
    <w:p>
      <w:pPr>
        <w:ind w:left="960" w:right="979"/>
        <w:spacing w:after="0" w:line="185" w:lineRule="auto"/>
        <w:rPr>
          <w:sz w:val="20"/>
          <w:szCs w:val="20"/>
          <w:color w:val="auto"/>
        </w:rPr>
      </w:pPr>
      <w:r>
        <w:rPr>
          <w:rFonts w:ascii="Times New Roman" w:cs="Times New Roman" w:eastAsia="Times New Roman" w:hAnsi="Times New Roman"/>
          <w:sz w:val="14"/>
          <w:szCs w:val="14"/>
          <w:color w:val="auto"/>
        </w:rPr>
        <w:t>associated with local or global economic recessions as a result of ongoing geopolitical events, such as the current military conflict between Ukraine and Russia, as well as recent and potential future disruptions in access to bank deposits or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-141605</wp:posOffset>
            </wp:positionV>
            <wp:extent cx="5584190" cy="2178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84190" cy="2178050"/>
                    </a:xfrm>
                    <a:prstGeom prst="rect">
                      <a:avLst/>
                    </a:prstGeom>
                    <a:noFill/>
                  </pic:spPr>
                </pic:pic>
              </a:graphicData>
            </a:graphic>
          </wp:anchor>
        </w:drawing>
      </w:r>
    </w:p>
    <w:p>
      <w:pPr>
        <w:ind w:left="960" w:right="1059"/>
        <w:spacing w:after="0" w:line="272" w:lineRule="auto"/>
        <w:rPr>
          <w:sz w:val="20"/>
          <w:szCs w:val="20"/>
          <w:color w:val="auto"/>
        </w:rPr>
      </w:pPr>
      <w:r>
        <w:rPr>
          <w:rFonts w:ascii="Times New Roman" w:cs="Times New Roman" w:eastAsia="Times New Roman" w:hAnsi="Times New Roman"/>
          <w:sz w:val="14"/>
          <w:szCs w:val="14"/>
          <w:color w:val="auto"/>
        </w:rPr>
        <w:t>commitments due to bank failure. We do not intend to sell the investments and it is not more likely that not that we will be required to sell the investments before recovery of their amortized cost basis, which may be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1866265</wp:posOffset>
            </wp:positionV>
            <wp:extent cx="5584190" cy="72205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5. FAIR VALUE MEASUREMENTS</w:t>
      </w:r>
    </w:p>
    <w:p>
      <w:pPr>
        <w:spacing w:after="0" w:line="185" w:lineRule="exact"/>
        <w:rPr>
          <w:sz w:val="20"/>
          <w:szCs w:val="20"/>
          <w:color w:val="auto"/>
        </w:rPr>
      </w:pPr>
    </w:p>
    <w:p>
      <w:pPr>
        <w:ind w:left="960" w:right="1039" w:firstLine="902"/>
        <w:spacing w:after="0" w:line="292" w:lineRule="auto"/>
        <w:rPr>
          <w:sz w:val="20"/>
          <w:szCs w:val="20"/>
          <w:color w:val="auto"/>
        </w:rPr>
      </w:pPr>
      <w:r>
        <w:rPr>
          <w:rFonts w:ascii="Times New Roman" w:cs="Times New Roman" w:eastAsia="Times New Roman" w:hAnsi="Times New Roman"/>
          <w:sz w:val="14"/>
          <w:szCs w:val="14"/>
          <w:color w:val="auto"/>
        </w:rPr>
        <w:t>The following table presents information about our financial instruments that are measured at fair value on a recurring basis as of December 31, 2025 and 2024 and indicates the fair value category assigned.</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1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gridSpan w:val="10"/>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Fair Value Measurements at Reporting Date Using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funds</w:t>
            </w:r>
            <w:r>
              <w:rPr>
                <w:rFonts w:ascii="Times New Roman" w:cs="Times New Roman" w:eastAsia="Times New Roman" w:hAnsi="Times New Roman"/>
                <w:sz w:val="18"/>
                <w:szCs w:val="18"/>
                <w:color w:val="auto"/>
                <w:vertAlign w:val="superscript"/>
              </w:rPr>
              <w:t>(1)(2)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Certificate of deposit</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Municipal securities</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r>
              <w:rPr>
                <w:rFonts w:ascii="Times New Roman" w:cs="Times New Roman" w:eastAsia="Times New Roman" w:hAnsi="Times New Roman"/>
                <w:sz w:val="18"/>
                <w:szCs w:val="18"/>
                <w:color w:val="auto"/>
                <w:vertAlign w:val="superscript"/>
              </w:rPr>
              <w:t>(3)(4)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4"/>
                <w:szCs w:val="14"/>
                <w:color w:val="auto"/>
              </w:rPr>
              <w:t>Corporate notes</w:t>
            </w:r>
            <w:r>
              <w:rPr>
                <w:rFonts w:ascii="Times New Roman" w:cs="Times New Roman" w:eastAsia="Times New Roman" w:hAnsi="Times New Roman"/>
                <w:sz w:val="18"/>
                <w:szCs w:val="18"/>
                <w:color w:val="auto"/>
                <w:vertAlign w:val="superscript"/>
              </w:rPr>
              <w:t>(3)(4)</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209,253</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209,253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50,831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326,627</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377,458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 of future royalties</w:t>
            </w:r>
            <w:r>
              <w:rPr>
                <w:rFonts w:ascii="Times New Roman" w:cs="Times New Roman" w:eastAsia="Times New Roman" w:hAnsi="Times New Roman"/>
                <w:sz w:val="18"/>
                <w:szCs w:val="18"/>
                <w:color w:val="auto"/>
                <w:vertAlign w:val="superscript"/>
              </w:rPr>
              <w:t>(5)(6)</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129,582</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129,582</w:t>
            </w:r>
          </w:p>
        </w:tc>
        <w:tc>
          <w:tcPr>
            <w:tcW w:w="4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funds</w:t>
            </w:r>
            <w:r>
              <w:rPr>
                <w:rFonts w:ascii="Times New Roman" w:cs="Times New Roman" w:eastAsia="Times New Roman" w:hAnsi="Times New Roman"/>
                <w:sz w:val="18"/>
                <w:szCs w:val="18"/>
                <w:color w:val="auto"/>
                <w:vertAlign w:val="superscript"/>
              </w:rPr>
              <w:t>(1)(2)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Certificate of deposit</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r>
              <w:rPr>
                <w:rFonts w:ascii="Times New Roman" w:cs="Times New Roman" w:eastAsia="Times New Roman" w:hAnsi="Times New Roman"/>
                <w:sz w:val="18"/>
                <w:szCs w:val="18"/>
                <w:color w:val="auto"/>
                <w:vertAlign w:val="superscript"/>
              </w:rPr>
              <w:t>(3)(4)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Government-sponsored enterprise securities</w:t>
            </w:r>
            <w:r>
              <w:rPr>
                <w:rFonts w:ascii="Times New Roman" w:cs="Times New Roman" w:eastAsia="Times New Roman" w:hAnsi="Times New Roman"/>
                <w:sz w:val="18"/>
                <w:szCs w:val="18"/>
                <w:color w:val="auto"/>
                <w:vertAlign w:val="superscript"/>
              </w:rPr>
              <w:t>(3)(4)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4"/>
                <w:szCs w:val="14"/>
                <w:color w:val="auto"/>
              </w:rPr>
              <w:t>Corporate notes</w:t>
            </w:r>
            <w:r>
              <w:rPr>
                <w:rFonts w:ascii="Times New Roman" w:cs="Times New Roman" w:eastAsia="Times New Roman" w:hAnsi="Times New Roman"/>
                <w:sz w:val="18"/>
                <w:szCs w:val="18"/>
                <w:color w:val="auto"/>
                <w:vertAlign w:val="superscript"/>
              </w:rPr>
              <w:t>(3)(4)</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202,527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202,527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427,046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 of future royalties</w:t>
            </w:r>
            <w:r>
              <w:rPr>
                <w:rFonts w:ascii="Times New Roman" w:cs="Times New Roman" w:eastAsia="Times New Roman" w:hAnsi="Times New Roman"/>
                <w:sz w:val="18"/>
                <w:szCs w:val="18"/>
                <w:color w:val="auto"/>
                <w:vertAlign w:val="superscript"/>
              </w:rPr>
              <w:t>(5)(6)</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124,793</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124,793</w:t>
            </w:r>
          </w:p>
        </w:tc>
        <w:tc>
          <w:tcPr>
            <w:tcW w:w="4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860" w:hanging="900"/>
        <w:spacing w:after="0"/>
        <w:tabs>
          <w:tab w:leader="none" w:pos="18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on our consolidated balance sheets.</w:t>
      </w:r>
    </w:p>
    <w:p>
      <w:pPr>
        <w:spacing w:after="0" w:line="96" w:lineRule="exact"/>
        <w:rPr>
          <w:rFonts w:ascii="Times New Roman" w:cs="Times New Roman" w:eastAsia="Times New Roman" w:hAnsi="Times New Roman"/>
          <w:sz w:val="14"/>
          <w:szCs w:val="14"/>
          <w:color w:val="auto"/>
        </w:rPr>
      </w:pPr>
    </w:p>
    <w:p>
      <w:pPr>
        <w:ind w:left="1860" w:hanging="900"/>
        <w:spacing w:after="0"/>
        <w:tabs>
          <w:tab w:leader="none" w:pos="18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cash on our consolidated balance sheets.</w:t>
      </w:r>
    </w:p>
    <w:p>
      <w:pPr>
        <w:spacing w:after="0" w:line="96" w:lineRule="exact"/>
        <w:rPr>
          <w:rFonts w:ascii="Times New Roman" w:cs="Times New Roman" w:eastAsia="Times New Roman" w:hAnsi="Times New Roman"/>
          <w:sz w:val="14"/>
          <w:szCs w:val="14"/>
          <w:color w:val="auto"/>
        </w:rPr>
      </w:pPr>
    </w:p>
    <w:p>
      <w:pPr>
        <w:ind w:left="1860" w:hanging="900"/>
        <w:spacing w:after="0"/>
        <w:tabs>
          <w:tab w:leader="none" w:pos="18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current portion of marketable securities on our consolidated balance sheets.</w:t>
      </w:r>
    </w:p>
    <w:p>
      <w:pPr>
        <w:spacing w:after="0" w:line="96" w:lineRule="exact"/>
        <w:rPr>
          <w:rFonts w:ascii="Times New Roman" w:cs="Times New Roman" w:eastAsia="Times New Roman" w:hAnsi="Times New Roman"/>
          <w:sz w:val="14"/>
          <w:szCs w:val="14"/>
          <w:color w:val="auto"/>
        </w:rPr>
      </w:pPr>
    </w:p>
    <w:p>
      <w:pPr>
        <w:ind w:left="1860" w:hanging="900"/>
        <w:spacing w:after="0"/>
        <w:tabs>
          <w:tab w:leader="none" w:pos="18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noncurrent portion of marketable securities on our consolidated balance sheets.</w:t>
      </w:r>
    </w:p>
    <w:p>
      <w:pPr>
        <w:spacing w:after="0" w:line="96" w:lineRule="exact"/>
        <w:rPr>
          <w:rFonts w:ascii="Times New Roman" w:cs="Times New Roman" w:eastAsia="Times New Roman" w:hAnsi="Times New Roman"/>
          <w:sz w:val="14"/>
          <w:szCs w:val="14"/>
          <w:color w:val="auto"/>
        </w:rPr>
      </w:pPr>
    </w:p>
    <w:p>
      <w:pPr>
        <w:ind w:left="1860" w:right="1359" w:hanging="900"/>
        <w:spacing w:after="0" w:line="292" w:lineRule="auto"/>
        <w:tabs>
          <w:tab w:leader="none" w:pos="18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current portion of liabilities related to sale of future royalties on our consolidated balance sheets.</w:t>
      </w:r>
    </w:p>
    <w:p>
      <w:pPr>
        <w:spacing w:after="0" w:line="37" w:lineRule="exact"/>
        <w:rPr>
          <w:rFonts w:ascii="Times New Roman" w:cs="Times New Roman" w:eastAsia="Times New Roman" w:hAnsi="Times New Roman"/>
          <w:sz w:val="14"/>
          <w:szCs w:val="14"/>
          <w:color w:val="auto"/>
        </w:rPr>
      </w:pPr>
    </w:p>
    <w:p>
      <w:pPr>
        <w:ind w:left="1860" w:right="1159" w:hanging="900"/>
        <w:spacing w:after="0" w:line="292" w:lineRule="auto"/>
        <w:tabs>
          <w:tab w:leader="none" w:pos="18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noncurrent portion of liabilities related to sale of future royalties on our consolidated balance sheets.</w:t>
      </w:r>
    </w:p>
    <w:p>
      <w:pPr>
        <w:spacing w:after="0" w:line="38"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Money market funds and certificates of deposit are categorized as Level 1 within the fair value hierarchy as their fair values are based on quoted prices available in active markets. Commercial paper, U.S. Treasury securities, municipal securities, government-sponsored enterprise securities and corporate notes are categorized as Level 2 within the fair value hierarchy as their fair values are estimated by using pricing models, quoted prices of securities with similar characteristics or discounted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471805</wp:posOffset>
            </wp:positionV>
            <wp:extent cx="5584190" cy="991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84190" cy="99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ectPr>
          <w:pgSz w:w="11900" w:h="16838" w:orient="portrait"/>
          <w:cols w:equalWidth="0" w:num="1">
            <w:col w:w="9019"/>
          </w:cols>
          <w:pgMar w:left="1440" w:top="115" w:right="1440"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There were no transfers between Level 1, Level 2, and Level 3 during the periods presented. There have</w:t>
      </w:r>
    </w:p>
    <w:p>
      <w:pPr>
        <w:sectPr>
          <w:pgSz w:w="11900" w:h="16838" w:orient="portrait"/>
          <w:cols w:equalWidth="0" w:num="1">
            <w:col w:w="9019"/>
          </w:cols>
          <w:pgMar w:left="1440" w:top="115" w:right="1440" w:bottom="0" w:gutter="0" w:footer="0" w:header="0"/>
          <w:type w:val="continuous"/>
        </w:sectPr>
      </w:pPr>
    </w:p>
    <w:bookmarkStart w:id="83" w:name="page84"/>
    <w:bookmarkEnd w:id="83"/>
    <w:p>
      <w:pPr>
        <w:ind w:left="960" w:right="1039"/>
        <w:spacing w:after="0" w:line="210" w:lineRule="auto"/>
        <w:rPr>
          <w:sz w:val="20"/>
          <w:szCs w:val="20"/>
          <w:color w:val="auto"/>
        </w:rPr>
      </w:pPr>
      <w:r>
        <w:rPr>
          <w:rFonts w:ascii="Times New Roman" w:cs="Times New Roman" w:eastAsia="Times New Roman" w:hAnsi="Times New Roman"/>
          <w:sz w:val="14"/>
          <w:szCs w:val="14"/>
          <w:color w:val="auto"/>
        </w:rPr>
        <w:t>been no impairments of our assets measured and carried at fair value as of December 31, 2025 and 2024. In addition, there have been no changes to our valuation techniques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-161925</wp:posOffset>
            </wp:positionV>
            <wp:extent cx="5584190" cy="62223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84190" cy="6222365"/>
                    </a:xfrm>
                    <a:prstGeom prst="rect">
                      <a:avLst/>
                    </a:prstGeom>
                    <a:noFill/>
                  </pic:spPr>
                </pic:pic>
              </a:graphicData>
            </a:graphic>
          </wp:anchor>
        </w:drawing>
      </w:r>
    </w:p>
    <w:p>
      <w:pPr>
        <w:spacing w:after="0" w:line="1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embedded derivatives are classified within Level 3 of the fair value hierarchy. See Note 10 on Debt.</w:t>
      </w:r>
    </w:p>
    <w:p>
      <w:pPr>
        <w:spacing w:after="0" w:line="183" w:lineRule="exact"/>
        <w:rPr>
          <w:sz w:val="20"/>
          <w:szCs w:val="20"/>
          <w:color w:val="auto"/>
        </w:rPr>
      </w:pPr>
    </w:p>
    <w:p>
      <w:pPr>
        <w:ind w:left="960" w:right="1079" w:firstLine="902"/>
        <w:spacing w:after="0" w:line="274" w:lineRule="auto"/>
        <w:rPr>
          <w:sz w:val="20"/>
          <w:szCs w:val="20"/>
          <w:color w:val="auto"/>
        </w:rPr>
      </w:pPr>
      <w:r>
        <w:rPr>
          <w:rFonts w:ascii="Times New Roman" w:cs="Times New Roman" w:eastAsia="Times New Roman" w:hAnsi="Times New Roman"/>
          <w:sz w:val="14"/>
          <w:szCs w:val="14"/>
          <w:color w:val="auto"/>
        </w:rPr>
        <w:t>We determined the fair value of the liability related to the sale of future royalties based on our current estimates of future royalties expected to be paid to Royalty Pharma over the life of the arrangement, which are considered Level 3. See Note 10 on Debt.</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6. PROPERTY AND EQUIPMENT</w:t>
      </w:r>
    </w:p>
    <w:p>
      <w:pPr>
        <w:spacing w:after="0" w:line="9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Property and equipment is recorded at historical cost, net of accumulated depreciation and is comprised of</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the following:</w:t>
      </w:r>
    </w:p>
    <w:p>
      <w:pPr>
        <w:spacing w:after="0" w:line="229" w:lineRule="exact"/>
        <w:rPr>
          <w:sz w:val="20"/>
          <w:szCs w:val="20"/>
          <w:color w:val="auto"/>
        </w:rPr>
      </w:pPr>
    </w:p>
    <w:tbl>
      <w:tblPr>
        <w:tblLayout w:type="fixed"/>
        <w:tblInd w:w="19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80" w:type="dxa"/>
            <w:vAlign w:val="bottom"/>
            <w:tcBorders>
              <w:bottom w:val="single" w:sz="8" w:color="auto"/>
            </w:tcBorders>
          </w:tcPr>
          <w:p>
            <w:pPr>
              <w:spacing w:after="0"/>
              <w:rPr>
                <w:sz w:val="12"/>
                <w:szCs w:val="12"/>
                <w:color w:val="auto"/>
              </w:rPr>
            </w:pPr>
          </w:p>
        </w:tc>
      </w:tr>
      <w:tr>
        <w:trPr>
          <w:trHeight w:val="158"/>
        </w:trPr>
        <w:tc>
          <w:tcPr>
            <w:tcW w:w="3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99"/>
        </w:trPr>
        <w:tc>
          <w:tcPr>
            <w:tcW w:w="3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Furniture and computer equipment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r>
      <w:tr>
        <w:trPr>
          <w:trHeight w:val="215"/>
        </w:trPr>
        <w:tc>
          <w:tcPr>
            <w:tcW w:w="31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color w:val="auto"/>
              </w:rPr>
              <w:t>Leasehold improvements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95"/>
        </w:trPr>
        <w:tc>
          <w:tcPr>
            <w:tcW w:w="3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w:t>
            </w:r>
          </w:p>
        </w:tc>
      </w:tr>
      <w:tr>
        <w:trPr>
          <w:trHeight w:val="215"/>
        </w:trPr>
        <w:tc>
          <w:tcPr>
            <w:tcW w:w="31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w:t>
            </w:r>
          </w:p>
        </w:tc>
      </w:tr>
      <w:tr>
        <w:trPr>
          <w:trHeight w:val="198"/>
        </w:trPr>
        <w:tc>
          <w:tcPr>
            <w:tcW w:w="3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1100" w:hanging="140"/>
        <w:spacing w:after="0"/>
        <w:tabs>
          <w:tab w:leader="none" w:pos="110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CONSOLIDATED FINANCIAL STATEMENT DETAILS</w:t>
      </w:r>
    </w:p>
    <w:p>
      <w:pPr>
        <w:spacing w:after="0" w:line="184" w:lineRule="exact"/>
        <w:rPr>
          <w:rFonts w:ascii="Times New Roman" w:cs="Times New Roman" w:eastAsia="Times New Roman" w:hAnsi="Times New Roman"/>
          <w:sz w:val="14"/>
          <w:szCs w:val="14"/>
          <w:b w:val="1"/>
          <w:bCs w:val="1"/>
          <w:color w:val="auto"/>
        </w:rPr>
      </w:pPr>
    </w:p>
    <w:p>
      <w:pPr>
        <w:ind w:left="18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Accrued liabilities consisted of the following:</w:t>
      </w:r>
    </w:p>
    <w:p>
      <w:pPr>
        <w:spacing w:after="0" w:line="242" w:lineRule="exact"/>
        <w:rPr>
          <w:sz w:val="20"/>
          <w:szCs w:val="20"/>
          <w:color w:val="auto"/>
        </w:rPr>
      </w:pPr>
    </w:p>
    <w:tbl>
      <w:tblPr>
        <w:tblLayout w:type="fixed"/>
        <w:tblInd w:w="194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3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3"/>
                <w:szCs w:val="13"/>
                <w:color w:val="auto"/>
              </w:rPr>
            </w:pPr>
          </w:p>
        </w:tc>
      </w:tr>
      <w:tr>
        <w:trPr>
          <w:trHeight w:val="199"/>
        </w:trPr>
        <w:tc>
          <w:tcPr>
            <w:tcW w:w="3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CRO and clinical trial costs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18,968</w:t>
            </w:r>
          </w:p>
        </w:tc>
        <w:tc>
          <w:tcPr>
            <w:tcW w:w="40" w:type="dxa"/>
            <w:vAlign w:val="bottom"/>
            <w:shd w:val="clear" w:color="auto" w:fill="CCEEFF"/>
          </w:tcPr>
          <w:p>
            <w:pPr>
              <w:spacing w:after="0"/>
              <w:rPr>
                <w:sz w:val="17"/>
                <w:szCs w:val="17"/>
                <w:color w:val="auto"/>
              </w:rPr>
            </w:pPr>
          </w:p>
        </w:tc>
      </w:tr>
      <w:tr>
        <w:trPr>
          <w:trHeight w:val="215"/>
        </w:trPr>
        <w:tc>
          <w:tcPr>
            <w:tcW w:w="3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Manufacturing activities</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11,839</w:t>
            </w:r>
          </w:p>
        </w:tc>
        <w:tc>
          <w:tcPr>
            <w:tcW w:w="40" w:type="dxa"/>
            <w:vAlign w:val="bottom"/>
          </w:tcPr>
          <w:p>
            <w:pPr>
              <w:spacing w:after="0"/>
              <w:rPr>
                <w:sz w:val="18"/>
                <w:szCs w:val="18"/>
                <w:color w:val="auto"/>
              </w:rPr>
            </w:pPr>
          </w:p>
        </w:tc>
      </w:tr>
      <w:tr>
        <w:trPr>
          <w:trHeight w:val="215"/>
        </w:trPr>
        <w:tc>
          <w:tcPr>
            <w:tcW w:w="3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Professional legal and accounting fees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40" w:type="dxa"/>
            <w:vAlign w:val="bottom"/>
            <w:shd w:val="clear" w:color="auto" w:fill="CCEEFF"/>
          </w:tcPr>
          <w:p>
            <w:pPr>
              <w:spacing w:after="0"/>
              <w:rPr>
                <w:sz w:val="18"/>
                <w:szCs w:val="18"/>
                <w:color w:val="auto"/>
              </w:rPr>
            </w:pPr>
          </w:p>
        </w:tc>
      </w:tr>
      <w:tr>
        <w:trPr>
          <w:trHeight w:val="215"/>
        </w:trPr>
        <w:tc>
          <w:tcPr>
            <w:tcW w:w="3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Interest payable</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40" w:type="dxa"/>
            <w:vAlign w:val="bottom"/>
          </w:tcPr>
          <w:p>
            <w:pPr>
              <w:spacing w:after="0"/>
              <w:rPr>
                <w:sz w:val="18"/>
                <w:szCs w:val="18"/>
                <w:color w:val="auto"/>
              </w:rPr>
            </w:pPr>
          </w:p>
        </w:tc>
      </w:tr>
      <w:tr>
        <w:trPr>
          <w:trHeight w:val="215"/>
        </w:trPr>
        <w:tc>
          <w:tcPr>
            <w:tcW w:w="3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Accrued revenue adjustments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40" w:type="dxa"/>
            <w:vAlign w:val="bottom"/>
            <w:shd w:val="clear" w:color="auto" w:fill="CCEEFF"/>
          </w:tcPr>
          <w:p>
            <w:pPr>
              <w:spacing w:after="0"/>
              <w:rPr>
                <w:sz w:val="18"/>
                <w:szCs w:val="18"/>
                <w:color w:val="auto"/>
              </w:rPr>
            </w:pPr>
          </w:p>
        </w:tc>
      </w:tr>
      <w:tr>
        <w:trPr>
          <w:trHeight w:val="215"/>
        </w:trPr>
        <w:tc>
          <w:tcPr>
            <w:tcW w:w="31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40" w:type="dxa"/>
            <w:vAlign w:val="bottom"/>
            <w:tcBorders>
              <w:bottom w:val="single" w:sz="8" w:color="CCEEFF"/>
            </w:tcBorders>
          </w:tcPr>
          <w:p>
            <w:pPr>
              <w:spacing w:after="0"/>
              <w:rPr>
                <w:sz w:val="18"/>
                <w:szCs w:val="18"/>
                <w:color w:val="auto"/>
              </w:rPr>
            </w:pPr>
          </w:p>
        </w:tc>
      </w:tr>
      <w:tr>
        <w:trPr>
          <w:trHeight w:val="198"/>
        </w:trPr>
        <w:tc>
          <w:tcPr>
            <w:tcW w:w="3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51,340</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35,549</w:t>
            </w:r>
          </w:p>
        </w:tc>
        <w:tc>
          <w:tcPr>
            <w:tcW w:w="40" w:type="dxa"/>
            <w:vAlign w:val="bottom"/>
            <w:tcBorders>
              <w:bottom w:val="single" w:sz="8" w:color="CCEEFF"/>
            </w:tcBorders>
            <w:shd w:val="clear" w:color="auto" w:fill="CCEEFF"/>
          </w:tcPr>
          <w:p>
            <w:pPr>
              <w:spacing w:after="0"/>
              <w:rPr>
                <w:sz w:val="16"/>
                <w:szCs w:val="16"/>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1933575</wp:posOffset>
            </wp:positionV>
            <wp:extent cx="5584190" cy="4231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84190" cy="423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Accrued compensation and benefits consisted of the following:</w:t>
      </w:r>
    </w:p>
    <w:p>
      <w:pPr>
        <w:spacing w:after="0" w:line="242" w:lineRule="exact"/>
        <w:rPr>
          <w:sz w:val="20"/>
          <w:szCs w:val="20"/>
          <w:color w:val="auto"/>
        </w:rPr>
      </w:pPr>
    </w:p>
    <w:tbl>
      <w:tblPr>
        <w:tblLayout w:type="fixed"/>
        <w:tblInd w:w="1860" w:type="dxa"/>
        <w:tblCellMar>
          <w:top w:w="0" w:type="dxa"/>
          <w:left w:w="0" w:type="dxa"/>
          <w:bottom w:w="0" w:type="dxa"/>
          <w:right w:w="0" w:type="dxa"/>
        </w:tblCellMar>
      </w:tblPr>
      <w:tr>
        <w:trPr>
          <w:trHeight w:val="148"/>
        </w:trPr>
        <w:tc>
          <w:tcPr>
            <w:tcW w:w="3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tcBorders>
              <w:bottom w:val="single" w:sz="8" w:color="auto"/>
            </w:tcBorders>
          </w:tcPr>
          <w:p>
            <w:pPr>
              <w:spacing w:after="0"/>
              <w:rPr>
                <w:sz w:val="12"/>
                <w:szCs w:val="12"/>
                <w:color w:val="auto"/>
              </w:rPr>
            </w:pPr>
          </w:p>
        </w:tc>
      </w:tr>
      <w:tr>
        <w:trPr>
          <w:trHeight w:val="158"/>
        </w:trPr>
        <w:tc>
          <w:tcPr>
            <w:tcW w:w="3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9"/>
        </w:trPr>
        <w:tc>
          <w:tcPr>
            <w:tcW w:w="3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Accrued bonuses</w:t>
            </w:r>
          </w:p>
        </w:tc>
        <w:tc>
          <w:tcPr>
            <w:tcW w:w="40" w:type="dxa"/>
            <w:vAlign w:val="bottom"/>
          </w:tcPr>
          <w:p>
            <w:pPr>
              <w:spacing w:after="0"/>
              <w:rPr>
                <w:sz w:val="17"/>
                <w:szCs w:val="17"/>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10,335</w:t>
            </w:r>
          </w:p>
        </w:tc>
        <w:tc>
          <w:tcPr>
            <w:tcW w:w="40" w:type="dxa"/>
            <w:vAlign w:val="bottom"/>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18,056</w:t>
            </w:r>
          </w:p>
        </w:tc>
      </w:tr>
      <w:tr>
        <w:trPr>
          <w:trHeight w:val="215"/>
        </w:trPr>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vacation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w:t>
            </w:r>
          </w:p>
        </w:tc>
      </w:tr>
      <w:tr>
        <w:trPr>
          <w:trHeight w:val="215"/>
        </w:trPr>
        <w:tc>
          <w:tcPr>
            <w:tcW w:w="3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Accrued 401K match</w:t>
            </w:r>
          </w:p>
        </w:tc>
        <w:tc>
          <w:tcPr>
            <w:tcW w:w="4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r>
      <w:tr>
        <w:trPr>
          <w:trHeight w:val="215"/>
        </w:trPr>
        <w:tc>
          <w:tcPr>
            <w:tcW w:w="3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restructuring charges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17,032</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3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Accrued other</w:t>
            </w:r>
          </w:p>
        </w:tc>
        <w:tc>
          <w:tcPr>
            <w:tcW w:w="4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4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73"/>
        </w:trPr>
        <w:tc>
          <w:tcPr>
            <w:tcW w:w="3300" w:type="dxa"/>
            <w:vAlign w:val="bottom"/>
          </w:tcPr>
          <w:p>
            <w:pPr>
              <w:spacing w:after="0"/>
              <w:rPr>
                <w:sz w:val="15"/>
                <w:szCs w:val="15"/>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30,497</w:t>
            </w:r>
          </w:p>
        </w:tc>
        <w:tc>
          <w:tcPr>
            <w:tcW w:w="4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22,808</w:t>
            </w: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960" w:right="5179"/>
        <w:spacing w:after="0" w:line="385" w:lineRule="auto"/>
        <w:tabs>
          <w:tab w:leader="none" w:pos="1103"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Legal Proceedings</w:t>
      </w:r>
    </w:p>
    <w:p>
      <w:pPr>
        <w:spacing w:after="0" w:line="1" w:lineRule="exact"/>
        <w:rPr>
          <w:sz w:val="20"/>
          <w:szCs w:val="20"/>
          <w:color w:val="auto"/>
        </w:rPr>
      </w:pPr>
    </w:p>
    <w:p>
      <w:pPr>
        <w:ind w:left="960" w:right="999" w:firstLine="902"/>
        <w:spacing w:after="0" w:line="258" w:lineRule="auto"/>
        <w:rPr>
          <w:sz w:val="20"/>
          <w:szCs w:val="20"/>
          <w:color w:val="auto"/>
        </w:rPr>
      </w:pPr>
      <w:r>
        <w:rPr>
          <w:rFonts w:ascii="Times New Roman" w:cs="Times New Roman" w:eastAsia="Times New Roman" w:hAnsi="Times New Roman"/>
          <w:sz w:val="14"/>
          <w:szCs w:val="14"/>
          <w:color w:val="auto"/>
        </w:rPr>
        <w:t xml:space="preserve">On March 13 and March 14, 2025, we and certain of our current and former officers were named as defendants in two putative securities class action lawsuits, each filed in the United States District Court for the Northern District of California, captioned </w:t>
      </w:r>
      <w:r>
        <w:rPr>
          <w:rFonts w:ascii="Times New Roman" w:cs="Times New Roman" w:eastAsia="Times New Roman" w:hAnsi="Times New Roman"/>
          <w:sz w:val="14"/>
          <w:szCs w:val="14"/>
          <w:i w:val="1"/>
          <w:iCs w:val="1"/>
          <w:color w:val="auto"/>
        </w:rPr>
        <w:t>Dabestani v. Geron Corporation, et al.</w:t>
      </w:r>
      <w:r>
        <w:rPr>
          <w:rFonts w:ascii="Times New Roman" w:cs="Times New Roman" w:eastAsia="Times New Roman" w:hAnsi="Times New Roman"/>
          <w:sz w:val="14"/>
          <w:szCs w:val="14"/>
          <w:color w:val="auto"/>
        </w:rPr>
        <w:t xml:space="preserve"> , No. 3:25-cv-02507 and </w:t>
      </w:r>
      <w:r>
        <w:rPr>
          <w:rFonts w:ascii="Times New Roman" w:cs="Times New Roman" w:eastAsia="Times New Roman" w:hAnsi="Times New Roman"/>
          <w:sz w:val="14"/>
          <w:szCs w:val="14"/>
          <w:i w:val="1"/>
          <w:iCs w:val="1"/>
          <w:color w:val="auto"/>
        </w:rPr>
        <w:t>Potvin v. Geron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Corporation, et al., </w:t>
      </w:r>
      <w:r>
        <w:rPr>
          <w:rFonts w:ascii="Times New Roman" w:cs="Times New Roman" w:eastAsia="Times New Roman" w:hAnsi="Times New Roman"/>
          <w:sz w:val="14"/>
          <w:szCs w:val="14"/>
          <w:color w:val="auto"/>
        </w:rPr>
        <w:t>No. 3:25-cv-02563, respectively. Both lawsuits allege violations of Sections 10(b) and 20(a)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Securities Exchange Act of 1934, as amended, or the Exchange Act,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w:t>
      </w:r>
      <w:r>
        <w:rPr>
          <w:rFonts w:ascii="Times New Roman" w:cs="Times New Roman" w:eastAsia="Times New Roman" w:hAnsi="Times New Roman"/>
          <w:sz w:val="14"/>
          <w:szCs w:val="14"/>
          <w:i w:val="1"/>
          <w:iCs w:val="1"/>
          <w:color w:val="auto"/>
        </w:rPr>
        <w:t>Dabestani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Potvin</w:t>
      </w:r>
      <w:r>
        <w:rPr>
          <w:rFonts w:ascii="Times New Roman" w:cs="Times New Roman" w:eastAsia="Times New Roman" w:hAnsi="Times New Roman"/>
          <w:sz w:val="14"/>
          <w:szCs w:val="14"/>
          <w:color w:val="auto"/>
        </w:rPr>
        <w:t xml:space="preserve"> cases into one consolidated action captioned </w:t>
      </w:r>
      <w:r>
        <w:rPr>
          <w:rFonts w:ascii="Times New Roman" w:cs="Times New Roman" w:eastAsia="Times New Roman" w:hAnsi="Times New Roman"/>
          <w:sz w:val="14"/>
          <w:szCs w:val="14"/>
          <w:i w:val="1"/>
          <w:iCs w:val="1"/>
          <w:color w:val="auto"/>
        </w:rPr>
        <w:t>In re Geron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Corporation Securities Litigation</w:t>
      </w:r>
      <w:r>
        <w:rPr>
          <w:rFonts w:ascii="Times New Roman" w:cs="Times New Roman" w:eastAsia="Times New Roman" w:hAnsi="Times New Roman"/>
          <w:sz w:val="14"/>
          <w:szCs w:val="14"/>
          <w:color w:val="auto"/>
        </w:rPr>
        <w:t>, or the Securities Class Action, and appointed lead plaintiffs and counsel for lead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plaintiffs. On August 8, 2025, lead plaintiffs filed a consolidated amended complaint. On October 7, 2025, we filed our</w:t>
      </w:r>
    </w:p>
    <w:p>
      <w:pPr>
        <w:sectPr>
          <w:pgSz w:w="11900" w:h="16838" w:orient="portrait"/>
          <w:cols w:equalWidth="0" w:num="1">
            <w:col w:w="9019"/>
          </w:cols>
          <w:pgMar w:left="1440" w:top="114" w:right="1440" w:bottom="0" w:gutter="0" w:footer="0" w:header="0"/>
        </w:sectPr>
      </w:pPr>
    </w:p>
    <w:bookmarkStart w:id="84" w:name="page85"/>
    <w:bookmarkEnd w:id="84"/>
    <w:p>
      <w:pPr>
        <w:ind w:left="960" w:right="1259"/>
        <w:spacing w:after="0" w:line="194" w:lineRule="auto"/>
        <w:rPr>
          <w:sz w:val="20"/>
          <w:szCs w:val="20"/>
          <w:color w:val="auto"/>
        </w:rPr>
      </w:pPr>
      <w:r>
        <w:rPr>
          <w:rFonts w:ascii="Times New Roman" w:cs="Times New Roman" w:eastAsia="Times New Roman" w:hAnsi="Times New Roman"/>
          <w:sz w:val="14"/>
          <w:szCs w:val="14"/>
          <w:color w:val="auto"/>
        </w:rPr>
        <w:t>motion to dismiss the consolidated amended complaint. A hearing on the motion to dismiss is scheduled for 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-147955</wp:posOffset>
            </wp:positionV>
            <wp:extent cx="5584190" cy="29832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84190" cy="2983230"/>
                    </a:xfrm>
                    <a:prstGeom prst="rect">
                      <a:avLst/>
                    </a:prstGeom>
                    <a:noFill/>
                  </pic:spPr>
                </pic:pic>
              </a:graphicData>
            </a:graphic>
          </wp:anchor>
        </w:drawing>
      </w:r>
    </w:p>
    <w:p>
      <w:pPr>
        <w:spacing w:after="0" w:line="139"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 xml:space="preserve">On April 15, 2025 and April 16, 2025, three purported stockholders filed derivative complaints, each in the United States District Court for the Northern District of California, captioned </w:t>
      </w:r>
      <w:r>
        <w:rPr>
          <w:rFonts w:ascii="Times New Roman" w:cs="Times New Roman" w:eastAsia="Times New Roman" w:hAnsi="Times New Roman"/>
          <w:sz w:val="14"/>
          <w:szCs w:val="14"/>
          <w:i w:val="1"/>
          <w:iCs w:val="1"/>
          <w:color w:val="auto"/>
        </w:rPr>
        <w:t>Bishop v. Scarlett, et al</w:t>
      </w:r>
      <w:r>
        <w:rPr>
          <w:rFonts w:ascii="Times New Roman" w:cs="Times New Roman" w:eastAsia="Times New Roman" w:hAnsi="Times New Roman"/>
          <w:sz w:val="14"/>
          <w:szCs w:val="14"/>
          <w:color w:val="auto"/>
        </w:rPr>
        <w:t xml:space="preserve">., No. 3:25-cv-03356, </w:t>
      </w:r>
      <w:r>
        <w:rPr>
          <w:rFonts w:ascii="Times New Roman" w:cs="Times New Roman" w:eastAsia="Times New Roman" w:hAnsi="Times New Roman"/>
          <w:sz w:val="14"/>
          <w:szCs w:val="14"/>
          <w:i w:val="1"/>
          <w:iCs w:val="1"/>
          <w:color w:val="auto"/>
        </w:rPr>
        <w:t>Lerner v. Scarlett, et al.</w:t>
      </w:r>
      <w:r>
        <w:rPr>
          <w:rFonts w:ascii="Times New Roman" w:cs="Times New Roman" w:eastAsia="Times New Roman" w:hAnsi="Times New Roman"/>
          <w:sz w:val="14"/>
          <w:szCs w:val="14"/>
          <w:color w:val="auto"/>
        </w:rPr>
        <w:t>, No. 3:25-cv-03401, and</w:t>
      </w:r>
      <w:r>
        <w:rPr>
          <w:rFonts w:ascii="Times New Roman" w:cs="Times New Roman" w:eastAsia="Times New Roman" w:hAnsi="Times New Roman"/>
          <w:sz w:val="14"/>
          <w:szCs w:val="14"/>
          <w:i w:val="1"/>
          <w:iCs w:val="1"/>
          <w:color w:val="auto"/>
        </w:rPr>
        <w:t xml:space="preserve"> Willis v. Scarlett, et al </w:t>
      </w:r>
      <w:r>
        <w:rPr>
          <w:rFonts w:ascii="Times New Roman" w:cs="Times New Roman" w:eastAsia="Times New Roman" w:hAnsi="Times New Roman"/>
          <w:sz w:val="14"/>
          <w:szCs w:val="14"/>
          <w:color w:val="auto"/>
        </w:rPr>
        <w:t>., No: 3:25-cv-03396, respectively. The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derivative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two aforementioned securities class action lawsuits, which these lawsuits are premised on. Each of the three plaintiffs seek damages and interest, and an award of reasonable costs, including attorneys' and experts' fees. The plaintiffs in Bishop v. Scarlett, et al. and Willis v. Scarlett, et al. also seek punitive damages. On May 16, 2025, the Court consolidated the three derivative complaints into one consolidated action captioned </w:t>
      </w:r>
      <w:r>
        <w:rPr>
          <w:rFonts w:ascii="Times New Roman" w:cs="Times New Roman" w:eastAsia="Times New Roman" w:hAnsi="Times New Roman"/>
          <w:sz w:val="14"/>
          <w:szCs w:val="14"/>
          <w:i w:val="1"/>
          <w:iCs w:val="1"/>
          <w:color w:val="auto"/>
        </w:rPr>
        <w:t>In re Geron Corporation Derivative Litigation</w:t>
      </w:r>
      <w:r>
        <w:rPr>
          <w:rFonts w:ascii="Times New Roman" w:cs="Times New Roman" w:eastAsia="Times New Roman" w:hAnsi="Times New Roman"/>
          <w:sz w:val="14"/>
          <w:szCs w:val="14"/>
          <w:color w:val="auto"/>
        </w:rPr>
        <w:t>, or the Consolidated Derivative Action. On June 17, 2025, the Court stayed the Consolidated Derivative Action pending a final ruling on the anticipated motion to dismiss in the Securities Class Action.</w:t>
      </w:r>
    </w:p>
    <w:p>
      <w:pPr>
        <w:spacing w:after="0" w:line="149"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On August 29, 2025, a purported stockholder made a demand on our board of directors to commence a civil action against certain of our current and former directors for breaching their fiduciary duties and violating the securities laws by issuing allegedly false and misleading statements concerning the commercial potential of RYTELO. On September 19, 2025, the board of directors responded that it would defer a final decision on the demand given the other pending derivative lawsuits and the Securities Class Action. On October 7, 2025, the purported stockholder filed a suit in the United States District Court for the Northern District of California, captioned Jae Hyung v. Bir, et al., No. 3:25-cv-08575. The derivative lawsuit names certain of our current and former directors and officers. The allegations in the derivative lawsuit are substantially similar to the Securities Class Action and the aforementioned derivative lawsuits.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487680</wp:posOffset>
            </wp:positionV>
            <wp:extent cx="5584190" cy="72205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jc w:val="both"/>
        <w:ind w:left="960" w:right="1419"/>
        <w:spacing w:after="0" w:line="274" w:lineRule="auto"/>
        <w:rPr>
          <w:sz w:val="20"/>
          <w:szCs w:val="20"/>
          <w:color w:val="auto"/>
        </w:rPr>
      </w:pPr>
      <w:r>
        <w:rPr>
          <w:rFonts w:ascii="Times New Roman" w:cs="Times New Roman" w:eastAsia="Times New Roman" w:hAnsi="Times New Roman"/>
          <w:sz w:val="14"/>
          <w:szCs w:val="14"/>
          <w:color w:val="auto"/>
        </w:rPr>
        <w:t>plaintiffs seek damages and an award of reasonable costs, including attorneys’ and experts’ fees. On January 23 and February 19, 2026, respectively, two additional purported stockholders each made a similar demand on our board of directors.</w:t>
      </w:r>
    </w:p>
    <w:p>
      <w:pPr>
        <w:spacing w:after="0" w:line="136" w:lineRule="exact"/>
        <w:rPr>
          <w:sz w:val="20"/>
          <w:szCs w:val="20"/>
          <w:color w:val="auto"/>
        </w:rPr>
      </w:pPr>
    </w:p>
    <w:p>
      <w:pPr>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It is possible that additional lawsuits will be filed or allegations made by stockholders with respect to these same or other matters and also naming us and/or our officers and directors as defendants. We intend to vigorously defend against the claims brought by the plaintiffs in these matters.</w:t>
      </w:r>
    </w:p>
    <w:p>
      <w:pPr>
        <w:spacing w:after="0" w:line="136" w:lineRule="exact"/>
        <w:rPr>
          <w:sz w:val="20"/>
          <w:szCs w:val="20"/>
          <w:color w:val="auto"/>
        </w:rPr>
      </w:pPr>
    </w:p>
    <w:p>
      <w:pPr>
        <w:ind w:left="960" w:right="979" w:firstLine="902"/>
        <w:spacing w:after="0" w:line="259" w:lineRule="auto"/>
        <w:rPr>
          <w:sz w:val="20"/>
          <w:szCs w:val="20"/>
          <w:color w:val="auto"/>
        </w:rPr>
      </w:pPr>
      <w:r>
        <w:rPr>
          <w:rFonts w:ascii="Times New Roman" w:cs="Times New Roman" w:eastAsia="Times New Roman" w:hAnsi="Times New Roman"/>
          <w:sz w:val="14"/>
          <w:szCs w:val="14"/>
          <w:color w:val="auto"/>
        </w:rPr>
        <w:t>Such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defending against the pending lawsuits and any other related lawsuits, and we may not prevail. Monitoring, initiating and defending against legal actions is time-consuming for our management, is likely to be expensive, and may detract from our ability to fully focus our internal resources on our business activities. Additionally, we may not be successful in having any such lawsuits dismissed or settled within the limits of our insurance coverage. Given the early stage of these lawsuits and the inherent uncertainly of litigation, we cannot predict how long it may take to resolve the pending lawsuits or the potential outcome or possible amount of any damages. As such, we currently are unable to reasonably estimate the possible losses or a range of possible losses that may result from these matters, if any. Expenses associated with the pending lawsuits and any potential related lawsuits could be material to our consolidated financial statements if we do not prevail in the defense of such lawsuits, or even if we do prevail.</w:t>
      </w:r>
    </w:p>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Indemnifications to Officers and Directors</w:t>
      </w:r>
    </w:p>
    <w:p>
      <w:pPr>
        <w:spacing w:after="0" w:line="99"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Severance Plan</w:t>
      </w:r>
    </w:p>
    <w:p>
      <w:pPr>
        <w:spacing w:after="0" w:line="99" w:lineRule="exact"/>
        <w:rPr>
          <w:sz w:val="20"/>
          <w:szCs w:val="20"/>
          <w:color w:val="auto"/>
        </w:rPr>
      </w:pPr>
    </w:p>
    <w:p>
      <w:pPr>
        <w:ind w:left="960" w:right="999" w:firstLine="902"/>
        <w:spacing w:after="0" w:line="173" w:lineRule="exact"/>
        <w:rPr>
          <w:sz w:val="20"/>
          <w:szCs w:val="20"/>
          <w:color w:val="auto"/>
        </w:rPr>
      </w:pPr>
      <w:r>
        <w:rPr>
          <w:rFonts w:ascii="Times New Roman" w:cs="Times New Roman" w:eastAsia="Times New Roman" w:hAnsi="Times New Roman"/>
          <w:sz w:val="14"/>
          <w:szCs w:val="14"/>
          <w:color w:val="auto"/>
        </w:rPr>
        <w:t>We have adopted two severance plans that apply to all of our employees who are not subject to performance improvement plans, one plan covering employees above the Senior Vice President level, i.e., executives, and all other employees hired on or before December 31, 2021,, and the other plan covering all non-executive employees hired on or after January 1, 2022. The severance plans provide for, among other benefits: (i) a severance payment upon a Change of Control Triggering Event and Separation from Service and (ii) a severance payment for each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executive employee upon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Change of Control Triggering Event and Separation from Service. As defined in the severance plans, a Change of Control Triggering Event and Separation from Service requires a “double trigger” where: (i) an employee is terminated by us without cause in connection with a change of control or within 12 months following a change of control provided, however, that if an employee is terminated by us in connection with a change of control but immediately accepts employment with our successor or acquirer, the employee will not be eligible for the benefits outlined in the plans, (ii) an employee resigns because in connection with a change of control, the offered terms of employment (new or continuing) by us or our successor or acquirer within 30 days after the change of control results in a material change in the terms of employment, or (iii) after accepting (or continuing) employment with us after a change of control, an employee resigns within 12 months following a change of control due to a material change in the terms of employment. Under the severance plans,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Change of Control Triggering Event and Separation from Service is defined as an event where an employee is terminated by us without cause. Severance payments range from three to 18 months of base salary in connection with a Change of Control Triggering Event or from six weeks to 12 months of base salary in connection with a Non-Change of Control Triggering Event, as well as a pro-rata portion of the employee’s annual target bonus, depending on the employee’s position with us, payable in a lump sum payment, and monthly COBRA payments for the severance period. The severance plans also provide that they shall not supersede the provisions of any individual employment agreements entered into between us and our employees, and that the employees with such agreements will be entitled to whichever benefits are greater under the severance plan or their employment agreement. A copy of the severance plan covering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502920</wp:posOffset>
            </wp:positionV>
            <wp:extent cx="5584190" cy="1873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84190" cy="187325"/>
                    </a:xfrm>
                    <a:prstGeom prst="rect">
                      <a:avLst/>
                    </a:prstGeom>
                    <a:noFill/>
                  </pic:spPr>
                </pic:pic>
              </a:graphicData>
            </a:graphic>
          </wp:anchor>
        </w:drawing>
      </w:r>
    </w:p>
    <w:p>
      <w:pPr>
        <w:sectPr>
          <w:pgSz w:w="11900" w:h="16838" w:orient="portrait"/>
          <w:cols w:equalWidth="0" w:num="1">
            <w:col w:w="9019"/>
          </w:cols>
          <w:pgMar w:left="1440" w:top="114" w:right="1440" w:bottom="661" w:gutter="0" w:footer="0" w:header="0"/>
        </w:sectPr>
      </w:pPr>
    </w:p>
    <w:bookmarkStart w:id="85" w:name="page86"/>
    <w:bookmarkEnd w:id="85"/>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7026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84190" cy="702691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1159"/>
        <w:spacing w:after="0" w:line="274" w:lineRule="auto"/>
        <w:rPr>
          <w:sz w:val="20"/>
          <w:szCs w:val="20"/>
          <w:color w:val="auto"/>
        </w:rPr>
      </w:pPr>
      <w:r>
        <w:rPr>
          <w:rFonts w:ascii="Times New Roman" w:cs="Times New Roman" w:eastAsia="Times New Roman" w:hAnsi="Times New Roman"/>
          <w:sz w:val="14"/>
          <w:szCs w:val="14"/>
          <w:color w:val="auto"/>
        </w:rPr>
        <w:t>executive officers is filed as an exhibit to this Report. As of December 31, 2025, all our executive officers have employment agreements with severance provisions and will receive the greater severance benefits of their agreements or those in the severance plan applicable to them.</w:t>
      </w:r>
    </w:p>
    <w:p>
      <w:pPr>
        <w:spacing w:after="0" w:line="136" w:lineRule="exact"/>
        <w:rPr>
          <w:sz w:val="20"/>
          <w:szCs w:val="20"/>
          <w:color w:val="auto"/>
        </w:rPr>
      </w:pPr>
    </w:p>
    <w:p>
      <w:pPr>
        <w:ind w:left="960" w:right="1579" w:firstLine="516"/>
        <w:spacing w:after="0" w:line="276" w:lineRule="auto"/>
        <w:rPr>
          <w:sz w:val="20"/>
          <w:szCs w:val="20"/>
          <w:color w:val="auto"/>
        </w:rPr>
      </w:pPr>
      <w:r>
        <w:rPr>
          <w:rFonts w:ascii="Times New Roman" w:cs="Times New Roman" w:eastAsia="Times New Roman" w:hAnsi="Times New Roman"/>
          <w:sz w:val="14"/>
          <w:szCs w:val="14"/>
          <w:color w:val="auto"/>
        </w:rPr>
        <w:t xml:space="preserve">In December 2025, we implemented a workforce reduction, representing approximately one-third of our workforce prior to the reduction in headcount. </w:t>
      </w:r>
      <w:r>
        <w:rPr>
          <w:rFonts w:ascii="Times New Roman" w:cs="Times New Roman" w:eastAsia="Times New Roman" w:hAnsi="Times New Roman"/>
          <w:sz w:val="14"/>
          <w:szCs w:val="14"/>
          <w:color w:val="auto"/>
          <w:highlight w:val="white"/>
        </w:rPr>
        <w:t>See Note 16 on Restructuring for additional information.</w:t>
      </w:r>
    </w:p>
    <w:p>
      <w:pPr>
        <w:spacing w:after="0" w:line="2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Purchase Commitments</w:t>
      </w:r>
    </w:p>
    <w:p>
      <w:pPr>
        <w:spacing w:after="0" w:line="153" w:lineRule="exact"/>
        <w:rPr>
          <w:sz w:val="20"/>
          <w:szCs w:val="20"/>
          <w:color w:val="auto"/>
        </w:rPr>
      </w:pPr>
    </w:p>
    <w:p>
      <w:pPr>
        <w:ind w:left="960" w:right="979" w:firstLine="902"/>
        <w:spacing w:after="0" w:line="180" w:lineRule="exact"/>
        <w:rPr>
          <w:sz w:val="20"/>
          <w:szCs w:val="20"/>
          <w:color w:val="auto"/>
        </w:rPr>
      </w:pPr>
      <w:r>
        <w:rPr>
          <w:rFonts w:ascii="Times New Roman" w:cs="Times New Roman" w:eastAsia="Times New Roman" w:hAnsi="Times New Roman"/>
          <w:sz w:val="14"/>
          <w:szCs w:val="14"/>
          <w:color w:val="auto"/>
        </w:rPr>
        <w:t>We have engaged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contract manufacturers to manufacture and supply additional quantities of RYTELO that meet applicable regulatory standards for current and potential future clinical trials and commercial uses. Related to those contract manufacturing agreements, we have binding commercial purchase commitments of approximately $16.7 million that can be cancelled, but would incur cancellation penalties, and approximately $43.3 million in agreed upon manufacturing commitments that can be adjusted based on commercial demand of RYTELO. We expect to utilize all related commercial purchase commitments.</w:t>
      </w:r>
    </w:p>
    <w:p>
      <w:pPr>
        <w:spacing w:after="0" w:line="160"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30" w:lineRule="exact"/>
        <w:rPr>
          <w:sz w:val="20"/>
          <w:szCs w:val="20"/>
          <w:color w:val="auto"/>
        </w:rPr>
      </w:pPr>
    </w:p>
    <w:p>
      <w:pPr>
        <w:ind w:left="960" w:right="6179"/>
        <w:spacing w:after="0" w:line="385" w:lineRule="auto"/>
        <w:tabs>
          <w:tab w:leader="none" w:pos="1103"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LEASES New Jersey Office Space Lease</w:t>
      </w:r>
    </w:p>
    <w:p>
      <w:pPr>
        <w:spacing w:after="0" w:line="1" w:lineRule="exact"/>
        <w:rPr>
          <w:sz w:val="20"/>
          <w:szCs w:val="20"/>
          <w:color w:val="auto"/>
        </w:rPr>
      </w:pPr>
    </w:p>
    <w:p>
      <w:pPr>
        <w:ind w:left="960" w:right="999" w:firstLine="902"/>
        <w:spacing w:after="0" w:line="259" w:lineRule="auto"/>
        <w:rPr>
          <w:sz w:val="20"/>
          <w:szCs w:val="20"/>
          <w:color w:val="auto"/>
        </w:rPr>
      </w:pPr>
      <w:r>
        <w:rPr>
          <w:rFonts w:ascii="Times New Roman" w:cs="Times New Roman" w:eastAsia="Times New Roman" w:hAnsi="Times New Roman"/>
          <w:sz w:val="14"/>
          <w:szCs w:val="14"/>
          <w:color w:val="auto"/>
        </w:rPr>
        <w:t>In April 2019, we entered into an operating lease agreement for office space located at 3 Sylvan Way, Parsippany, New Jersey, or the New Jersey Lease. The initial term of the New Jersey Lease is 11 years with an option to extend for an additional five years and a one-time option to terminate the New Jersey Lease without cause as of the 103rd month anniversary of the commencement date of the lease. The New Jersey Lease commenced on October 1, 2019, upon our control of the office space on that date. Based on the initial term of the New Jersey Lease of 11 years, the right-of-use asset and corresponding operating lease liability was approximately $2.4 million, which represented the present value of lease payments over the initial lease term, net of a seven-month rent abatement period, using an incremental borrowing rate of 8% based on information available as of October 1, 2019. As of December 31, 2025, the New Jersey Lease makes up $1.3 million of our total right-of-use asset balance. Under the New Jersey Lease, we are also obligated to pay certain variable expenses separately from the base rent, including electricity and common area maintenance. Such costs are being expensed in the period they are incurred.</w:t>
      </w:r>
    </w:p>
    <w:p>
      <w:pPr>
        <w:spacing w:after="0" w:line="2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California Office Space Lease</w:t>
      </w:r>
    </w:p>
    <w:p>
      <w:pPr>
        <w:spacing w:after="0" w:line="99" w:lineRule="exact"/>
        <w:rPr>
          <w:sz w:val="20"/>
          <w:szCs w:val="20"/>
          <w:color w:val="auto"/>
        </w:rPr>
      </w:pPr>
    </w:p>
    <w:p>
      <w:pPr>
        <w:ind w:left="960" w:right="1419" w:firstLine="902"/>
        <w:spacing w:after="0" w:line="274" w:lineRule="auto"/>
        <w:rPr>
          <w:sz w:val="20"/>
          <w:szCs w:val="20"/>
          <w:color w:val="auto"/>
        </w:rPr>
      </w:pPr>
      <w:r>
        <w:rPr>
          <w:rFonts w:ascii="Times New Roman" w:cs="Times New Roman" w:eastAsia="Times New Roman" w:hAnsi="Times New Roman"/>
          <w:sz w:val="14"/>
          <w:szCs w:val="14"/>
          <w:color w:val="auto"/>
        </w:rPr>
        <w:t>In October 2019, we entered into an operating lease agreement for office space located at 919 East Hillsdale Boulevard, Foster City, California, or the Foster City Lease. The initial term of the Foster City Lease is 87 months with an option to extend for an additional five years.</w:t>
      </w:r>
    </w:p>
    <w:p>
      <w:pPr>
        <w:spacing w:after="0" w:line="136" w:lineRule="exact"/>
        <w:rPr>
          <w:sz w:val="20"/>
          <w:szCs w:val="20"/>
          <w:color w:val="auto"/>
        </w:rPr>
      </w:pPr>
    </w:p>
    <w:p>
      <w:pPr>
        <w:ind w:left="960" w:right="1059" w:firstLine="902"/>
        <w:spacing w:after="0" w:line="261" w:lineRule="auto"/>
        <w:rPr>
          <w:sz w:val="20"/>
          <w:szCs w:val="20"/>
          <w:color w:val="auto"/>
        </w:rPr>
      </w:pPr>
      <w:r>
        <w:rPr>
          <w:rFonts w:ascii="Times New Roman" w:cs="Times New Roman" w:eastAsia="Times New Roman" w:hAnsi="Times New Roman"/>
          <w:sz w:val="14"/>
          <w:szCs w:val="14"/>
          <w:color w:val="auto"/>
        </w:rPr>
        <w:t>The Foster City Lease commenced on March 10, 2020, upon the substantial completion of all tenant improvements. As of the lease commencement date, the right-of-use asset and corresponding operating lease liability was approximately $3.4 million, which represented the present value of remaining lease payments using an incremental borrowing rate of 7% over the initial lease term of 87 months, net of a three-month rent abatement period. As of December 31, 2025, the Foster City Lease makes up $0.9 million of our total right-of-use asset balance. Under the Foster City Lease, we are also obligated to pay certain variable expenses separately from the base rent, including taxes and common area maintenance. Such costs are considered non-lease components and have been excluded from the calculation of the right-of-use asset and corresponding operating lease liability and are being expensed in the period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617220</wp:posOffset>
            </wp:positionV>
            <wp:extent cx="5584190" cy="34264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84190" cy="342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999" w:firstLine="902"/>
        <w:spacing w:after="0" w:line="292" w:lineRule="auto"/>
        <w:rPr>
          <w:sz w:val="20"/>
          <w:szCs w:val="20"/>
          <w:color w:val="auto"/>
        </w:rPr>
      </w:pPr>
      <w:r>
        <w:rPr>
          <w:rFonts w:ascii="Times New Roman" w:cs="Times New Roman" w:eastAsia="Times New Roman" w:hAnsi="Times New Roman"/>
          <w:sz w:val="14"/>
          <w:szCs w:val="14"/>
          <w:color w:val="auto"/>
        </w:rPr>
        <w:t>The components of lease costs included in selling, general and administrative expenses on our consolidated statements of operations for the New Jersey Lease, and the Foster City Lease were as follows:</w:t>
      </w:r>
    </w:p>
    <w:p>
      <w:pPr>
        <w:spacing w:after="0" w:line="184" w:lineRule="exact"/>
        <w:rPr>
          <w:sz w:val="20"/>
          <w:szCs w:val="20"/>
          <w:color w:val="auto"/>
        </w:rPr>
      </w:pPr>
    </w:p>
    <w:tbl>
      <w:tblPr>
        <w:tblLayout w:type="fixed"/>
        <w:tblInd w:w="2180" w:type="dxa"/>
        <w:tblCellMar>
          <w:top w:w="0" w:type="dxa"/>
          <w:left w:w="0" w:type="dxa"/>
          <w:bottom w:w="0" w:type="dxa"/>
          <w:right w:w="0" w:type="dxa"/>
        </w:tblCellMar>
      </w:tblP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3"/>
                <w:szCs w:val="13"/>
                <w:color w:val="auto"/>
              </w:rPr>
            </w:pPr>
          </w:p>
        </w:tc>
      </w:tr>
      <w:tr>
        <w:trPr>
          <w:trHeight w:val="199"/>
        </w:trPr>
        <w:tc>
          <w:tcPr>
            <w:tcW w:w="1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lease costs</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40" w:type="dxa"/>
            <w:vAlign w:val="bottom"/>
            <w:shd w:val="clear" w:color="auto" w:fill="CCEEFF"/>
          </w:tcPr>
          <w:p>
            <w:pPr>
              <w:spacing w:after="0"/>
              <w:rPr>
                <w:sz w:val="17"/>
                <w:szCs w:val="17"/>
                <w:color w:val="auto"/>
              </w:rPr>
            </w:pPr>
          </w:p>
        </w:tc>
      </w:tr>
      <w:tr>
        <w:trPr>
          <w:trHeight w:val="215"/>
        </w:trPr>
        <w:tc>
          <w:tcPr>
            <w:tcW w:w="15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Variable lease costs</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40" w:type="dxa"/>
            <w:vAlign w:val="bottom"/>
            <w:tcBorders>
              <w:bottom w:val="single" w:sz="8" w:color="CCEEFF"/>
            </w:tcBorders>
          </w:tcPr>
          <w:p>
            <w:pPr>
              <w:spacing w:after="0"/>
              <w:rPr>
                <w:sz w:val="18"/>
                <w:szCs w:val="18"/>
                <w:color w:val="auto"/>
              </w:rPr>
            </w:pPr>
          </w:p>
        </w:tc>
      </w:tr>
      <w:tr>
        <w:trPr>
          <w:trHeight w:val="198"/>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costs</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40" w:type="dxa"/>
            <w:vAlign w:val="bottom"/>
            <w:tcBorders>
              <w:bottom w:val="single" w:sz="8" w:color="CCEEFF"/>
            </w:tcBorders>
            <w:shd w:val="clear" w:color="auto" w:fill="CCEEFF"/>
          </w:tcPr>
          <w:p>
            <w:pPr>
              <w:spacing w:after="0"/>
              <w:rPr>
                <w:sz w:val="16"/>
                <w:szCs w:val="16"/>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ind w:left="960" w:right="1139" w:firstLine="902"/>
        <w:spacing w:after="0" w:line="292" w:lineRule="auto"/>
        <w:rPr>
          <w:sz w:val="20"/>
          <w:szCs w:val="20"/>
          <w:color w:val="auto"/>
        </w:rPr>
      </w:pPr>
      <w:r>
        <w:rPr>
          <w:rFonts w:ascii="Times New Roman" w:cs="Times New Roman" w:eastAsia="Times New Roman" w:hAnsi="Times New Roman"/>
          <w:sz w:val="14"/>
          <w:szCs w:val="14"/>
          <w:color w:val="auto"/>
        </w:rPr>
        <w:t>The undiscounted future non-cancellable lease payments under the New Jersey Lease and the Foster City Lease as of December 31, 2025 were as follows (in thousands):</w:t>
      </w:r>
    </w:p>
    <w:p>
      <w:pPr>
        <w:spacing w:after="0" w:line="149" w:lineRule="exact"/>
        <w:rPr>
          <w:sz w:val="20"/>
          <w:szCs w:val="20"/>
          <w:color w:val="auto"/>
        </w:rPr>
      </w:pPr>
    </w:p>
    <w:tbl>
      <w:tblPr>
        <w:tblLayout w:type="fixed"/>
        <w:tblInd w:w="2960" w:type="dxa"/>
        <w:tblCellMar>
          <w:top w:w="0" w:type="dxa"/>
          <w:left w:w="0" w:type="dxa"/>
          <w:bottom w:w="0" w:type="dxa"/>
          <w:right w:w="0" w:type="dxa"/>
        </w:tblCellMar>
      </w:tblPr>
      <w:tr>
        <w:trPr>
          <w:trHeight w:val="215"/>
        </w:trPr>
        <w:tc>
          <w:tcPr>
            <w:tcW w:w="2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r>
      <w:tr>
        <w:trPr>
          <w:trHeight w:val="215"/>
        </w:trPr>
        <w:tc>
          <w:tcPr>
            <w:tcW w:w="2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2027</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r>
      <w:tr>
        <w:trPr>
          <w:trHeight w:val="215"/>
        </w:trPr>
        <w:tc>
          <w:tcPr>
            <w:tcW w:w="2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2028</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r>
      <w:tr>
        <w:trPr>
          <w:trHeight w:val="215"/>
        </w:trPr>
        <w:tc>
          <w:tcPr>
            <w:tcW w:w="2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2029</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215"/>
        </w:trPr>
        <w:tc>
          <w:tcPr>
            <w:tcW w:w="2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2030</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15"/>
        </w:trPr>
        <w:tc>
          <w:tcPr>
            <w:tcW w:w="2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Thereafter</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lease payments</w:t>
            </w: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r>
      <w:tr>
        <w:trPr>
          <w:trHeight w:val="215"/>
        </w:trPr>
        <w:tc>
          <w:tcPr>
            <w:tcW w:w="2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Less: imputed interest</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98"/>
        </w:trPr>
        <w:tc>
          <w:tcPr>
            <w:tcW w:w="2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114" w:right="1440" w:bottom="0" w:gutter="0" w:footer="0" w:header="0"/>
        </w:sectPr>
      </w:pPr>
    </w:p>
    <w:bookmarkStart w:id="86" w:name="page87"/>
    <w:bookmarkEnd w:id="86"/>
    <w:p>
      <w:pPr>
        <w:ind w:left="960" w:right="1179" w:firstLine="902"/>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37877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84190" cy="3787775"/>
                    </a:xfrm>
                    <a:prstGeom prst="rect">
                      <a:avLst/>
                    </a:prstGeom>
                    <a:noFill/>
                  </pic:spPr>
                </pic:pic>
              </a:graphicData>
            </a:graphic>
          </wp:anchor>
        </w:drawing>
        <w:t>As of December 31, 2025, the weighted average remaining lease term in years and the weighted average discount rate under the New Jersey Lease and the Foster City Lease were 3.5 years and 5.1%, respectively.</w:t>
      </w:r>
    </w:p>
    <w:p>
      <w:pPr>
        <w:spacing w:after="0" w:line="20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Hercules Loan Agreement</w:t>
      </w:r>
    </w:p>
    <w:p>
      <w:pPr>
        <w:spacing w:after="0" w:line="99" w:lineRule="exact"/>
        <w:rPr>
          <w:sz w:val="20"/>
          <w:szCs w:val="20"/>
          <w:color w:val="auto"/>
        </w:rPr>
      </w:pPr>
    </w:p>
    <w:p>
      <w:pPr>
        <w:ind w:left="960" w:right="1039" w:firstLine="902"/>
        <w:spacing w:after="0" w:line="263" w:lineRule="auto"/>
        <w:rPr>
          <w:sz w:val="20"/>
          <w:szCs w:val="20"/>
          <w:color w:val="auto"/>
        </w:rPr>
      </w:pPr>
      <w:r>
        <w:rPr>
          <w:rFonts w:ascii="Times New Roman" w:cs="Times New Roman" w:eastAsia="Times New Roman" w:hAnsi="Times New Roman"/>
          <w:sz w:val="14"/>
          <w:szCs w:val="14"/>
          <w:color w:val="auto"/>
        </w:rPr>
        <w:t>On September 30, 2020, we, Hercules Capital, Inc., or Hercules, and Silicon Valley Bank, or SVB, entered into a term loan facility, or the Term Loan, for up to $75.0 million, which was amended in August 2021, or the Original Loan Agreement. On June 30, 2022, we entered into a second amendment to the Original Loan Agreement. Under the second amendment, the aggregate principal amount available to us increased from $75.0 million to $125.0 million, with such principal being available in a series of tranches, subject to certain terms and conditions. Over the course of the Term Loan, we had drawn down a total of $80.0 million.</w:t>
      </w:r>
    </w:p>
    <w:p>
      <w:pPr>
        <w:spacing w:after="0" w:line="144" w:lineRule="exact"/>
        <w:rPr>
          <w:sz w:val="20"/>
          <w:szCs w:val="20"/>
          <w:color w:val="auto"/>
        </w:rPr>
      </w:pPr>
    </w:p>
    <w:p>
      <w:pPr>
        <w:jc w:val="both"/>
        <w:ind w:left="960" w:right="1059" w:firstLine="902"/>
        <w:spacing w:after="0" w:line="274" w:lineRule="auto"/>
        <w:rPr>
          <w:sz w:val="20"/>
          <w:szCs w:val="20"/>
          <w:color w:val="auto"/>
        </w:rPr>
      </w:pPr>
      <w:r>
        <w:rPr>
          <w:rFonts w:ascii="Times New Roman" w:cs="Times New Roman" w:eastAsia="Times New Roman" w:hAnsi="Times New Roman"/>
          <w:sz w:val="14"/>
          <w:szCs w:val="14"/>
          <w:color w:val="auto"/>
        </w:rPr>
        <w:t>All obligations outstanding under the Hercules Loan Agreement, amounting to $86.5 million, were repaid in full on November 1, 2024, upon which the Hercules Loan Agreement was terminated and all liens on our assets granted in connection with the Hercules Loan Agreement were released.</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Pharmakon Loan Agreement</w:t>
      </w:r>
    </w:p>
    <w:p>
      <w:pPr>
        <w:spacing w:after="0" w:line="99" w:lineRule="exact"/>
        <w:rPr>
          <w:sz w:val="20"/>
          <w:szCs w:val="20"/>
          <w:color w:val="auto"/>
        </w:rPr>
      </w:pPr>
    </w:p>
    <w:p>
      <w:pPr>
        <w:ind w:left="960" w:right="1039" w:firstLine="902"/>
        <w:spacing w:after="0" w:line="260" w:lineRule="auto"/>
        <w:rPr>
          <w:sz w:val="20"/>
          <w:szCs w:val="20"/>
          <w:color w:val="auto"/>
        </w:rPr>
      </w:pPr>
      <w:r>
        <w:rPr>
          <w:rFonts w:ascii="Times New Roman" w:cs="Times New Roman" w:eastAsia="Times New Roman" w:hAnsi="Times New Roman"/>
          <w:sz w:val="14"/>
          <w:szCs w:val="14"/>
          <w:color w:val="auto"/>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 (ii) 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could have been requested on or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556260</wp:posOffset>
            </wp:positionV>
            <wp:extent cx="5584190" cy="6665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84190" cy="666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1119"/>
        <w:spacing w:after="0" w:line="274" w:lineRule="auto"/>
        <w:rPr>
          <w:sz w:val="20"/>
          <w:szCs w:val="20"/>
          <w:color w:val="auto"/>
        </w:rPr>
      </w:pPr>
      <w:r>
        <w:rPr>
          <w:rFonts w:ascii="Times New Roman" w:cs="Times New Roman" w:eastAsia="Times New Roman" w:hAnsi="Times New Roman"/>
          <w:sz w:val="14"/>
          <w:szCs w:val="14"/>
          <w:color w:val="auto"/>
        </w:rPr>
        <w:t>December 31, 2025. A portion of the proceeds from the Tranche A Loan were used to repay, in full, all amounts owed under the Hercules Loan Agreement, which was terminated effective November 1, 2024. The remaining proceeds will be used to fund our general corporate and working capital requirements.</w:t>
      </w:r>
    </w:p>
    <w:p>
      <w:pPr>
        <w:spacing w:after="0" w:line="50" w:lineRule="exact"/>
        <w:rPr>
          <w:sz w:val="20"/>
          <w:szCs w:val="20"/>
          <w:color w:val="auto"/>
        </w:rPr>
      </w:pPr>
    </w:p>
    <w:p>
      <w:pPr>
        <w:ind w:left="960" w:right="1199" w:firstLine="902"/>
        <w:spacing w:after="0" w:line="274" w:lineRule="auto"/>
        <w:rPr>
          <w:sz w:val="20"/>
          <w:szCs w:val="20"/>
          <w:color w:val="auto"/>
        </w:rPr>
      </w:pPr>
      <w:r>
        <w:rPr>
          <w:rFonts w:ascii="Times New Roman" w:cs="Times New Roman" w:eastAsia="Times New Roman" w:hAnsi="Times New Roman"/>
          <w:sz w:val="14"/>
          <w:szCs w:val="14"/>
          <w:color w:val="auto"/>
        </w:rPr>
        <w:t>On January 5, 2026, the Pharmakon Loan Agreement was amended to extend the date for requesting the Tranche B Loan and Tranche C Loan, once available, from December 31, 2025 to July 30, 2026. The amendment also extended the Makewhole Date from November 1, 2026 to May 1, 2027.</w:t>
      </w:r>
    </w:p>
    <w:p>
      <w:pPr>
        <w:spacing w:after="0" w:line="136" w:lineRule="exact"/>
        <w:rPr>
          <w:sz w:val="20"/>
          <w:szCs w:val="20"/>
          <w:color w:val="auto"/>
        </w:rPr>
      </w:pPr>
    </w:p>
    <w:p>
      <w:pPr>
        <w:ind w:left="960" w:right="1099" w:firstLine="902"/>
        <w:spacing w:after="0" w:line="263" w:lineRule="auto"/>
        <w:rPr>
          <w:sz w:val="20"/>
          <w:szCs w:val="20"/>
          <w:color w:val="auto"/>
        </w:rPr>
      </w:pPr>
      <w:r>
        <w:rPr>
          <w:rFonts w:ascii="Times New Roman" w:cs="Times New Roman" w:eastAsia="Times New Roman" w:hAnsi="Times New Roman"/>
          <w:sz w:val="14"/>
          <w:szCs w:val="14"/>
          <w:color w:val="auto"/>
        </w:rPr>
        <w:t>The Term Loans mature on November 1, 2029. The Term Loans bear interest at a variable rate per annum equal to 5.75% plus the three-month Secured Overnight Financing Rate, or SOFR, with a SOFR floor of 3.00%. As of inception of the Tranche A Loan, the interest rate applicable to the Tranche A Loan was 10.32%. As of December 31, 2025, the applicable interest rate was 11.13%. Interest is due and payable quarterly on the last day of each quarter. The Pharmakon Loan Agreement requires we pay an amount equal to 2.50% of the Lenders’ total committed amount to fund the Term Loans, payable with respect to each Term Loan on the funding date of such Term Loan.</w:t>
      </w:r>
    </w:p>
    <w:p>
      <w:pPr>
        <w:spacing w:after="0" w:line="58" w:lineRule="exact"/>
        <w:rPr>
          <w:sz w:val="20"/>
          <w:szCs w:val="20"/>
          <w:color w:val="auto"/>
        </w:rPr>
      </w:pPr>
    </w:p>
    <w:p>
      <w:pPr>
        <w:ind w:left="960" w:right="1059" w:firstLine="902"/>
        <w:spacing w:after="0" w:line="261" w:lineRule="auto"/>
        <w:rPr>
          <w:sz w:val="20"/>
          <w:szCs w:val="20"/>
          <w:color w:val="auto"/>
        </w:rPr>
      </w:pPr>
      <w:r>
        <w:rPr>
          <w:rFonts w:ascii="Times New Roman" w:cs="Times New Roman" w:eastAsia="Times New Roman" w:hAnsi="Times New Roman"/>
          <w:sz w:val="14"/>
          <w:szCs w:val="14"/>
          <w:color w:val="auto"/>
        </w:rPr>
        <w:t>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3rd anniversary of the funding date of the applicable Term Loan but prior to the 4th anniversary of the funding date of the applicable Term Loan, and 1% if made on or after the 4th anniversary of the funding date of the applicable Term Loan but prior to the Maturity Date. In addition to the prepayment premium, prepayments of any Term Loan prior to the 2nd anniversary of the funding date of such Term Loan are subject to a make-whole amount equal to the sum of all interest that would have accrued through such 2nd anniversary.</w:t>
      </w:r>
    </w:p>
    <w:p>
      <w:pPr>
        <w:spacing w:after="0" w:line="146" w:lineRule="exact"/>
        <w:rPr>
          <w:sz w:val="20"/>
          <w:szCs w:val="20"/>
          <w:color w:val="auto"/>
        </w:rPr>
      </w:pPr>
    </w:p>
    <w:p>
      <w:pPr>
        <w:ind w:left="960" w:right="1039" w:firstLine="902"/>
        <w:spacing w:after="0" w:line="268" w:lineRule="auto"/>
        <w:rPr>
          <w:sz w:val="20"/>
          <w:szCs w:val="20"/>
          <w:color w:val="auto"/>
        </w:rPr>
      </w:pPr>
      <w:r>
        <w:rPr>
          <w:rFonts w:ascii="Times New Roman" w:cs="Times New Roman" w:eastAsia="Times New Roman" w:hAnsi="Times New Roman"/>
          <w:sz w:val="14"/>
          <w:szCs w:val="14"/>
          <w:color w:val="auto"/>
        </w:rPr>
        <w:t>Our obligations under the Pharmakon Loan Agreement are secured by substantially all of our assets, including our intellectual property. Certain of our subsidiaries may, from time to time after the Tranche A Closing Date, be required to guarantee our obligations under the Pharmakon Loan Agreement and, in connection with such guarantee, pledge substantially all of their assets, including intellectual property, to secure such guarantee.</w:t>
      </w:r>
    </w:p>
    <w:p>
      <w:pPr>
        <w:spacing w:after="0" w:line="140" w:lineRule="exact"/>
        <w:rPr>
          <w:sz w:val="20"/>
          <w:szCs w:val="20"/>
          <w:color w:val="auto"/>
        </w:rPr>
      </w:pPr>
    </w:p>
    <w:p>
      <w:pPr>
        <w:ind w:left="960" w:right="979" w:firstLine="902"/>
        <w:spacing w:after="0" w:line="257" w:lineRule="auto"/>
        <w:rPr>
          <w:sz w:val="20"/>
          <w:szCs w:val="20"/>
          <w:color w:val="auto"/>
        </w:rPr>
      </w:pPr>
      <w:r>
        <w:rPr>
          <w:rFonts w:ascii="Times New Roman" w:cs="Times New Roman" w:eastAsia="Times New Roman" w:hAnsi="Times New Roman"/>
          <w:sz w:val="14"/>
          <w:szCs w:val="14"/>
          <w:color w:val="auto"/>
        </w:rPr>
        <w:t>The Pharmakon Loan Agreement contains customary affirmative and restrictive covenants and representations and warranties. We and our subsidiaries are bound by certain affirmative covenants setting forth actions that are required during the term of the Pharmakon Loan Agreement, including, without limitation, certain information delivery requirements, obligations to maintain certain insurance, and certain notice requirements. There are no financial covenants. Additionally, we and our subsidiaries are bound by certain restrictive covenants setting forth actions that are not permitted to be taken during the term of the Pharmakon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 on our or our subsidiaries’ assets, (vi) paying dividends or making any distribution or payment on or redeeming, retiring or purchasing any equity interests, and (vii) making payments on subordinated indebtedness, in each case, subject to specified exceptions. The Pharmakon Loan Agreement also contains the following events of default: (i) failure to pay principal, interest and other amounts when due, (ii) the breach of the covenants under the Loan Agreement, (iii) the occurrence of a material adverse change or the occurrence of a withdrawal event in respect of RYTELO, (iv) certain attachments of the credit parties assets and restraints on their business, (v) certain insolvency, liquidation, bankruptcy or similar events, (vi) certain cross-default of third-party indebtedness and royalty revenue contracts, (vii) the failure to pay certain judgments, (viii) material misrepresentations, (ix) the loan documents ceasing to create a valid security interest in a material portion of the collateral, (x) the occurrence of certain ERISA events and (xi) the occurrence of a default under any subordination or intercreditor agreement, in each case subject to the grace periods, cure period and thresholds as specified in the Pharmakon Loan Agreement. Upon the occurrence and during the continuance of an event of default, the Lenders may, among other things, accelerate our obligations under the Pharmakon Loan Agreement (including all obligations for principal, interest and any applicable make-whole and prepayment premiums); provided that upon an event of default relating to certain insolvency, liquidation, bankruptcy or similar events, all outstanding obligations will be immediately accelerated. As of December 31, 2025, we were in compliance with our Pharmakon Loan Agreement covenants.</w:t>
      </w:r>
    </w:p>
    <w:p>
      <w:pPr>
        <w:sectPr>
          <w:pgSz w:w="11900" w:h="16838" w:orient="portrait"/>
          <w:cols w:equalWidth="0" w:num="1">
            <w:col w:w="9019"/>
          </w:cols>
          <w:pgMar w:left="1440" w:top="232" w:right="1440" w:bottom="166" w:gutter="0" w:footer="0" w:header="0"/>
        </w:sectPr>
      </w:pPr>
    </w:p>
    <w:bookmarkStart w:id="87" w:name="page88"/>
    <w:bookmarkEnd w:id="87"/>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8314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84190" cy="783145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Future Minimum Payments</w:t>
      </w:r>
    </w:p>
    <w:p>
      <w:pPr>
        <w:spacing w:after="0" w:line="99" w:lineRule="exact"/>
        <w:rPr>
          <w:sz w:val="20"/>
          <w:szCs w:val="20"/>
          <w:color w:val="auto"/>
        </w:rPr>
      </w:pPr>
    </w:p>
    <w:p>
      <w:pPr>
        <w:ind w:left="960" w:right="1299" w:firstLine="902"/>
        <w:spacing w:after="0" w:line="292" w:lineRule="auto"/>
        <w:rPr>
          <w:sz w:val="20"/>
          <w:szCs w:val="20"/>
          <w:color w:val="auto"/>
        </w:rPr>
      </w:pPr>
      <w:r>
        <w:rPr>
          <w:rFonts w:ascii="Times New Roman" w:cs="Times New Roman" w:eastAsia="Times New Roman" w:hAnsi="Times New Roman"/>
          <w:sz w:val="14"/>
          <w:szCs w:val="14"/>
          <w:color w:val="auto"/>
        </w:rPr>
        <w:t>The following table presents future minimum payments, including interest and the end of term charge, under the Term Loan as of December 31, 2025 (in thousands):</w:t>
      </w:r>
    </w:p>
    <w:p>
      <w:pPr>
        <w:spacing w:after="0" w:line="149" w:lineRule="exact"/>
        <w:rPr>
          <w:sz w:val="20"/>
          <w:szCs w:val="20"/>
          <w:color w:val="auto"/>
        </w:rPr>
      </w:pPr>
    </w:p>
    <w:tbl>
      <w:tblPr>
        <w:tblLayout w:type="fixed"/>
        <w:tblInd w:w="2440" w:type="dxa"/>
        <w:tblCellMar>
          <w:top w:w="0" w:type="dxa"/>
          <w:left w:w="0" w:type="dxa"/>
          <w:bottom w:w="0" w:type="dxa"/>
          <w:right w:w="0" w:type="dxa"/>
        </w:tblCellMar>
      </w:tblPr>
      <w:tr>
        <w:trPr>
          <w:trHeight w:val="215"/>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r>
      <w:tr>
        <w:trPr>
          <w:trHeight w:val="215"/>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12,338</w:t>
            </w:r>
          </w:p>
        </w:tc>
      </w:tr>
      <w:tr>
        <w:trPr>
          <w:trHeight w:val="215"/>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r>
      <w:tr>
        <w:trPr>
          <w:trHeight w:val="215"/>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12,372</w:t>
            </w:r>
          </w:p>
        </w:tc>
      </w:tr>
      <w:tr>
        <w:trPr>
          <w:trHeight w:val="215"/>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135,310</w:t>
            </w:r>
          </w:p>
        </w:tc>
      </w:tr>
      <w:tr>
        <w:trPr>
          <w:trHeight w:val="215"/>
        </w:trPr>
        <w:tc>
          <w:tcPr>
            <w:tcW w:w="3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175,468</w:t>
            </w:r>
          </w:p>
        </w:tc>
      </w:tr>
      <w:tr>
        <w:trPr>
          <w:trHeight w:val="215"/>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(50,468)</w:t>
            </w:r>
          </w:p>
        </w:tc>
      </w:tr>
      <w:tr>
        <w:trPr>
          <w:trHeight w:val="215"/>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unamortized debt discount and issuance costs</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w:t>
            </w:r>
          </w:p>
        </w:tc>
      </w:tr>
      <w:tr>
        <w:trPr>
          <w:trHeight w:val="173"/>
        </w:trPr>
        <w:tc>
          <w:tcPr>
            <w:tcW w:w="3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Noncurrent portion of debt</w:t>
            </w:r>
          </w:p>
        </w:tc>
        <w:tc>
          <w:tcPr>
            <w:tcW w:w="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119,547</w:t>
            </w:r>
          </w:p>
        </w:tc>
      </w:tr>
      <w:tr>
        <w:trPr>
          <w:trHeight w:val="20"/>
        </w:trPr>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Liabilities Related to Sale of Future Royalties</w:t>
      </w:r>
    </w:p>
    <w:p>
      <w:pPr>
        <w:spacing w:after="0" w:line="185" w:lineRule="exact"/>
        <w:rPr>
          <w:sz w:val="20"/>
          <w:szCs w:val="20"/>
          <w:color w:val="auto"/>
        </w:rPr>
      </w:pPr>
    </w:p>
    <w:p>
      <w:pPr>
        <w:ind w:left="960" w:right="979" w:firstLine="902"/>
        <w:spacing w:after="0" w:line="260" w:lineRule="auto"/>
        <w:rPr>
          <w:sz w:val="20"/>
          <w:szCs w:val="20"/>
          <w:color w:val="auto"/>
        </w:rPr>
      </w:pPr>
      <w:r>
        <w:rPr>
          <w:rFonts w:ascii="Times New Roman" w:cs="Times New Roman" w:eastAsia="Times New Roman" w:hAnsi="Times New Roman"/>
          <w:sz w:val="14"/>
          <w:szCs w:val="14"/>
          <w:color w:val="auto"/>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or the Revenue Participation Right, to receive certain amounts calculated as a percentage of future U.S. net sales of RYTELO for each calendar quarter, or Royalty Payments, during the term contemplated by the Royalty Pharma Agreement. Specifically, the revenue participation rate commences at 7.75% for annual U.S. net sales of up to and equal to $500.0 million declining to 1.0% for annual U.S. net sales exceeding $1.0 billion until the date when the aggregate Royalty Payments equal or exceed 1.65 times the Purchase Price, if this occurs by June 30, 2031 or the date when the aggregate Royalty Payments equal or exceed 2.0 times the Purchase Price.</w:t>
      </w:r>
    </w:p>
    <w:p>
      <w:pPr>
        <w:spacing w:after="0" w:line="149" w:lineRule="exact"/>
        <w:rPr>
          <w:sz w:val="20"/>
          <w:szCs w:val="20"/>
          <w:color w:val="auto"/>
        </w:rPr>
      </w:pPr>
    </w:p>
    <w:p>
      <w:pPr>
        <w:ind w:left="960" w:right="1099" w:firstLine="902"/>
        <w:spacing w:after="0" w:line="274" w:lineRule="auto"/>
        <w:rPr>
          <w:sz w:val="20"/>
          <w:szCs w:val="20"/>
          <w:color w:val="auto"/>
        </w:rPr>
      </w:pPr>
      <w:r>
        <w:rPr>
          <w:rFonts w:ascii="Times New Roman" w:cs="Times New Roman" w:eastAsia="Times New Roman" w:hAnsi="Times New Roman"/>
          <w:sz w:val="14"/>
          <w:szCs w:val="14"/>
          <w:color w:val="auto"/>
        </w:rPr>
        <w:t>In addition, we have the option to repurchase all of the Revenue Participation Right from Royalty Pharma for a purchase price of equal to the Buy-Out-Payment, as defined below, if we entered into a definitive agreement to consummate a change of control, or Buy-Back Option.</w:t>
      </w:r>
    </w:p>
    <w:p>
      <w:pPr>
        <w:spacing w:after="0" w:line="136" w:lineRule="exact"/>
        <w:rPr>
          <w:sz w:val="20"/>
          <w:szCs w:val="20"/>
          <w:color w:val="auto"/>
        </w:rPr>
      </w:pPr>
    </w:p>
    <w:p>
      <w:pPr>
        <w:ind w:left="960" w:right="1019" w:firstLine="902"/>
        <w:spacing w:after="0" w:line="268" w:lineRule="auto"/>
        <w:rPr>
          <w:sz w:val="20"/>
          <w:szCs w:val="20"/>
          <w:color w:val="auto"/>
        </w:rPr>
      </w:pPr>
      <w:r>
        <w:rPr>
          <w:rFonts w:ascii="Times New Roman" w:cs="Times New Roman" w:eastAsia="Times New Roman" w:hAnsi="Times New Roman"/>
          <w:sz w:val="14"/>
          <w:szCs w:val="14"/>
          <w:color w:val="auto"/>
        </w:rPr>
        <w:t>“Buy-Out Payment” means an amount equal to (a) 1.65 times the Purchase Price minus the aggregate Royalty Payments as of the change of control, if the change of control occurs on or prior to December 31, 2027, or (b) 2.0 times the Purchase Price minus the aggregate Royalty Payments as of the change of control, if the change of control occurs after December 31, 2027.</w:t>
      </w:r>
    </w:p>
    <w:p>
      <w:pPr>
        <w:spacing w:after="0" w:line="140" w:lineRule="exact"/>
        <w:rPr>
          <w:sz w:val="20"/>
          <w:szCs w:val="20"/>
          <w:color w:val="auto"/>
        </w:rPr>
      </w:pPr>
    </w:p>
    <w:p>
      <w:pPr>
        <w:ind w:left="960" w:right="979" w:firstLine="902"/>
        <w:spacing w:after="0" w:line="263" w:lineRule="auto"/>
        <w:rPr>
          <w:sz w:val="20"/>
          <w:szCs w:val="20"/>
          <w:color w:val="auto"/>
        </w:rPr>
      </w:pPr>
      <w:r>
        <w:rPr>
          <w:rFonts w:ascii="Times New Roman" w:cs="Times New Roman" w:eastAsia="Times New Roman" w:hAnsi="Times New Roman"/>
          <w:sz w:val="14"/>
          <w:szCs w:val="14"/>
          <w:color w:val="auto"/>
        </w:rPr>
        <w:t>We accounted for the Royalty Pharma Agreement as a financing liability, primarily because it has significant continuing involvement in generating the future revenue on which the Royalty Payments are based. The liability related to Revenue Participation Right and the related interest expense are measured based on our current estimate of the timing and amount of expected future Royalty Payments expected to be paid over the estimated term of the Royalty Pharma Agreement using a discounted cash flow model. The liability is amortized using the effective interest rate method, resulting in recognition of interest expense over the estimated term of the agreement.</w:t>
      </w:r>
    </w:p>
    <w:p>
      <w:pPr>
        <w:spacing w:after="0" w:line="144" w:lineRule="exact"/>
        <w:rPr>
          <w:sz w:val="20"/>
          <w:szCs w:val="20"/>
          <w:color w:val="auto"/>
        </w:rPr>
      </w:pPr>
    </w:p>
    <w:p>
      <w:pPr>
        <w:jc w:val="both"/>
        <w:ind w:left="960" w:right="1299" w:firstLine="902"/>
        <w:spacing w:after="0" w:line="274" w:lineRule="auto"/>
        <w:rPr>
          <w:sz w:val="20"/>
          <w:szCs w:val="20"/>
          <w:color w:val="auto"/>
        </w:rPr>
      </w:pPr>
      <w:r>
        <w:rPr>
          <w:rFonts w:ascii="Times New Roman" w:cs="Times New Roman" w:eastAsia="Times New Roman" w:hAnsi="Times New Roman"/>
          <w:sz w:val="14"/>
          <w:szCs w:val="14"/>
          <w:color w:val="auto"/>
        </w:rPr>
        <w:t>We have determined the fair value of the liability related to the sale of future royalties is based on our current estimates of future royalties expected to be paid to Royalty Pharma over the life of the arrangement, which are considered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1149985</wp:posOffset>
            </wp:positionV>
            <wp:extent cx="5584190" cy="26219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84190" cy="262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1079" w:firstLine="902"/>
        <w:spacing w:after="0" w:line="292" w:lineRule="auto"/>
        <w:rPr>
          <w:sz w:val="20"/>
          <w:szCs w:val="20"/>
          <w:color w:val="auto"/>
        </w:rPr>
      </w:pPr>
      <w:r>
        <w:rPr>
          <w:rFonts w:ascii="Times New Roman" w:cs="Times New Roman" w:eastAsia="Times New Roman" w:hAnsi="Times New Roman"/>
          <w:sz w:val="14"/>
          <w:szCs w:val="14"/>
          <w:color w:val="auto"/>
        </w:rPr>
        <w:t>The following table shows the activity within the liability related to sale of future royalties during the year ended December 31, 2025.</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4860" w:type="dxa"/>
            <w:vAlign w:val="bottom"/>
          </w:tcPr>
          <w:p>
            <w:pPr>
              <w:spacing w:after="0"/>
              <w:rPr>
                <w:sz w:val="13"/>
                <w:szCs w:val="13"/>
                <w:color w:val="auto"/>
              </w:rPr>
            </w:pPr>
          </w:p>
        </w:tc>
        <w:tc>
          <w:tcPr>
            <w:tcW w:w="2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Liability Related to Sale of Future Royalties</w:t>
            </w:r>
          </w:p>
        </w:tc>
      </w:tr>
      <w:tr>
        <w:trPr>
          <w:trHeight w:val="176"/>
        </w:trPr>
        <w:tc>
          <w:tcPr>
            <w:tcW w:w="4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99"/>
        </w:trPr>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Carrying value of liability related to sale of future royalties at December 31, 2024</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124,793</w:t>
            </w:r>
          </w:p>
        </w:tc>
      </w:tr>
      <w:tr>
        <w:trPr>
          <w:trHeight w:val="215"/>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Non-cash interest expense recognized</w:t>
            </w:r>
          </w:p>
        </w:tc>
        <w:tc>
          <w:tcPr>
            <w:tcW w:w="9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18,948</w:t>
            </w:r>
          </w:p>
        </w:tc>
      </w:tr>
      <w:tr>
        <w:trPr>
          <w:trHeight w:val="215"/>
        </w:trPr>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Royalty payments</w:t>
            </w:r>
          </w:p>
        </w:tc>
        <w:tc>
          <w:tcPr>
            <w:tcW w:w="9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(14,159)</w:t>
            </w:r>
          </w:p>
        </w:tc>
      </w:tr>
      <w:tr>
        <w:trPr>
          <w:trHeight w:val="173"/>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Carrying value of liability related to sale of future royalties at December 31, 2025</w:t>
            </w: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129,582</w:t>
            </w:r>
          </w:p>
        </w:tc>
      </w:tr>
      <w:tr>
        <w:trPr>
          <w:trHeight w:val="20"/>
        </w:trPr>
        <w:tc>
          <w:tcPr>
            <w:tcW w:w="4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Embedded Derivatives</w:t>
      </w:r>
    </w:p>
    <w:p>
      <w:pPr>
        <w:spacing w:after="0" w:line="99" w:lineRule="exact"/>
        <w:rPr>
          <w:sz w:val="20"/>
          <w:szCs w:val="20"/>
          <w:color w:val="auto"/>
        </w:rPr>
      </w:pPr>
    </w:p>
    <w:p>
      <w:pPr>
        <w:ind w:left="960" w:right="1039" w:firstLine="902"/>
        <w:spacing w:after="0" w:line="265" w:lineRule="auto"/>
        <w:rPr>
          <w:sz w:val="20"/>
          <w:szCs w:val="20"/>
          <w:color w:val="auto"/>
        </w:rPr>
      </w:pPr>
      <w:r>
        <w:rPr>
          <w:rFonts w:ascii="Times New Roman" w:cs="Times New Roman" w:eastAsia="Times New Roman" w:hAnsi="Times New Roman"/>
          <w:sz w:val="14"/>
          <w:szCs w:val="14"/>
          <w:color w:val="auto"/>
        </w:rPr>
        <w:t>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and therefore, no amount has been recognized. If an event of default becomes more probable than is currently estimated, then the embedded derivative could become material in future periods and would be recognized as a separate financial instrument at that time. The embedded derivatives are classified within</w:t>
      </w:r>
    </w:p>
    <w:p>
      <w:pPr>
        <w:sectPr>
          <w:pgSz w:w="11900" w:h="16947" w:orient="portrait"/>
          <w:cols w:equalWidth="0" w:num="1">
            <w:col w:w="9019"/>
          </w:cols>
          <w:pgMar w:left="1440" w:top="1285" w:right="1440" w:bottom="0" w:gutter="0" w:footer="0" w:header="0"/>
        </w:sectPr>
      </w:pPr>
    </w:p>
    <w:bookmarkStart w:id="88" w:name="page89"/>
    <w:bookmarkEnd w:id="88"/>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4592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84190" cy="4592320"/>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4"/>
          <w:szCs w:val="14"/>
          <w:color w:val="auto"/>
        </w:rPr>
        <w:t>Level 3 of the fair value hierarchy due to the use of significant unobservable inputs.</w:t>
      </w:r>
    </w:p>
    <w:p>
      <w:pPr>
        <w:spacing w:after="0" w:line="267" w:lineRule="exact"/>
        <w:rPr>
          <w:sz w:val="20"/>
          <w:szCs w:val="20"/>
          <w:color w:val="auto"/>
        </w:rPr>
      </w:pPr>
    </w:p>
    <w:p>
      <w:pPr>
        <w:ind w:left="960" w:right="5999"/>
        <w:spacing w:after="0" w:line="385" w:lineRule="auto"/>
        <w:tabs>
          <w:tab w:leader="none" w:pos="1175"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 Authorized Common Stock</w:t>
      </w:r>
    </w:p>
    <w:p>
      <w:pPr>
        <w:spacing w:after="0" w:line="1" w:lineRule="exact"/>
        <w:rPr>
          <w:sz w:val="20"/>
          <w:szCs w:val="20"/>
          <w:color w:val="auto"/>
        </w:rPr>
      </w:pPr>
    </w:p>
    <w:p>
      <w:pPr>
        <w:ind w:left="960" w:right="1299" w:firstLine="902"/>
        <w:spacing w:after="0" w:line="292" w:lineRule="auto"/>
        <w:rPr>
          <w:sz w:val="20"/>
          <w:szCs w:val="20"/>
          <w:color w:val="auto"/>
        </w:rPr>
      </w:pPr>
      <w:r>
        <w:rPr>
          <w:rFonts w:ascii="Times New Roman" w:cs="Times New Roman" w:eastAsia="Times New Roman" w:hAnsi="Times New Roman"/>
          <w:sz w:val="14"/>
          <w:szCs w:val="14"/>
          <w:color w:val="auto"/>
        </w:rPr>
        <w:t>In May 2023, our stockholders approved an amendment to our Restated Certificate of Incorporation to increase the total number of authorized shares of common stock from 675,000,000 to 1,350,000,000 shares.</w:t>
      </w:r>
    </w:p>
    <w:p>
      <w:pPr>
        <w:spacing w:after="0" w:line="20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Public Offerings</w:t>
      </w:r>
    </w:p>
    <w:p>
      <w:pPr>
        <w:spacing w:after="0" w:line="99" w:lineRule="exact"/>
        <w:rPr>
          <w:sz w:val="20"/>
          <w:szCs w:val="20"/>
          <w:color w:val="auto"/>
        </w:rPr>
      </w:pPr>
    </w:p>
    <w:p>
      <w:pPr>
        <w:jc w:val="both"/>
        <w:ind w:left="960" w:right="1039" w:firstLine="902"/>
        <w:spacing w:after="0" w:line="262" w:lineRule="auto"/>
        <w:rPr>
          <w:sz w:val="20"/>
          <w:szCs w:val="20"/>
          <w:color w:val="auto"/>
        </w:rPr>
      </w:pPr>
      <w:r>
        <w:rPr>
          <w:rFonts w:ascii="Times New Roman" w:cs="Times New Roman" w:eastAsia="Times New Roman" w:hAnsi="Times New Roman"/>
          <w:sz w:val="14"/>
          <w:szCs w:val="14"/>
          <w:color w:val="auto"/>
        </w:rPr>
        <w:t>On January 10, 2023, we completed an underwritten public offering consisting of 68,007,741 shares of our common stock and the 2023 pre-funded warrants. All of the securities were issued separately. The public offering price of the common stock was $2.45 per share. The public offering price of the 2023 pre-funded warrant was $2.449 per share.</w:t>
      </w:r>
    </w:p>
    <w:p>
      <w:pPr>
        <w:spacing w:after="0" w:line="2" w:lineRule="exact"/>
        <w:rPr>
          <w:sz w:val="20"/>
          <w:szCs w:val="20"/>
          <w:color w:val="auto"/>
        </w:rPr>
      </w:pPr>
    </w:p>
    <w:p>
      <w:pPr>
        <w:ind w:left="960" w:right="1039"/>
        <w:spacing w:after="0" w:line="264" w:lineRule="auto"/>
        <w:rPr>
          <w:sz w:val="20"/>
          <w:szCs w:val="20"/>
          <w:color w:val="auto"/>
        </w:rPr>
      </w:pPr>
      <w:r>
        <w:rPr>
          <w:rFonts w:ascii="Times New Roman" w:cs="Times New Roman" w:eastAsia="Times New Roman" w:hAnsi="Times New Roman"/>
          <w:sz w:val="14"/>
          <w:szCs w:val="14"/>
          <w:color w:val="auto"/>
        </w:rPr>
        <w:t>The net cash proceeds from this offering were $213.3 million, after deducting the underwriting discount and other offering expenses paid by us, and excluded any future proceeds from the exercise of the 2023 pre-funded warrant. As of December 31, 2025, all 2023 pre-funded warrants have been exercised.</w:t>
      </w:r>
    </w:p>
    <w:p>
      <w:pPr>
        <w:spacing w:after="0" w:line="142" w:lineRule="exact"/>
        <w:rPr>
          <w:sz w:val="20"/>
          <w:szCs w:val="20"/>
          <w:color w:val="auto"/>
        </w:rPr>
      </w:pPr>
    </w:p>
    <w:p>
      <w:pPr>
        <w:ind w:left="960" w:right="1039" w:firstLine="902"/>
        <w:spacing w:after="0" w:line="262" w:lineRule="auto"/>
        <w:rPr>
          <w:sz w:val="20"/>
          <w:szCs w:val="20"/>
          <w:color w:val="auto"/>
        </w:rPr>
      </w:pPr>
      <w:r>
        <w:rPr>
          <w:rFonts w:ascii="Times New Roman" w:cs="Times New Roman" w:eastAsia="Times New Roman" w:hAnsi="Times New Roman"/>
          <w:sz w:val="14"/>
          <w:szCs w:val="14"/>
          <w:color w:val="auto"/>
        </w:rPr>
        <w:t>On March 21, 2024, we completed an underwritten public offering of 41,999,998 shares of our common stock and pre-funded warrants to purchase 8,002,668 shares of our common stock, or the 2024 pre-funded warrants. All of the securities were issued separately. The public offering price of the common stock was $3.00 per share. The public offering price of the 2024 pre-funded warrants was $2.99 per share. The net cash proceeds from the March 2024 offering were approximately $141.0 million, after deducting the underwriting discount and other offering expenses paid by us, and excluding any future proceeds from the exercise of the pre-funded warrants. As of December 31, 2025, 5.4 million of the 2024 pre-funded warrants have been exercised and 2.6 million were outstanding.</w:t>
      </w:r>
    </w:p>
    <w:p>
      <w:pPr>
        <w:spacing w:after="0" w:line="144" w:lineRule="exact"/>
        <w:rPr>
          <w:sz w:val="20"/>
          <w:szCs w:val="20"/>
          <w:color w:val="auto"/>
        </w:rPr>
      </w:pPr>
    </w:p>
    <w:p>
      <w:pPr>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As of December 31, 2025 and 2024, pre-funded warrants to purchase 29,053,145 and 59,433,145 shares of our common stock, respectively, remained outstanding and were associated with the May 2020, April 2022 and March 2024 public offerings. These warrants have an exercise price of $0.001 per share and no expiration date.</w:t>
      </w:r>
    </w:p>
    <w:p>
      <w:pPr>
        <w:spacing w:after="0" w:line="222"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 xml:space="preserve">Upon the issuance of the 2023 and 2024 pre-funded warrants, we evaluated the warrant terms to determine the appropriate accounting and classification pursuant to FASB Accounting Standards Codification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and FASB Accounting Standards Codification Topic 815,</w:t>
      </w:r>
      <w:r>
        <w:rPr>
          <w:rFonts w:ascii="Times New Roman" w:cs="Times New Roman" w:eastAsia="Times New Roman" w:hAnsi="Times New Roman"/>
          <w:sz w:val="14"/>
          <w:szCs w:val="14"/>
          <w:i w:val="1"/>
          <w:iCs w:val="1"/>
          <w:color w:val="auto"/>
        </w:rPr>
        <w:t xml:space="preserve"> Derivatives and Hedging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Warrants are classified as liabilities when the warrant terms allow settlement of the warrant exercise in cash and classified as equity when the warrant terms only allow settlement in shares of common stock. The terms of the 2023 and 2024 pre-funded warrants include certain provisions related to fundamental transactions and a cashless exercise provision in the event registered shares are not available, and do not include any mandatory redemption provisions. Based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596265</wp:posOffset>
            </wp:positionV>
            <wp:extent cx="5584190" cy="5861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84190" cy="586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1459"/>
        <w:spacing w:after="0" w:line="292" w:lineRule="auto"/>
        <w:rPr>
          <w:sz w:val="20"/>
          <w:szCs w:val="20"/>
          <w:color w:val="auto"/>
        </w:rPr>
      </w:pPr>
      <w:r>
        <w:rPr>
          <w:rFonts w:ascii="Times New Roman" w:cs="Times New Roman" w:eastAsia="Times New Roman" w:hAnsi="Times New Roman"/>
          <w:sz w:val="14"/>
          <w:szCs w:val="14"/>
          <w:color w:val="auto"/>
        </w:rPr>
        <w:t>evaluation, we concluded the 2023 and 2024 pre-funded warrants should be classified as equity with no subsequent remeasurement as long as such warrants continue to be classified as equity.</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Warrant Exercises</w:t>
      </w:r>
    </w:p>
    <w:p>
      <w:pPr>
        <w:spacing w:after="0" w:line="99" w:lineRule="exact"/>
        <w:rPr>
          <w:sz w:val="20"/>
          <w:szCs w:val="20"/>
          <w:color w:val="auto"/>
        </w:rPr>
      </w:pPr>
    </w:p>
    <w:p>
      <w:pPr>
        <w:ind w:left="960" w:right="1059" w:firstLine="902"/>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2025, warrants were exercised to purchase 1,162,376 shares of our common stock at an exercise price of $1.30 per share for net cash proceeds of approximately $1.5 million, which proceeds were received in January 2026. The warrants were issued in connection with underwritten public offerings of common stock in May 2020. The remaining warrants to purchase 240,146 shares of our common stock expired on December 31, 2025 and are no longer outstanding.</w:t>
      </w:r>
    </w:p>
    <w:p>
      <w:pPr>
        <w:spacing w:after="0" w:line="56" w:lineRule="exact"/>
        <w:rPr>
          <w:sz w:val="20"/>
          <w:szCs w:val="20"/>
          <w:color w:val="auto"/>
        </w:rPr>
      </w:pPr>
    </w:p>
    <w:p>
      <w:pPr>
        <w:ind w:left="960" w:right="1099" w:firstLine="902"/>
        <w:spacing w:after="0" w:line="268" w:lineRule="auto"/>
        <w:rPr>
          <w:sz w:val="20"/>
          <w:szCs w:val="20"/>
          <w:color w:val="auto"/>
        </w:rPr>
      </w:pPr>
      <w:r>
        <w:rPr>
          <w:rFonts w:ascii="Times New Roman" w:cs="Times New Roman" w:eastAsia="Times New Roman" w:hAnsi="Times New Roman"/>
          <w:sz w:val="14"/>
          <w:szCs w:val="14"/>
          <w:color w:val="auto"/>
        </w:rPr>
        <w:t>For the year ended December 31, 2024, warrants to purchase 1,071,981 shares of our common stock at an exercise price of $1.30 per share were exercised for net cash proceeds of approximately $1.4 million. The warrants were issued in connection with an underwritten public offering of common stock in May 2020. As of December 31, 2024, warrants to purchase 1,402,522 shares of our common stock remained outstanding.</w:t>
      </w:r>
    </w:p>
    <w:p>
      <w:pPr>
        <w:spacing w:after="0" w:line="2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2023 Sales Agreement</w:t>
      </w:r>
    </w:p>
    <w:p>
      <w:pPr>
        <w:spacing w:after="0" w:line="99" w:lineRule="exact"/>
        <w:rPr>
          <w:sz w:val="20"/>
          <w:szCs w:val="20"/>
          <w:color w:val="auto"/>
        </w:rPr>
      </w:pPr>
    </w:p>
    <w:p>
      <w:pPr>
        <w:ind w:left="960" w:right="1079" w:firstLine="902"/>
        <w:spacing w:after="0" w:line="265" w:lineRule="auto"/>
        <w:rPr>
          <w:sz w:val="20"/>
          <w:szCs w:val="20"/>
          <w:color w:val="auto"/>
        </w:rPr>
      </w:pPr>
      <w:r>
        <w:rPr>
          <w:rFonts w:ascii="Times New Roman" w:cs="Times New Roman" w:eastAsia="Times New Roman" w:hAnsi="Times New Roman"/>
          <w:sz w:val="14"/>
          <w:szCs w:val="14"/>
          <w:color w:val="auto"/>
        </w:rPr>
        <w:t>On November 1, 2023, we entered into an At Market Issuance Sales Agreement, or the 2023 Sales Agreement, with B. Riley, pursuant to which we could issue and sell shares of our common stock having an aggregate offering price of up to $100 million. We have agreed to pay B. Riley an aggregate commission rate equal to up to 3.0% of the gross proceeds of the sales price per share for common stock sold under the 2023 Sales Agreement. No shares of our common stock were sold pursuant to the 2023 Sales Agreement, which was terminated in January 2026.</w:t>
      </w:r>
    </w:p>
    <w:p>
      <w:pPr>
        <w:spacing w:after="0" w:line="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Equity Plans</w:t>
      </w:r>
    </w:p>
    <w:p>
      <w:pPr>
        <w:spacing w:after="0" w:line="9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2011 Incentive Award Plan</w:t>
      </w:r>
    </w:p>
    <w:p>
      <w:pPr>
        <w:spacing w:after="0" w:line="99" w:lineRule="exact"/>
        <w:rPr>
          <w:sz w:val="20"/>
          <w:szCs w:val="20"/>
          <w:color w:val="auto"/>
        </w:rPr>
      </w:pPr>
    </w:p>
    <w:p>
      <w:pPr>
        <w:ind w:left="960" w:right="1039" w:firstLine="902"/>
        <w:spacing w:after="0" w:line="174" w:lineRule="exact"/>
        <w:rPr>
          <w:sz w:val="20"/>
          <w:szCs w:val="20"/>
          <w:color w:val="auto"/>
        </w:rPr>
      </w:pPr>
      <w:r>
        <w:rPr>
          <w:rFonts w:ascii="Times New Roman" w:cs="Times New Roman" w:eastAsia="Times New Roman" w:hAnsi="Times New Roman"/>
          <w:sz w:val="14"/>
          <w:szCs w:val="14"/>
          <w:color w:val="auto"/>
        </w:rPr>
        <w:t>In May 2011, our stockholders approved the adoption of the 2011 Incentive Award Plan, or 2011 Plan. The 2011 Plan provided for grants of either incentive stock options or nonstatutory stock options and stock purchase rights to employees (including officers and employee directors) and consultants (including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directors). Upon the adoption of the 2018 Equity Incentive Plan in May 2018 (see below), no further grants of stock options or stock purchase rights were made under the 2011 Plan. Stock options granted under the 2011 Plan expire no later than ten years from the date of grant. Stock option exercise prices were equal to the fair market value of the underlying common stock on the date of grant.</w:t>
      </w:r>
    </w:p>
    <w:p>
      <w:pPr>
        <w:spacing w:after="0" w:line="127" w:lineRule="exact"/>
        <w:rPr>
          <w:sz w:val="20"/>
          <w:szCs w:val="20"/>
          <w:color w:val="auto"/>
        </w:rPr>
      </w:pPr>
    </w:p>
    <w:p>
      <w:pPr>
        <w:ind w:left="960" w:right="1039" w:firstLine="902"/>
        <w:spacing w:after="0" w:line="183" w:lineRule="exact"/>
        <w:rPr>
          <w:sz w:val="20"/>
          <w:szCs w:val="20"/>
          <w:color w:val="auto"/>
        </w:rPr>
      </w:pPr>
      <w:r>
        <w:rPr>
          <w:rFonts w:ascii="Times New Roman" w:cs="Times New Roman" w:eastAsia="Times New Roman" w:hAnsi="Times New Roman"/>
          <w:sz w:val="14"/>
          <w:szCs w:val="14"/>
          <w:color w:val="auto"/>
        </w:rPr>
        <w:t>Service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stock options under the 2011 Plan generally vested over a period of four years from the date of grant. Other stock awards (restricted stock awards and restricted stock units) had variable vesting schedules which were determined by our board of directors on the date of grant. All outstanding awards granted under the 2011 Plan remain subject to the terms of the 2011 Plan and the individual award agreements thereunder.</w:t>
      </w:r>
    </w:p>
    <w:p>
      <w:pPr>
        <w:spacing w:after="0" w:line="2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2018 Equity Incentive Plan</w:t>
      </w:r>
    </w:p>
    <w:p>
      <w:pPr>
        <w:spacing w:after="0" w:line="185"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On May 15, 2018, our stockholders approved the adoption of the 2018 Equity Incentive Plan, or 2018 Plan, as the successor to the 2011 Plan. The 2018 Plan provides for the grant of incentive stock options, nonstatutory stock options, stock appreciation rights, restricted stock awards, restricted stock unit awards, other stock awards, and performance awards that may be settled in cash, stock, or other property. Eligible participants under the 2018 Plan include our employees, consultants and non-employee directors. The number of shares reserved for issuance under the 2018 Plan (subject to adjustment for certain changes in capitalization) is equal to the sum of (i) the unallocated shares of common stock remaining available for future grants under the 2011 Plan as of May 15, 2018, (ii) 10,000,000 newly reserved shares</w:t>
      </w:r>
    </w:p>
    <w:p>
      <w:pPr>
        <w:sectPr>
          <w:pgSz w:w="11900" w:h="16902" w:orient="portrait"/>
          <w:cols w:equalWidth="0" w:num="1">
            <w:col w:w="9019"/>
          </w:cols>
          <w:pgMar w:left="1440" w:top="146" w:right="1440" w:bottom="0" w:gutter="0" w:footer="0" w:header="0"/>
        </w:sectPr>
      </w:pPr>
    </w:p>
    <w:bookmarkStart w:id="89" w:name="page90"/>
    <w:bookmarkEnd w:id="89"/>
    <w:p>
      <w:pPr>
        <w:ind w:left="960" w:right="999"/>
        <w:spacing w:after="0" w:line="259" w:lineRule="auto"/>
        <w:rPr>
          <w:sz w:val="20"/>
          <w:szCs w:val="20"/>
          <w:color w:val="auto"/>
        </w:rPr>
      </w:pPr>
      <w:r>
        <w:rPr>
          <w:rFonts w:ascii="Times New Roman" w:cs="Times New Roman" w:eastAsia="Times New Roman" w:hAnsi="Times New Roman"/>
          <w:sz w:val="14"/>
          <w:szCs w:val="14"/>
          <w:color w:val="auto"/>
        </w:rPr>
        <w:t>of common stock and (iii) the number of shares subject to awards granted under the 2002 Equity Incentive Plan, and the 2011 Plan as such shares become available from time to time, referred to as the Prior Plans’ Returning Shares. Such Prior Plans’ Returning Shares become available for issuance under the 2018 Plan if outstanding stock awards granted under the 2002 Equity Incentive Plan and the 2011 Plan, after May 15, 2018, expire or terminate for any reason prior to exercise or settlement or are forfeited, cancelled or otherwise returned to us because of the failure to meet a contingency or condition required for the vesting of such shares, or, subject to certain exceptions, are reacquired or withheld (or not issued) by us to satisfy a tax withholding obligation in connection with a stock award. In May 2025 and May 2023, our stockholders approved amendments to our 2018 Equity Incentive Plan to increase the total number of shares issuable under such plan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-865505</wp:posOffset>
            </wp:positionV>
            <wp:extent cx="5584190" cy="86360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84190" cy="863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1139"/>
        <w:spacing w:after="0" w:line="274" w:lineRule="auto"/>
        <w:rPr>
          <w:sz w:val="20"/>
          <w:szCs w:val="20"/>
          <w:color w:val="auto"/>
        </w:rPr>
      </w:pPr>
      <w:r>
        <w:rPr>
          <w:rFonts w:ascii="Times New Roman" w:cs="Times New Roman" w:eastAsia="Times New Roman" w:hAnsi="Times New Roman"/>
          <w:sz w:val="14"/>
          <w:szCs w:val="14"/>
          <w:color w:val="auto"/>
        </w:rPr>
        <w:t>20,000,000 and 43,360,000,shares of our common stock, respectively. As of December 31, 2025, an aggregate total of 98,971,971 shares of common stock have been reserved under the 2018 Equity Incentive Plan, with 51,542,796 available for future grants.</w:t>
      </w:r>
    </w:p>
    <w:p>
      <w:pPr>
        <w:spacing w:after="0" w:line="136" w:lineRule="exact"/>
        <w:rPr>
          <w:sz w:val="20"/>
          <w:szCs w:val="20"/>
          <w:color w:val="auto"/>
        </w:rPr>
      </w:pPr>
    </w:p>
    <w:p>
      <w:pPr>
        <w:ind w:left="960" w:right="1019" w:firstLine="902"/>
        <w:spacing w:after="0" w:line="265" w:lineRule="auto"/>
        <w:rPr>
          <w:sz w:val="20"/>
          <w:szCs w:val="20"/>
          <w:color w:val="auto"/>
        </w:rPr>
      </w:pPr>
      <w:r>
        <w:rPr>
          <w:rFonts w:ascii="Times New Roman" w:cs="Times New Roman" w:eastAsia="Times New Roman" w:hAnsi="Times New Roman"/>
          <w:sz w:val="14"/>
          <w:szCs w:val="14"/>
          <w:color w:val="auto"/>
        </w:rPr>
        <w:t>Stock options granted under the 2018 Plan expire no later than ten years from the date of grant. Stock option exercise prices shall be equal to the fair market value of the underlying common stock on the date of grant. If, at the time we grant a stock option, the optionee directly or by attribution owns stock possessing more than 10% of the total combined voting power of all classes of our stock, the stock option exercise price shall be at least 110% of the fair market value of the underlying common stock and shall not be exercisable more than five years after the date of grant.</w:t>
      </w:r>
    </w:p>
    <w:p>
      <w:pPr>
        <w:spacing w:after="0" w:line="142"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We grant service-based and performance-based stock options to employees under the 2018 Plan. Service-based stock options generally vest over a period of four years from the date of the stock option grant. Performance-based stock options vest upon the achievement of specified milestones. Other stock awards (restricted stock awards and restricted stock units) have variable vesting schedules as determined by our board of directors on the date of grant.</w:t>
      </w:r>
    </w:p>
    <w:p>
      <w:pPr>
        <w:spacing w:after="0" w:line="140" w:lineRule="exact"/>
        <w:rPr>
          <w:sz w:val="20"/>
          <w:szCs w:val="20"/>
          <w:color w:val="auto"/>
        </w:rPr>
      </w:pPr>
    </w:p>
    <w:p>
      <w:pPr>
        <w:ind w:left="960" w:right="1099" w:firstLine="902"/>
        <w:spacing w:after="0" w:line="265" w:lineRule="auto"/>
        <w:rPr>
          <w:sz w:val="20"/>
          <w:szCs w:val="20"/>
          <w:color w:val="auto"/>
        </w:rPr>
      </w:pPr>
      <w:r>
        <w:rPr>
          <w:rFonts w:ascii="Times New Roman" w:cs="Times New Roman" w:eastAsia="Times New Roman" w:hAnsi="Times New Roman"/>
          <w:sz w:val="14"/>
          <w:szCs w:val="14"/>
          <w:color w:val="auto"/>
        </w:rPr>
        <w:t>Under certain circumstances, stock options may be exercised prior to vesting, subject to our right to repurchase the shares underlying such stock option at the exercise price paid per share. Our repurchase rights would generally terminate on a vesting schedule identical to the vesting schedule of the exercised stock option. During 2025 and 2024, we did not repurchase any shares under the 2018 Plan. As of December 31, 2025, we have no shares outstanding subject to repurchase under the 2018 Plan.</w:t>
      </w:r>
    </w:p>
    <w:p>
      <w:pPr>
        <w:spacing w:after="0" w:line="111" w:lineRule="exact"/>
        <w:rPr>
          <w:sz w:val="20"/>
          <w:szCs w:val="20"/>
          <w:color w:val="auto"/>
        </w:rPr>
      </w:pPr>
    </w:p>
    <w:p>
      <w:pPr>
        <w:ind w:left="960" w:right="1039" w:firstLine="902"/>
        <w:spacing w:after="0" w:line="187" w:lineRule="exact"/>
        <w:rPr>
          <w:sz w:val="20"/>
          <w:szCs w:val="20"/>
          <w:color w:val="auto"/>
        </w:rPr>
      </w:pPr>
      <w:r>
        <w:rPr>
          <w:rFonts w:ascii="Times New Roman" w:cs="Times New Roman" w:eastAsia="Times New Roman" w:hAnsi="Times New Roman"/>
          <w:sz w:val="14"/>
          <w:szCs w:val="14"/>
          <w:color w:val="auto"/>
        </w:rPr>
        <w:t>As of December 31, 2025, our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 Compensation Policy adopted by our board of directors in March 2014, as amended, provides for the automatic grant to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directors of the following types of equity awards under the 2018 Plan:</w:t>
      </w:r>
    </w:p>
    <w:p>
      <w:pPr>
        <w:spacing w:after="0" w:line="128" w:lineRule="exact"/>
        <w:rPr>
          <w:sz w:val="20"/>
          <w:szCs w:val="20"/>
          <w:color w:val="auto"/>
        </w:rPr>
      </w:pPr>
    </w:p>
    <w:p>
      <w:pPr>
        <w:ind w:left="1480" w:right="1159" w:hanging="262"/>
        <w:spacing w:after="0" w:line="181" w:lineRule="exact"/>
        <w:tabs>
          <w:tab w:leader="none" w:pos="1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First Director Option</w:t>
      </w:r>
      <w:r>
        <w:rPr>
          <w:rFonts w:ascii="Times New Roman" w:cs="Times New Roman" w:eastAsia="Times New Roman" w:hAnsi="Times New Roman"/>
          <w:sz w:val="14"/>
          <w:szCs w:val="14"/>
          <w:color w:val="auto"/>
        </w:rPr>
        <w:t>. Each person who becomes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 whether by election by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or by appointment by our board of directors to fill a vacancy, will automatically be granted a stock option to purchase 270,000 shares of common stock, or First Director Option, on the date such person first becomes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 The First Director Option vests annually over three years upon each anniversary date of appointment to our board of directors.</w:t>
      </w:r>
    </w:p>
    <w:p>
      <w:pPr>
        <w:spacing w:after="0" w:line="128" w:lineRule="exact"/>
        <w:rPr>
          <w:rFonts w:ascii="Times New Roman" w:cs="Times New Roman" w:eastAsia="Times New Roman" w:hAnsi="Times New Roman"/>
          <w:sz w:val="14"/>
          <w:szCs w:val="14"/>
          <w:color w:val="auto"/>
        </w:rPr>
      </w:pPr>
    </w:p>
    <w:p>
      <w:pPr>
        <w:ind w:left="1480" w:right="979" w:hanging="262"/>
        <w:spacing w:after="0" w:line="184" w:lineRule="exact"/>
        <w:tabs>
          <w:tab w:leader="none" w:pos="1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Subsequent Director Option</w:t>
      </w:r>
      <w:r>
        <w:rPr>
          <w:rFonts w:ascii="Times New Roman" w:cs="Times New Roman" w:eastAsia="Times New Roman" w:hAnsi="Times New Roman"/>
          <w:sz w:val="14"/>
          <w:szCs w:val="14"/>
          <w:color w:val="auto"/>
        </w:rPr>
        <w:t>. Each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employee director (other than any director receiving a First Director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 on the date of the annual meeting) will automatically be granted a subsequent stock option to purchase 180,000 shares of common stock, a Subsequent Director Option, on the date of the annual meeting of stockholders in each year during such director’s service on our board of directors. The Subsequent Director Option vests in full on the earlier of: (i) the date of the next annual meeting of our stockholders or (ii) the first anniversary of the date of grant.</w:t>
      </w:r>
    </w:p>
    <w:p>
      <w:pPr>
        <w:spacing w:after="0" w:line="3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2018 Inducement Award Plan</w:t>
      </w:r>
    </w:p>
    <w:p>
      <w:pPr>
        <w:spacing w:after="0" w:line="185" w:lineRule="exact"/>
        <w:rPr>
          <w:sz w:val="20"/>
          <w:szCs w:val="20"/>
          <w:color w:val="auto"/>
        </w:rPr>
      </w:pPr>
    </w:p>
    <w:p>
      <w:pPr>
        <w:ind w:left="960" w:right="1039" w:firstLine="902"/>
        <w:spacing w:after="0" w:line="260" w:lineRule="auto"/>
        <w:rPr>
          <w:sz w:val="20"/>
          <w:szCs w:val="20"/>
          <w:color w:val="auto"/>
        </w:rPr>
      </w:pPr>
      <w:r>
        <w:rPr>
          <w:rFonts w:ascii="Times New Roman" w:cs="Times New Roman" w:eastAsia="Times New Roman" w:hAnsi="Times New Roman"/>
          <w:sz w:val="14"/>
          <w:szCs w:val="14"/>
          <w:color w:val="auto"/>
        </w:rPr>
        <w:t>In December 2018, our board of directors approved the adoption of the 2018 Inducement Award Plan, or the Inducement Plan, pursuant to which we reserved 3,000,000 shares of our common stock to be used exclusively for grants of inducement awards to individuals who were not previously Geron employees or non-employee directors, other than following a bona fide period of non-employment. Since adoption of the Inducement Plan, the compensation committee of our board of directors, or the compensation committee, has approved amendments to our Inducement Plan to increase the aggregate total number of shares issuable under such plan to 51,300,000 shares of our common stock. The most recent amendment, approved by the compensation committee in August 2025, increased the total number of shares issuable under such plan by 11,000,000 shares of our common stock. As of December 31, 2025, an aggregate total of 43,818,645 shares of common stock have been reserved under the Inducement Plan, with 5,137,263 available for future grants.</w:t>
      </w:r>
    </w:p>
    <w:p>
      <w:pPr>
        <w:spacing w:after="0" w:line="320" w:lineRule="exact"/>
        <w:rPr>
          <w:sz w:val="20"/>
          <w:szCs w:val="20"/>
          <w:color w:val="auto"/>
        </w:rPr>
      </w:pPr>
    </w:p>
    <w:p>
      <w:pPr>
        <w:ind w:left="960" w:right="999" w:firstLine="902"/>
        <w:spacing w:after="0" w:line="267" w:lineRule="auto"/>
        <w:rPr>
          <w:sz w:val="20"/>
          <w:szCs w:val="20"/>
          <w:color w:val="auto"/>
        </w:rPr>
      </w:pPr>
      <w:r>
        <w:rPr>
          <w:rFonts w:ascii="Times New Roman" w:cs="Times New Roman" w:eastAsia="Times New Roman" w:hAnsi="Times New Roman"/>
          <w:sz w:val="14"/>
          <w:szCs w:val="14"/>
          <w:color w:val="auto"/>
        </w:rPr>
        <w:t>The Inducement Plan provides for the grant of nonstatutory stock options, stock appreciation rights, restricted stock awards, restricted stock units and other stock awards, and all awards under the Inducement Plan are intended to meet the standards under Rule 5635(c)(4) of the Nasdaq Listing Rules. The terms and conditions of the Inducement Plan and the inducement awards to be granted thereunder are substantially similar to our stockholder-approved 2018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601345</wp:posOffset>
            </wp:positionV>
            <wp:extent cx="5584190" cy="1816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84190" cy="181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i w:val="1"/>
          <w:iCs w:val="1"/>
          <w:color w:val="auto"/>
        </w:rPr>
        <w:t>Directors’ Market Value Stock Purchase Plan</w:t>
      </w:r>
    </w:p>
    <w:p>
      <w:pPr>
        <w:spacing w:after="0" w:line="185" w:lineRule="exact"/>
        <w:rPr>
          <w:sz w:val="20"/>
          <w:szCs w:val="20"/>
          <w:color w:val="auto"/>
        </w:rPr>
      </w:pPr>
    </w:p>
    <w:p>
      <w:pPr>
        <w:ind w:left="960" w:right="1019" w:firstLine="902"/>
        <w:spacing w:after="0" w:line="261" w:lineRule="auto"/>
        <w:rPr>
          <w:sz w:val="20"/>
          <w:szCs w:val="20"/>
          <w:color w:val="auto"/>
        </w:rPr>
      </w:pPr>
      <w:r>
        <w:rPr>
          <w:rFonts w:ascii="Times New Roman" w:cs="Times New Roman" w:eastAsia="Times New Roman" w:hAnsi="Times New Roman"/>
          <w:sz w:val="14"/>
          <w:szCs w:val="14"/>
          <w:color w:val="auto"/>
        </w:rPr>
        <w:t>In October 2018, our board of directors adopted a Directors’ Market Value Stock Purchase Plan, or the Directors Market Plan. A total of 1,000,000 shares of our common stock have been reserved for the Directors Market Plan. Under the Directors Market Plan, non-employee directors may purchase shares of our common stock at the prevailing market price on the purchase date with cash compensation payable to them for their services as a board member. As stated in Geron’s Non-Employee Director Compensation Policy, each non-employee director receives annual cash compensation, payable quarterly in arrears, for their services on the board and various committees of the board. As provided in the Non-Employee Director Compensation Policy, a non-employee director may elect to receive fully vested shares of common stock in lieu of cash and such shares shall be issuable from the Directors Market Plan.</w:t>
      </w:r>
    </w:p>
    <w:p>
      <w:pPr>
        <w:sectPr>
          <w:pgSz w:w="11900" w:h="16838" w:orient="portrait"/>
          <w:cols w:equalWidth="0" w:num="1">
            <w:col w:w="9019"/>
          </w:cols>
          <w:pgMar w:left="1440" w:top="114" w:right="1440" w:bottom="0" w:gutter="0" w:footer="0" w:header="0"/>
        </w:sectPr>
      </w:pPr>
    </w:p>
    <w:bookmarkStart w:id="90" w:name="page91"/>
    <w:bookmarkEnd w:id="90"/>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-83820</wp:posOffset>
            </wp:positionV>
            <wp:extent cx="5584190" cy="5396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84190" cy="5396865"/>
                    </a:xfrm>
                    <a:prstGeom prst="rect">
                      <a:avLst/>
                    </a:prstGeom>
                    <a:noFill/>
                  </pic:spPr>
                </pic:pic>
              </a:graphicData>
            </a:graphic>
          </wp:anchor>
        </w:drawing>
      </w:r>
    </w:p>
    <w:p>
      <w:pPr>
        <w:spacing w:after="0" w:line="134" w:lineRule="exact"/>
        <w:rPr>
          <w:sz w:val="20"/>
          <w:szCs w:val="20"/>
          <w:color w:val="auto"/>
        </w:rPr>
      </w:pPr>
    </w:p>
    <w:p>
      <w:pPr>
        <w:ind w:left="960" w:right="1619" w:firstLine="902"/>
        <w:spacing w:after="0" w:line="194" w:lineRule="exact"/>
        <w:rPr>
          <w:sz w:val="20"/>
          <w:szCs w:val="20"/>
          <w:color w:val="auto"/>
        </w:rPr>
      </w:pPr>
      <w:r>
        <w:rPr>
          <w:rFonts w:ascii="Times New Roman" w:cs="Times New Roman" w:eastAsia="Times New Roman" w:hAnsi="Times New Roman"/>
          <w:sz w:val="14"/>
          <w:szCs w:val="14"/>
          <w:color w:val="auto"/>
        </w:rPr>
        <w:t>The following table summarizes the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 included in research and development and selling, general and administrative expenses:</w:t>
      </w:r>
    </w:p>
    <w:p>
      <w:pPr>
        <w:spacing w:after="0" w:line="133" w:lineRule="exact"/>
        <w:rPr>
          <w:sz w:val="20"/>
          <w:szCs w:val="20"/>
          <w:color w:val="auto"/>
        </w:rPr>
      </w:pPr>
    </w:p>
    <w:tbl>
      <w:tblPr>
        <w:tblLayout w:type="fixed"/>
        <w:tblInd w:w="1640" w:type="dxa"/>
        <w:tblCellMar>
          <w:top w:w="0" w:type="dxa"/>
          <w:left w:w="0" w:type="dxa"/>
          <w:bottom w:w="0" w:type="dxa"/>
          <w:right w:w="0" w:type="dxa"/>
        </w:tblCellMar>
      </w:tblPr>
      <w:tr>
        <w:trPr>
          <w:trHeight w:val="148"/>
        </w:trPr>
        <w:tc>
          <w:tcPr>
            <w:tcW w:w="2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CCEEFF"/>
            </w:tcBorders>
          </w:tcPr>
          <w:p>
            <w:pPr>
              <w:spacing w:after="0"/>
              <w:rPr>
                <w:sz w:val="13"/>
                <w:szCs w:val="13"/>
                <w:color w:val="auto"/>
              </w:rPr>
            </w:pPr>
          </w:p>
        </w:tc>
      </w:tr>
      <w:tr>
        <w:trPr>
          <w:trHeight w:val="199"/>
        </w:trPr>
        <w:tc>
          <w:tcPr>
            <w:tcW w:w="2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60" w:type="dxa"/>
            <w:vAlign w:val="bottom"/>
            <w:shd w:val="clear" w:color="auto" w:fill="CCEEFF"/>
          </w:tcPr>
          <w:p>
            <w:pPr>
              <w:spacing w:after="0"/>
              <w:rPr>
                <w:sz w:val="17"/>
                <w:szCs w:val="17"/>
                <w:color w:val="auto"/>
              </w:rPr>
            </w:pPr>
          </w:p>
        </w:tc>
      </w:tr>
      <w:tr>
        <w:trPr>
          <w:trHeight w:val="215"/>
        </w:trPr>
        <w:tc>
          <w:tcPr>
            <w:tcW w:w="28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17,055</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21,725</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60" w:type="dxa"/>
            <w:vAlign w:val="bottom"/>
            <w:tcBorders>
              <w:bottom w:val="single" w:sz="8" w:color="CCEEFF"/>
            </w:tcBorders>
          </w:tcPr>
          <w:p>
            <w:pPr>
              <w:spacing w:after="0"/>
              <w:rPr>
                <w:sz w:val="18"/>
                <w:szCs w:val="18"/>
                <w:color w:val="auto"/>
              </w:rPr>
            </w:pPr>
          </w:p>
        </w:tc>
      </w:tr>
      <w:tr>
        <w:trPr>
          <w:trHeight w:val="198"/>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25,443</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31,320</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19,354</w:t>
            </w:r>
          </w:p>
        </w:tc>
        <w:tc>
          <w:tcPr>
            <w:tcW w:w="60" w:type="dxa"/>
            <w:vAlign w:val="bottom"/>
            <w:tcBorders>
              <w:bottom w:val="single" w:sz="8" w:color="CCEEFF"/>
            </w:tcBorders>
            <w:shd w:val="clear" w:color="auto" w:fill="CCEEFF"/>
          </w:tcPr>
          <w:p>
            <w:pPr>
              <w:spacing w:after="0"/>
              <w:rPr>
                <w:sz w:val="16"/>
                <w:szCs w:val="16"/>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left="960" w:right="999" w:firstLine="516"/>
        <w:spacing w:after="0" w:line="265" w:lineRule="auto"/>
        <w:rPr>
          <w:sz w:val="20"/>
          <w:szCs w:val="20"/>
          <w:color w:val="auto"/>
        </w:rPr>
      </w:pPr>
      <w:r>
        <w:rPr>
          <w:rFonts w:ascii="Times New Roman" w:cs="Times New Roman" w:eastAsia="Times New Roman" w:hAnsi="Times New Roman"/>
          <w:sz w:val="14"/>
          <w:szCs w:val="14"/>
          <w:color w:val="auto"/>
        </w:rPr>
        <w:t>Stock-based compensation of $1.3 million and $0.7 million was capitalized to inventory for the twelve months ended December 31, 2025 and 2024, respectively, and was excluded from the table above. No stock-based compensation was capitalized to inventory for the twelve months ended December 31, 2023. Stock-based compensation of approximately $0.3 million and $0.1 million was included in cost of goods sold for the twelve months ended December 31, 2025 and 2024, respectively.</w:t>
      </w:r>
    </w:p>
    <w:p>
      <w:pPr>
        <w:spacing w:after="0" w:line="142" w:lineRule="exact"/>
        <w:rPr>
          <w:sz w:val="20"/>
          <w:szCs w:val="20"/>
          <w:color w:val="auto"/>
        </w:rPr>
      </w:pPr>
    </w:p>
    <w:p>
      <w:pPr>
        <w:ind w:left="960" w:right="1359" w:firstLine="516"/>
        <w:spacing w:after="0" w:line="292" w:lineRule="auto"/>
        <w:rPr>
          <w:sz w:val="20"/>
          <w:szCs w:val="20"/>
          <w:color w:val="auto"/>
        </w:rPr>
      </w:pPr>
      <w:r>
        <w:rPr>
          <w:rFonts w:ascii="Times New Roman" w:cs="Times New Roman" w:eastAsia="Times New Roman" w:hAnsi="Times New Roman"/>
          <w:sz w:val="14"/>
          <w:szCs w:val="14"/>
          <w:color w:val="auto"/>
        </w:rPr>
        <w:t>The following table summarizes share-based compensation expense associated with each of our stock-based compensation programs: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48"/>
        </w:trPr>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58"/>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color w:val="auto"/>
              </w:rPr>
              <w:t>2025</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color w:val="auto"/>
              </w:rPr>
              <w:t>2024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color w:val="auto"/>
              </w:rPr>
              <w:t>2023</w:t>
            </w:r>
          </w:p>
        </w:tc>
      </w:tr>
      <w:tr>
        <w:trPr>
          <w:trHeight w:val="199"/>
        </w:trPr>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Service based options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15,722</w:t>
            </w:r>
          </w:p>
        </w:tc>
      </w:tr>
      <w:tr>
        <w:trPr>
          <w:trHeight w:val="215"/>
        </w:trPr>
        <w:tc>
          <w:tcPr>
            <w:tcW w:w="2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Performance based options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w:t>
            </w:r>
          </w:p>
        </w:tc>
      </w:tr>
      <w:tr>
        <w:trPr>
          <w:trHeight w:val="215"/>
        </w:trPr>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stock units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28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98"/>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26,747</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32,062</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19,354</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960" w:right="1159" w:firstLine="516"/>
        <w:spacing w:after="0" w:line="292" w:lineRule="auto"/>
        <w:rPr>
          <w:sz w:val="20"/>
          <w:szCs w:val="20"/>
          <w:color w:val="auto"/>
        </w:rPr>
      </w:pPr>
      <w:r>
        <w:rPr>
          <w:rFonts w:ascii="Times New Roman" w:cs="Times New Roman" w:eastAsia="Times New Roman" w:hAnsi="Times New Roman"/>
          <w:sz w:val="14"/>
          <w:szCs w:val="14"/>
          <w:color w:val="auto"/>
        </w:rPr>
        <w:t>The table above was not adjusted for stock-based compensation amounts capitalized to inventory for the twelve months ended December 31, 2025 and 2024.</w:t>
      </w:r>
    </w:p>
    <w:p>
      <w:pPr>
        <w:spacing w:after="0" w:line="92" w:lineRule="exact"/>
        <w:rPr>
          <w:sz w:val="20"/>
          <w:szCs w:val="20"/>
          <w:color w:val="auto"/>
        </w:rPr>
      </w:pPr>
    </w:p>
    <w:p>
      <w:pPr>
        <w:ind w:left="960" w:right="999" w:firstLine="516"/>
        <w:spacing w:after="0" w:line="195" w:lineRule="exact"/>
        <w:rPr>
          <w:sz w:val="20"/>
          <w:szCs w:val="20"/>
          <w:color w:val="auto"/>
        </w:rPr>
      </w:pPr>
      <w:r>
        <w:rPr>
          <w:rFonts w:ascii="Times New Roman" w:cs="Times New Roman" w:eastAsia="Times New Roman" w:hAnsi="Times New Roman"/>
          <w:sz w:val="14"/>
          <w:szCs w:val="14"/>
          <w:color w:val="auto"/>
        </w:rPr>
        <w:t>As of December 31, 2025, total compensation cost related to unvested share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payment awards not yet recognized, net of estimated forfeitures, and assuming no probability of achievement for outstanding performance-based stock options, was $40.7 million, which is expected to be recognized over the next 37 months on a 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basis.</w:t>
      </w:r>
    </w:p>
    <w:p>
      <w:pPr>
        <w:spacing w:after="0" w:line="104" w:lineRule="exact"/>
        <w:rPr>
          <w:sz w:val="20"/>
          <w:szCs w:val="20"/>
          <w:color w:val="auto"/>
        </w:rPr>
      </w:pPr>
    </w:p>
    <w:p>
      <w:pPr>
        <w:jc w:val="both"/>
        <w:ind w:left="960" w:right="1039" w:firstLine="902"/>
        <w:spacing w:after="0" w:line="187" w:lineRule="exact"/>
        <w:rPr>
          <w:sz w:val="20"/>
          <w:szCs w:val="20"/>
          <w:color w:val="auto"/>
        </w:rPr>
      </w:pPr>
      <w:r>
        <w:rPr>
          <w:rFonts w:ascii="Times New Roman" w:cs="Times New Roman" w:eastAsia="Times New Roman" w:hAnsi="Times New Roman"/>
          <w:sz w:val="14"/>
          <w:szCs w:val="14"/>
          <w:color w:val="auto"/>
        </w:rPr>
        <w:t>In 2025, 2024, and 2023, we recorded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 of $0.1 million, $0.1 million and $0.7 million for stock options held by consultants, respectively. This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 is included in the tables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1041400</wp:posOffset>
            </wp:positionV>
            <wp:extent cx="5584190" cy="50565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84190" cy="505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The following table presents stock option activity for the year ended December 31, 2025:</w:t>
      </w:r>
    </w:p>
    <w:p>
      <w:pPr>
        <w:spacing w:after="0" w:line="242" w:lineRule="exact"/>
        <w:rPr>
          <w:sz w:val="20"/>
          <w:szCs w:val="20"/>
          <w:color w:val="auto"/>
        </w:rPr>
      </w:pPr>
    </w:p>
    <w:tbl>
      <w:tblPr>
        <w:tblLayout w:type="fixed"/>
        <w:tblInd w:w="1460" w:type="dxa"/>
        <w:tblCellMar>
          <w:top w:w="0" w:type="dxa"/>
          <w:left w:w="0" w:type="dxa"/>
          <w:bottom w:w="0" w:type="dxa"/>
          <w:right w:w="0" w:type="dxa"/>
        </w:tblCellMar>
      </w:tblPr>
      <w:tr>
        <w:trPr>
          <w:trHeight w:val="137"/>
        </w:trPr>
        <w:tc>
          <w:tcPr>
            <w:tcW w:w="1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Outstanding Stock Options</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2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8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Contractual Life</w:t>
            </w: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17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Balance at December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75,967</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35,540</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(1,275)</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1"/>
                <w:szCs w:val="11"/>
                <w:color w:val="auto"/>
              </w:rPr>
              <w:t>Forfeited or expired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(27,862)</w:t>
            </w:r>
          </w:p>
        </w:tc>
        <w:tc>
          <w:tcPr>
            <w:tcW w:w="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Balance at December 31,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82,370</w:t>
            </w:r>
          </w:p>
        </w:tc>
        <w:tc>
          <w:tcPr>
            <w:tcW w:w="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Exercisable at December 31, 2025</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1,788</w:t>
            </w: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780" w:type="dxa"/>
            <w:vAlign w:val="bottom"/>
            <w:gridSpan w:val="2"/>
            <w:vMerge w:val="continue"/>
          </w:tcPr>
          <w:p>
            <w:pPr>
              <w:spacing w:after="0"/>
              <w:rPr>
                <w:sz w:val="8"/>
                <w:szCs w:val="8"/>
                <w:color w:val="auto"/>
              </w:rPr>
            </w:pPr>
          </w:p>
        </w:tc>
        <w:tc>
          <w:tcPr>
            <w:tcW w:w="100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45,954</w:t>
            </w:r>
          </w:p>
        </w:tc>
        <w:tc>
          <w:tcPr>
            <w:tcW w:w="9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Fully vested and expected to vest at</w:t>
            </w: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December 31,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78,935</w:t>
            </w:r>
          </w:p>
        </w:tc>
        <w:tc>
          <w:tcPr>
            <w:tcW w:w="9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2,525</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The weighted-average estimated fair value of stock options granted during the years ended December 31, 2025, 2024 and 2023 was $1.17, $2.05 and $1.95 per share, respectively. The total pretax intrinsic value of stock options exercised during 2025, 2024, and 2023 was $0.5 million $41.2 million and $12.0 million, respectively. The intrinsic value was calculated as the difference between the fair value of the Company's common stock and the exercise price of the option. Cash received from the exercise of stock options in 2025, 2024, and 2023 totaled approximately $1.5 million, $31.6 million and $12.4 million, respectively. The total grant date fair value of options vested during 2025, 2024, and 2023 was $41.5 million, $60.6 million, and $40.6 million, respectively.</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fair value of stock options granted has been estimated using the following assumptions:</w:t>
      </w:r>
    </w:p>
    <w:p>
      <w:pPr>
        <w:spacing w:after="0" w:line="242" w:lineRule="exact"/>
        <w:rPr>
          <w:sz w:val="20"/>
          <w:szCs w:val="20"/>
          <w:color w:val="auto"/>
        </w:rPr>
      </w:pPr>
    </w:p>
    <w:tbl>
      <w:tblPr>
        <w:tblLayout w:type="fixed"/>
        <w:tblInd w:w="1420" w:type="dxa"/>
        <w:tblCellMar>
          <w:top w:w="0" w:type="dxa"/>
          <w:left w:w="0" w:type="dxa"/>
          <w:bottom w:w="0" w:type="dxa"/>
          <w:right w:w="0" w:type="dxa"/>
        </w:tblCellMar>
      </w:tblPr>
      <w:tr>
        <w:trPr>
          <w:trHeight w:val="148"/>
        </w:trPr>
        <w:tc>
          <w:tcPr>
            <w:tcW w:w="26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60" w:type="dxa"/>
            <w:vAlign w:val="bottom"/>
            <w:tcBorders>
              <w:bottom w:val="single" w:sz="8" w:color="auto"/>
            </w:tcBorders>
          </w:tcPr>
          <w:p>
            <w:pPr>
              <w:spacing w:after="0"/>
              <w:rPr>
                <w:sz w:val="12"/>
                <w:szCs w:val="12"/>
                <w:color w:val="auto"/>
              </w:rPr>
            </w:pPr>
          </w:p>
        </w:tc>
      </w:tr>
      <w:tr>
        <w:trPr>
          <w:trHeight w:val="158"/>
        </w:trPr>
        <w:tc>
          <w:tcPr>
            <w:tcW w:w="26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99"/>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 yield</w:t>
            </w:r>
          </w:p>
        </w:tc>
        <w:tc>
          <w:tcPr>
            <w:tcW w:w="104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rPr>
              <w:t>0%</w:t>
            </w:r>
          </w:p>
        </w:tc>
        <w:tc>
          <w:tcPr>
            <w:tcW w:w="1300" w:type="dxa"/>
            <w:vAlign w:val="bottom"/>
            <w:gridSpan w:val="3"/>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0%</w:t>
            </w:r>
          </w:p>
        </w:tc>
      </w:tr>
      <w:tr>
        <w:trPr>
          <w:trHeight w:val="215"/>
        </w:trPr>
        <w:tc>
          <w:tcPr>
            <w:tcW w:w="2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Expected volatility range</w:t>
            </w:r>
          </w:p>
        </w:tc>
        <w:tc>
          <w:tcPr>
            <w:tcW w:w="10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9"/>
              </w:rPr>
              <w:t>72% to 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color w:val="auto"/>
                <w:w w:val="99"/>
              </w:rPr>
              <w:t>72% to 87%</w:t>
            </w:r>
          </w:p>
        </w:tc>
        <w:tc>
          <w:tcPr>
            <w:tcW w:w="106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9"/>
              </w:rPr>
              <w:t>82% to 83%</w:t>
            </w:r>
          </w:p>
        </w:tc>
      </w:tr>
      <w:tr>
        <w:trPr>
          <w:trHeight w:val="215"/>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Risk-free interest rate range</w:t>
            </w:r>
          </w:p>
        </w:tc>
        <w:tc>
          <w:tcPr>
            <w:tcW w:w="104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8"/>
              </w:rPr>
              <w:t>3.7% to 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8"/>
              </w:rPr>
              <w:t>3.5% to 4.6%</w:t>
            </w:r>
          </w:p>
        </w:tc>
        <w:tc>
          <w:tcPr>
            <w:tcW w:w="10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3.42% to 4.94%</w:t>
            </w:r>
          </w:p>
        </w:tc>
      </w:tr>
      <w:tr>
        <w:trPr>
          <w:trHeight w:val="225"/>
        </w:trPr>
        <w:tc>
          <w:tcPr>
            <w:tcW w:w="2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Expected term range</w:t>
            </w:r>
          </w:p>
        </w:tc>
        <w:tc>
          <w:tcPr>
            <w:tcW w:w="10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rPr>
              <w:t>6.0 yrs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color w:val="auto"/>
                <w:w w:val="95"/>
              </w:rPr>
              <w:t>6.0 yrs</w:t>
            </w:r>
          </w:p>
        </w:tc>
        <w:tc>
          <w:tcPr>
            <w:tcW w:w="10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5"/>
              </w:rPr>
              <w:t>6.0 yrs</w:t>
            </w:r>
          </w:p>
        </w:tc>
      </w:tr>
    </w:tbl>
    <w:p>
      <w:pPr>
        <w:spacing w:after="0" w:line="200" w:lineRule="exact"/>
        <w:rPr>
          <w:sz w:val="20"/>
          <w:szCs w:val="20"/>
          <w:color w:val="auto"/>
        </w:rPr>
      </w:pPr>
    </w:p>
    <w:p>
      <w:pPr>
        <w:sectPr>
          <w:pgSz w:w="11900" w:h="16857" w:orient="portrait"/>
          <w:cols w:equalWidth="0" w:num="1">
            <w:col w:w="9019"/>
          </w:cols>
          <w:pgMar w:left="1440" w:top="111" w:right="1440" w:bottom="0" w:gutter="0" w:footer="0" w:header="0"/>
        </w:sectPr>
      </w:pPr>
    </w:p>
    <w:p>
      <w:pPr>
        <w:spacing w:after="0" w:line="1" w:lineRule="exact"/>
        <w:rPr>
          <w:sz w:val="20"/>
          <w:szCs w:val="20"/>
          <w:color w:val="auto"/>
        </w:rPr>
      </w:pPr>
    </w:p>
    <w:p>
      <w:pPr>
        <w:jc w:val="both"/>
        <w:ind w:left="960" w:right="1079" w:firstLine="902"/>
        <w:spacing w:after="0" w:line="274" w:lineRule="auto"/>
        <w:rPr>
          <w:sz w:val="20"/>
          <w:szCs w:val="20"/>
          <w:color w:val="auto"/>
        </w:rPr>
      </w:pPr>
      <w:r>
        <w:rPr>
          <w:rFonts w:ascii="Times New Roman" w:cs="Times New Roman" w:eastAsia="Times New Roman" w:hAnsi="Times New Roman"/>
          <w:sz w:val="14"/>
          <w:szCs w:val="14"/>
          <w:color w:val="auto"/>
        </w:rPr>
        <w:t>In 2025, 2024, and 2023, our board of directors awarded 67,000, 208,100 and 832,790 performance-based stock options, respectively, to certain employees. These performance-based stock options are included in the outstanding stock options table above. Performance-based stock options vest only upon achievement of discrete milestones.</w:t>
      </w:r>
    </w:p>
    <w:p>
      <w:pPr>
        <w:sectPr>
          <w:pgSz w:w="11900" w:h="16857" w:orient="portrait"/>
          <w:cols w:equalWidth="0" w:num="1">
            <w:col w:w="9019"/>
          </w:cols>
          <w:pgMar w:left="1440" w:top="111" w:right="1440" w:bottom="0" w:gutter="0" w:footer="0" w:header="0"/>
          <w:type w:val="continuous"/>
        </w:sectPr>
      </w:pPr>
    </w:p>
    <w:bookmarkStart w:id="91" w:name="page92"/>
    <w:bookmarkEnd w:id="91"/>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-96520</wp:posOffset>
            </wp:positionV>
            <wp:extent cx="5584190" cy="21577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84190" cy="2157730"/>
                    </a:xfrm>
                    <a:prstGeom prst="rect">
                      <a:avLst/>
                    </a:prstGeom>
                    <a:noFill/>
                  </pic:spPr>
                </pic:pic>
              </a:graphicData>
            </a:graphic>
          </wp:anchor>
        </w:drawing>
      </w:r>
    </w:p>
    <w:p>
      <w:pPr>
        <w:spacing w:after="0" w:line="167" w:lineRule="exact"/>
        <w:rPr>
          <w:sz w:val="20"/>
          <w:szCs w:val="20"/>
          <w:color w:val="auto"/>
        </w:rPr>
      </w:pPr>
    </w:p>
    <w:p>
      <w:pPr>
        <w:ind w:left="960" w:right="1119" w:firstLine="902"/>
        <w:spacing w:after="0" w:line="292" w:lineRule="auto"/>
        <w:rPr>
          <w:sz w:val="20"/>
          <w:szCs w:val="20"/>
          <w:color w:val="auto"/>
        </w:rPr>
      </w:pPr>
      <w:r>
        <w:rPr>
          <w:rFonts w:ascii="Times New Roman" w:cs="Times New Roman" w:eastAsia="Times New Roman" w:hAnsi="Times New Roman"/>
          <w:sz w:val="14"/>
          <w:szCs w:val="14"/>
          <w:color w:val="auto"/>
          <w:highlight w:val="white"/>
        </w:rPr>
        <w:t xml:space="preserve">We grant service-based restricted stock units ("RSUs") under our equity plans to employees. The service-based vesting period for an employee RSU is generally </w:t>
      </w:r>
      <w:r>
        <w:rPr>
          <w:rFonts w:ascii="Times New Roman" w:cs="Times New Roman" w:eastAsia="Times New Roman" w:hAnsi="Times New Roman"/>
          <w:sz w:val="14"/>
          <w:szCs w:val="14"/>
          <w:color w:val="auto"/>
        </w:rPr>
        <w:t>four years</w:t>
      </w:r>
      <w:r>
        <w:rPr>
          <w:rFonts w:ascii="Times New Roman" w:cs="Times New Roman" w:eastAsia="Times New Roman" w:hAnsi="Times New Roman"/>
          <w:sz w:val="14"/>
          <w:szCs w:val="14"/>
          <w:color w:val="auto"/>
          <w:highlight w:val="white"/>
        </w:rPr>
        <w:t xml:space="preserve"> from the date of the grant.</w:t>
      </w:r>
    </w:p>
    <w:p>
      <w:pPr>
        <w:spacing w:after="0" w:line="21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following table summarizes the activity for RSUs:</w:t>
      </w:r>
    </w:p>
    <w:p>
      <w:pPr>
        <w:spacing w:after="0" w:line="81" w:lineRule="exact"/>
        <w:rPr>
          <w:sz w:val="20"/>
          <w:szCs w:val="20"/>
          <w:color w:val="auto"/>
        </w:rPr>
      </w:pPr>
    </w:p>
    <w:tbl>
      <w:tblPr>
        <w:tblLayout w:type="fixed"/>
        <w:tblInd w:w="960" w:type="dxa"/>
        <w:tblCellMar>
          <w:top w:w="0" w:type="dxa"/>
          <w:left w:w="0" w:type="dxa"/>
          <w:bottom w:w="0" w:type="dxa"/>
          <w:right w:w="0" w:type="dxa"/>
        </w:tblCellMar>
      </w:tblPr>
      <w:tr>
        <w:trPr>
          <w:trHeight w:val="150"/>
        </w:trPr>
        <w:tc>
          <w:tcPr>
            <w:tcW w:w="4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70"/>
        </w:trPr>
        <w:tc>
          <w:tcPr>
            <w:tcW w:w="42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r>
      <w:tr>
        <w:trPr>
          <w:trHeight w:val="163"/>
        </w:trPr>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Unvested at December 31, 2024</w:t>
            </w:r>
          </w:p>
        </w:tc>
        <w:tc>
          <w:tcPr>
            <w:tcW w:w="12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3"/>
        </w:trPr>
        <w:tc>
          <w:tcPr>
            <w:tcW w:w="42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5,336,250</w:t>
            </w:r>
          </w:p>
        </w:tc>
        <w:tc>
          <w:tcPr>
            <w:tcW w:w="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r>
      <w:tr>
        <w:trPr>
          <w:trHeight w:val="183"/>
        </w:trPr>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Vested</w:t>
            </w:r>
          </w:p>
        </w:tc>
        <w:tc>
          <w:tcPr>
            <w:tcW w:w="12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3"/>
        </w:trPr>
        <w:tc>
          <w:tcPr>
            <w:tcW w:w="4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(2,186,500)</w:t>
            </w:r>
          </w:p>
        </w:tc>
        <w:tc>
          <w:tcPr>
            <w:tcW w:w="6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w:t>
            </w:r>
          </w:p>
        </w:tc>
      </w:tr>
      <w:tr>
        <w:trPr>
          <w:trHeight w:val="166"/>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Unvested at December 31,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3,149,750</w:t>
            </w:r>
          </w:p>
        </w:tc>
        <w:tc>
          <w:tcPr>
            <w:tcW w:w="6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672465</wp:posOffset>
            </wp:positionV>
            <wp:extent cx="5584190" cy="72205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highlight w:val="white"/>
        </w:rPr>
        <w:t>Restricted Stock Awards</w:t>
      </w:r>
    </w:p>
    <w:p>
      <w:pPr>
        <w:spacing w:after="0" w:line="101" w:lineRule="exact"/>
        <w:rPr>
          <w:sz w:val="20"/>
          <w:szCs w:val="20"/>
          <w:color w:val="auto"/>
        </w:rPr>
      </w:pPr>
    </w:p>
    <w:p>
      <w:pPr>
        <w:ind w:left="960" w:right="1079" w:firstLine="902"/>
        <w:spacing w:after="0" w:line="265" w:lineRule="auto"/>
        <w:rPr>
          <w:sz w:val="20"/>
          <w:szCs w:val="20"/>
          <w:color w:val="auto"/>
        </w:rPr>
      </w:pPr>
      <w:r>
        <w:rPr>
          <w:rFonts w:ascii="Times New Roman" w:cs="Times New Roman" w:eastAsia="Times New Roman" w:hAnsi="Times New Roman"/>
          <w:sz w:val="14"/>
          <w:szCs w:val="14"/>
          <w:color w:val="auto"/>
        </w:rPr>
        <w:t>For the years ended December 31, 2025, 2024 and 2023, we issued 22,073, 8,351 and 36,864 shares of common stock, respectively, under the Directors Market Plan. The weighted average grant date fair value of stock granted during the years ended December 31, 2025 2024 and 2023 was $1.42, $3.84 and $2.37 per share, respectively. The total fair value of vested stock grants during 2025, 2024 and 2023 was less than $0.1 million, less than $0.1 million and $0.1 million, respectively.</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7"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In March 2014, our board of directors adopted the 2014 Employee Stock Purchase Plan, or 2014 Purchase Plan. The 2014 Purchase Plan was approved by our stockholders in May 2014. The 2014 Purchase Plan replaced the 1996 Employee Stock Purchase Plan, or 1996 Purchase Plan, which was terminated effective as of the date the 2014 Purchase Plan was approved by our stockholders. In May 2022, our stockholders approved an amendment to our 2014 Purchase Plan to increase the total number of shares issuable under such plan by 1,000,000 shares of our common stock, for an aggregate total reserve of 2,000,000 shares. In the May 2025 annual meeting, stockholders approved an amendment to increase the reserve for the 2014 Purchase Plan by 6,000,000 shares, for an aggregate total reserve of 8,000,000 shares. At December 31, 2025, an aggregate of 2,380,619 shares of our common stock have been issued under the 2014 Employee Stock Purchase Plan since its adoption.</w:t>
      </w:r>
    </w:p>
    <w:p>
      <w:pPr>
        <w:spacing w:after="0" w:line="149" w:lineRule="exact"/>
        <w:rPr>
          <w:sz w:val="20"/>
          <w:szCs w:val="20"/>
          <w:color w:val="auto"/>
        </w:rPr>
      </w:pPr>
    </w:p>
    <w:p>
      <w:pPr>
        <w:ind w:left="960" w:right="1019" w:firstLine="902"/>
        <w:spacing w:after="0" w:line="265" w:lineRule="auto"/>
        <w:rPr>
          <w:sz w:val="20"/>
          <w:szCs w:val="20"/>
          <w:color w:val="auto"/>
        </w:rPr>
      </w:pPr>
      <w:r>
        <w:rPr>
          <w:rFonts w:ascii="Times New Roman" w:cs="Times New Roman" w:eastAsia="Times New Roman" w:hAnsi="Times New Roman"/>
          <w:sz w:val="14"/>
          <w:szCs w:val="14"/>
          <w:color w:val="auto"/>
        </w:rPr>
        <w:t>The 2014 Purchase Plan is comprised of a series of offering periods, each with a maximum duration (not to exceed 12 months) with new offering periods commencing on January 1st and July 1st of each year. The date an employee enters the offering period will be designated as the entry date for purposes of that offering period. An employee may participate only in one offering period at a time. Each offering period consists of two consecutive purchase periods of six months’ duration, with the last day of such period designated a purchase date.</w:t>
      </w:r>
    </w:p>
    <w:p>
      <w:pPr>
        <w:spacing w:after="0" w:line="142" w:lineRule="exact"/>
        <w:rPr>
          <w:sz w:val="20"/>
          <w:szCs w:val="20"/>
          <w:color w:val="auto"/>
        </w:rPr>
      </w:pPr>
    </w:p>
    <w:p>
      <w:pPr>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Under the terms of the 2014 Purchase Plan, employees can choose to have up to 10% of their annual salary withheld to purchase our common stock, up to a limit of $25,000 per year. An employee may not make additional payments into such account or increase the withholding percentage during the offering period.</w:t>
      </w:r>
    </w:p>
    <w:p>
      <w:pPr>
        <w:spacing w:after="0" w:line="136" w:lineRule="exact"/>
        <w:rPr>
          <w:sz w:val="20"/>
          <w:szCs w:val="20"/>
          <w:color w:val="auto"/>
        </w:rPr>
      </w:pPr>
    </w:p>
    <w:p>
      <w:pPr>
        <w:ind w:left="960" w:right="1059" w:firstLine="902"/>
        <w:spacing w:after="0" w:line="263" w:lineRule="auto"/>
        <w:rPr>
          <w:sz w:val="20"/>
          <w:szCs w:val="20"/>
          <w:color w:val="auto"/>
        </w:rPr>
      </w:pPr>
      <w:r>
        <w:rPr>
          <w:rFonts w:ascii="Times New Roman" w:cs="Times New Roman" w:eastAsia="Times New Roman" w:hAnsi="Times New Roman"/>
          <w:sz w:val="14"/>
          <w:szCs w:val="14"/>
          <w:color w:val="auto"/>
        </w:rPr>
        <w:t>The purchase price per share at which common stock is purchased by the employee on each purchase date within the offering period is equal to 85% of the lower of (i) the fair market value per share of our common stock on the employee’s entry date into that offering period or (ii) the fair market value per share of our common stock on the purchase date. If the fair market value per share of our common stock on the purchase date is less than the fair market value at the beginning of the offering period, a new 12 month offering period will automatically begin on the first business day following the purchase date with a new fair market value.</w:t>
      </w:r>
    </w:p>
    <w:p>
      <w:pPr>
        <w:spacing w:after="0" w:line="199" w:lineRule="exact"/>
        <w:rPr>
          <w:sz w:val="20"/>
          <w:szCs w:val="20"/>
          <w:color w:val="auto"/>
        </w:rPr>
      </w:pPr>
    </w:p>
    <w:p>
      <w:pPr>
        <w:ind w:left="960" w:right="1279" w:firstLine="902"/>
        <w:spacing w:after="0" w:line="194" w:lineRule="exact"/>
        <w:rPr>
          <w:sz w:val="20"/>
          <w:szCs w:val="20"/>
          <w:color w:val="auto"/>
        </w:rPr>
      </w:pPr>
      <w:r>
        <w:rPr>
          <w:rFonts w:ascii="Times New Roman" w:cs="Times New Roman" w:eastAsia="Times New Roman" w:hAnsi="Times New Roman"/>
          <w:sz w:val="14"/>
          <w:szCs w:val="14"/>
          <w:color w:val="auto"/>
        </w:rPr>
        <w:t>The fair value of employee stock purchases has been estimated using the Black-Scholes option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pricing model with the following assumptions:</w:t>
      </w:r>
    </w:p>
    <w:p>
      <w:pPr>
        <w:spacing w:after="0" w:line="133" w:lineRule="exact"/>
        <w:rPr>
          <w:sz w:val="20"/>
          <w:szCs w:val="20"/>
          <w:color w:val="auto"/>
        </w:rPr>
      </w:pPr>
    </w:p>
    <w:tbl>
      <w:tblPr>
        <w:tblLayout w:type="fixed"/>
        <w:tblInd w:w="1420" w:type="dxa"/>
        <w:tblCellMar>
          <w:top w:w="0" w:type="dxa"/>
          <w:left w:w="0" w:type="dxa"/>
          <w:bottom w:w="0" w:type="dxa"/>
          <w:right w:w="0" w:type="dxa"/>
        </w:tblCellMar>
      </w:tblPr>
      <w:tr>
        <w:trPr>
          <w:trHeight w:val="148"/>
        </w:trPr>
        <w:tc>
          <w:tcPr>
            <w:tcW w:w="26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40" w:type="dxa"/>
            <w:vAlign w:val="bottom"/>
            <w:tcBorders>
              <w:bottom w:val="single" w:sz="8" w:color="auto"/>
            </w:tcBorders>
          </w:tcPr>
          <w:p>
            <w:pPr>
              <w:spacing w:after="0"/>
              <w:rPr>
                <w:sz w:val="12"/>
                <w:szCs w:val="12"/>
                <w:color w:val="auto"/>
              </w:rPr>
            </w:pPr>
          </w:p>
        </w:tc>
      </w:tr>
      <w:tr>
        <w:trPr>
          <w:trHeight w:val="158"/>
        </w:trPr>
        <w:tc>
          <w:tcPr>
            <w:tcW w:w="26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99"/>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 yield</w:t>
            </w:r>
          </w:p>
        </w:tc>
        <w:tc>
          <w:tcPr>
            <w:tcW w:w="104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rPr>
              <w:t>0%</w:t>
            </w:r>
          </w:p>
        </w:tc>
        <w:tc>
          <w:tcPr>
            <w:tcW w:w="1300" w:type="dxa"/>
            <w:vAlign w:val="bottom"/>
            <w:gridSpan w:val="3"/>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0%</w:t>
            </w:r>
          </w:p>
        </w:tc>
      </w:tr>
      <w:tr>
        <w:trPr>
          <w:trHeight w:val="215"/>
        </w:trPr>
        <w:tc>
          <w:tcPr>
            <w:tcW w:w="2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Expected volatility range</w:t>
            </w:r>
          </w:p>
        </w:tc>
        <w:tc>
          <w:tcPr>
            <w:tcW w:w="10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rPr>
              <w:t>69%. to 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w w:val="98"/>
              </w:rPr>
              <w:t>72% to 119%</w:t>
            </w: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79% to 83%</w:t>
            </w:r>
          </w:p>
        </w:tc>
      </w:tr>
      <w:tr>
        <w:trPr>
          <w:trHeight w:val="215"/>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Risk-free interest rate range</w:t>
            </w:r>
          </w:p>
        </w:tc>
        <w:tc>
          <w:tcPr>
            <w:tcW w:w="104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8"/>
              </w:rPr>
              <w:t>4.0% to 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8"/>
              </w:rPr>
              <w:t>4.8% to 5.4%</w:t>
            </w:r>
          </w:p>
        </w:tc>
        <w:tc>
          <w:tcPr>
            <w:tcW w:w="104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8"/>
              </w:rPr>
              <w:t>4.73% to 5.4%</w:t>
            </w:r>
          </w:p>
        </w:tc>
      </w:tr>
      <w:tr>
        <w:trPr>
          <w:trHeight w:val="225"/>
        </w:trPr>
        <w:tc>
          <w:tcPr>
            <w:tcW w:w="2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Expected term range</w:t>
            </w:r>
          </w:p>
        </w:tc>
        <w:tc>
          <w:tcPr>
            <w:tcW w:w="104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rPr>
              <w:t>6 - 12 mos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color w:val="auto"/>
                <w:w w:val="97"/>
              </w:rPr>
              <w:t>6 - 12 mos</w:t>
            </w: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7"/>
              </w:rPr>
              <w:t>6 - 12 mos</w:t>
            </w:r>
          </w:p>
        </w:tc>
      </w:tr>
    </w:tbl>
    <w:p>
      <w:pPr>
        <w:spacing w:after="0" w:line="212" w:lineRule="exact"/>
        <w:rPr>
          <w:sz w:val="20"/>
          <w:szCs w:val="20"/>
          <w:color w:val="auto"/>
        </w:rPr>
      </w:pPr>
    </w:p>
    <w:p>
      <w:pPr>
        <w:ind w:left="960" w:right="999" w:firstLine="902"/>
        <w:spacing w:after="0" w:line="292" w:lineRule="auto"/>
        <w:rPr>
          <w:sz w:val="20"/>
          <w:szCs w:val="20"/>
          <w:color w:val="auto"/>
        </w:rPr>
      </w:pPr>
      <w:r>
        <w:rPr>
          <w:rFonts w:ascii="Times New Roman" w:cs="Times New Roman" w:eastAsia="Times New Roman" w:hAnsi="Times New Roman"/>
          <w:sz w:val="14"/>
          <w:szCs w:val="14"/>
          <w:color w:val="auto"/>
        </w:rPr>
        <w:t>The weighted average estimated fair value of employees’ purchase rights for the years ended December 31, 2025, 2024 and 2023 was $1.05, $0.82 and $1.10 per share,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1183005</wp:posOffset>
            </wp:positionV>
            <wp:extent cx="5584190" cy="10121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8419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Common Stock Reserved for Future Issuance</w:t>
      </w:r>
    </w:p>
    <w:p>
      <w:pPr>
        <w:spacing w:after="0" w:line="9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Common stock reserved for future issuance as of December 31, 2025 is as follows:</w:t>
      </w:r>
    </w:p>
    <w:p>
      <w:pPr>
        <w:sectPr>
          <w:pgSz w:w="11900" w:h="16838" w:orient="portrait"/>
          <w:cols w:equalWidth="0" w:num="1">
            <w:col w:w="9019"/>
          </w:cols>
          <w:pgMar w:left="1440" w:top="132" w:right="1440" w:bottom="0" w:gutter="0" w:footer="0" w:header="0"/>
        </w:sectPr>
      </w:pPr>
    </w:p>
    <w:bookmarkStart w:id="92" w:name="page93"/>
    <w:bookmarkEnd w:id="92"/>
    <w:tbl>
      <w:tblPr>
        <w:tblLayout w:type="fixed"/>
        <w:tblInd w:w="2380" w:type="dxa"/>
        <w:tblCellMar>
          <w:top w:w="0" w:type="dxa"/>
          <w:left w:w="0" w:type="dxa"/>
          <w:bottom w:w="0" w:type="dxa"/>
          <w:right w:w="0" w:type="dxa"/>
        </w:tblCellMar>
      </w:tblPr>
      <w:tr>
        <w:trPr>
          <w:trHeight w:val="215"/>
        </w:trPr>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Outstanding stock options and unvested RSUs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86,110,557</w:t>
            </w:r>
          </w:p>
        </w:tc>
        <w:tc>
          <w:tcPr>
            <w:tcW w:w="40" w:type="dxa"/>
            <w:vAlign w:val="bottom"/>
            <w:shd w:val="clear" w:color="auto" w:fill="CCEEFF"/>
          </w:tcPr>
          <w:p>
            <w:pPr>
              <w:spacing w:after="0"/>
              <w:rPr>
                <w:sz w:val="18"/>
                <w:szCs w:val="18"/>
                <w:color w:val="auto"/>
              </w:rPr>
            </w:pPr>
          </w:p>
        </w:tc>
      </w:tr>
      <w:tr>
        <w:trPr>
          <w:trHeight w:val="209"/>
        </w:trPr>
        <w:tc>
          <w:tcPr>
            <w:tcW w:w="3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2011 Plan, 2018 Plan and Inducement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57,528,890</w:t>
            </w:r>
          </w:p>
        </w:tc>
        <w:tc>
          <w:tcPr>
            <w:tcW w:w="40" w:type="dxa"/>
            <w:vAlign w:val="bottom"/>
          </w:tcPr>
          <w:p>
            <w:pPr>
              <w:spacing w:after="0"/>
              <w:rPr>
                <w:sz w:val="18"/>
                <w:szCs w:val="18"/>
                <w:color w:val="auto"/>
              </w:rPr>
            </w:pPr>
          </w:p>
        </w:tc>
      </w:tr>
      <w:tr>
        <w:trPr>
          <w:trHeight w:val="221"/>
        </w:trPr>
        <w:tc>
          <w:tcPr>
            <w:tcW w:w="3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5,619,381</w:t>
            </w:r>
          </w:p>
        </w:tc>
        <w:tc>
          <w:tcPr>
            <w:tcW w:w="40" w:type="dxa"/>
            <w:vAlign w:val="bottom"/>
            <w:shd w:val="clear" w:color="auto" w:fill="CCEEFF"/>
          </w:tcPr>
          <w:p>
            <w:pPr>
              <w:spacing w:after="0"/>
              <w:rPr>
                <w:sz w:val="19"/>
                <w:szCs w:val="19"/>
                <w:color w:val="auto"/>
              </w:rPr>
            </w:pPr>
          </w:p>
        </w:tc>
      </w:tr>
      <w:tr>
        <w:trPr>
          <w:trHeight w:val="209"/>
        </w:trPr>
        <w:tc>
          <w:tcPr>
            <w:tcW w:w="30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Warrants outstanding</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29,293,291</w:t>
            </w:r>
          </w:p>
        </w:tc>
        <w:tc>
          <w:tcPr>
            <w:tcW w:w="40" w:type="dxa"/>
            <w:vAlign w:val="bottom"/>
            <w:tcBorders>
              <w:bottom w:val="single" w:sz="8" w:color="CCEEFF"/>
            </w:tcBorders>
          </w:tcPr>
          <w:p>
            <w:pPr>
              <w:spacing w:after="0"/>
              <w:rPr>
                <w:sz w:val="18"/>
                <w:szCs w:val="18"/>
                <w:color w:val="auto"/>
              </w:rPr>
            </w:pPr>
          </w:p>
        </w:tc>
      </w:tr>
      <w:tr>
        <w:trPr>
          <w:trHeight w:val="204"/>
        </w:trPr>
        <w:tc>
          <w:tcPr>
            <w:tcW w:w="30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178,552,119</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62020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84190" cy="620204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5568315</wp:posOffset>
            </wp:positionV>
            <wp:extent cx="5584190" cy="42513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4190" cy="425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12. NET LOSS PER COMMON SHARE</w:t>
      </w:r>
    </w:p>
    <w:p>
      <w:pPr>
        <w:spacing w:after="0" w:line="185" w:lineRule="exact"/>
        <w:rPr>
          <w:sz w:val="20"/>
          <w:szCs w:val="20"/>
          <w:color w:val="auto"/>
        </w:rPr>
      </w:pPr>
    </w:p>
    <w:p>
      <w:pPr>
        <w:jc w:val="both"/>
        <w:ind w:left="960" w:right="1359" w:firstLine="902"/>
        <w:spacing w:after="0" w:line="262" w:lineRule="auto"/>
        <w:rPr>
          <w:sz w:val="20"/>
          <w:szCs w:val="20"/>
          <w:color w:val="auto"/>
        </w:rPr>
      </w:pPr>
      <w:r>
        <w:rPr>
          <w:rFonts w:ascii="Times New Roman" w:cs="Times New Roman" w:eastAsia="Times New Roman" w:hAnsi="Times New Roman"/>
          <w:sz w:val="14"/>
          <w:szCs w:val="14"/>
          <w:color w:val="auto"/>
        </w:rPr>
        <w:t>Basic net income (loss) per share is calculated by dividing net income (loss) by the weighted-average number of shares of common stock outstanding for the periods presented without consideration of potential common shares.</w:t>
      </w:r>
    </w:p>
    <w:p>
      <w:pPr>
        <w:spacing w:after="0" w:line="2" w:lineRule="exact"/>
        <w:rPr>
          <w:sz w:val="20"/>
          <w:szCs w:val="20"/>
          <w:color w:val="auto"/>
        </w:rPr>
      </w:pPr>
    </w:p>
    <w:p>
      <w:pPr>
        <w:jc w:val="both"/>
        <w:ind w:left="960" w:right="1159" w:firstLine="902"/>
        <w:spacing w:after="0" w:line="264" w:lineRule="auto"/>
        <w:rPr>
          <w:sz w:val="20"/>
          <w:szCs w:val="20"/>
          <w:color w:val="auto"/>
        </w:rPr>
      </w:pPr>
      <w:r>
        <w:rPr>
          <w:rFonts w:ascii="Times New Roman" w:cs="Times New Roman" w:eastAsia="Times New Roman" w:hAnsi="Times New Roman"/>
          <w:sz w:val="14"/>
          <w:szCs w:val="14"/>
          <w:color w:val="auto"/>
        </w:rPr>
        <w:t>Since we incurred a net loss for 2025, 2024, and 2023, the diluted net loss per share calculation excludes potential dilutive securities of 86,350,703, 77,369,889 and 75,458,854 shares, respectively, related to outstanding stock options and warrants, as their effect would have been anti-dilutive.</w:t>
      </w:r>
    </w:p>
    <w:p>
      <w:pPr>
        <w:spacing w:after="0" w:line="228" w:lineRule="exact"/>
        <w:rPr>
          <w:sz w:val="20"/>
          <w:szCs w:val="20"/>
          <w:color w:val="auto"/>
        </w:rPr>
      </w:pPr>
    </w:p>
    <w:p>
      <w:pPr>
        <w:ind w:left="960" w:right="1059" w:firstLine="902"/>
        <w:spacing w:after="0" w:line="259" w:lineRule="auto"/>
        <w:rPr>
          <w:sz w:val="20"/>
          <w:szCs w:val="20"/>
          <w:color w:val="auto"/>
        </w:rPr>
      </w:pPr>
      <w:r>
        <w:rPr>
          <w:rFonts w:ascii="Times New Roman" w:cs="Times New Roman" w:eastAsia="Times New Roman" w:hAnsi="Times New Roman"/>
          <w:sz w:val="14"/>
          <w:szCs w:val="14"/>
          <w:color w:val="auto"/>
        </w:rPr>
        <w:t>In March 2024, we completed an underwritten public offering of 41,999,998 shares of our common stock and a pre-funded warrant to purchase 8,002,668 shares of our common stock, or the 2024 pre-funded warrant. In January 2023, we completed an underwritten public offering of 68,007,741 shares of our common stock and a pre-funded warrant to purchase 25,000,000 shares of our common stock, or the 2023 pre-funded warrant. In April 2022, we entered into an underwriting public offering of our common stock, pursuant to which we issued a pre-funded warrant to purchase 18,095,238 shares of our common stock, also known as the 2022 pre-funded warrant. In May 2020, we entered into an underwriting agreement public offering of our common stock, pursuant to which we issued a pre-funded warrant to purchase 8,335,239 shares of our common stock, or the 2020 pre-funded warrant. The pre-funded warrants are exercisable immediately at an exercise price of $0.001 per share. We included the 2024 pre-funded warrant, the 2023 pre-funded warrant, the 2022 pre-funded warrant and the 2020 pre-funded warrant in the computation of basic net loss per share, as applicable, since their exercise price is negligible, and they may be exercised at any time. See Note 11 on Stockholders' Equity for further discussion of our public offerings.</w:t>
      </w:r>
    </w:p>
    <w:p>
      <w:pPr>
        <w:sectPr>
          <w:pgSz w:w="11900" w:h="16838" w:orient="portrait"/>
          <w:cols w:equalWidth="0" w:num="1">
            <w:col w:w="9019"/>
          </w:cols>
          <w:pgMar w:left="1440" w:top="140" w:right="1440"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024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84190" cy="1024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9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components of income (loss) before income taxes were as follows:</w:t>
      </w:r>
    </w:p>
    <w:p>
      <w:pPr>
        <w:spacing w:after="0" w:line="159" w:lineRule="exact"/>
        <w:rPr>
          <w:sz w:val="20"/>
          <w:szCs w:val="20"/>
          <w:color w:val="auto"/>
        </w:rPr>
      </w:pPr>
    </w:p>
    <w:tbl>
      <w:tblPr>
        <w:tblLayout w:type="fixed"/>
        <w:tblInd w:w="96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23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3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r>
      <w:tr>
        <w:trPr>
          <w:trHeight w:val="195"/>
        </w:trPr>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Domestic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(82,358)</w:t>
            </w: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(174,737)</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(181,884)</w:t>
            </w:r>
          </w:p>
        </w:tc>
        <w:tc>
          <w:tcPr>
            <w:tcW w:w="40" w:type="dxa"/>
            <w:vAlign w:val="bottom"/>
            <w:shd w:val="clear" w:color="auto" w:fill="CCEEFF"/>
          </w:tcPr>
          <w:p>
            <w:pPr>
              <w:spacing w:after="0"/>
              <w:rPr>
                <w:sz w:val="16"/>
                <w:szCs w:val="16"/>
                <w:color w:val="auto"/>
              </w:rPr>
            </w:pPr>
          </w:p>
        </w:tc>
      </w:tr>
      <w:tr>
        <w:trPr>
          <w:trHeight w:val="215"/>
        </w:trPr>
        <w:tc>
          <w:tcPr>
            <w:tcW w:w="3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Foreign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tcBorders>
              <w:bottom w:val="single" w:sz="8" w:color="CCEEFF"/>
            </w:tcBorders>
          </w:tcPr>
          <w:p>
            <w:pPr>
              <w:spacing w:after="0"/>
              <w:rPr>
                <w:sz w:val="18"/>
                <w:szCs w:val="18"/>
                <w:color w:val="auto"/>
              </w:rPr>
            </w:pPr>
          </w:p>
        </w:tc>
      </w:tr>
      <w:tr>
        <w:trPr>
          <w:trHeight w:val="198"/>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(83,425)</w:t>
            </w:r>
          </w:p>
        </w:tc>
        <w:tc>
          <w:tcPr>
            <w:tcW w:w="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(174,522)</w:t>
            </w: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(181,734)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Provision for (benefit from) income taxes was as follows:</w:t>
      </w:r>
    </w:p>
    <w:p>
      <w:pPr>
        <w:spacing w:after="0" w:line="159" w:lineRule="exact"/>
        <w:rPr>
          <w:sz w:val="20"/>
          <w:szCs w:val="20"/>
          <w:color w:val="auto"/>
        </w:rPr>
      </w:pPr>
    </w:p>
    <w:tbl>
      <w:tblPr>
        <w:tblLayout w:type="fixed"/>
        <w:tblInd w:w="960" w:type="dxa"/>
        <w:tblCellMar>
          <w:top w:w="0" w:type="dxa"/>
          <w:left w:w="0" w:type="dxa"/>
          <w:bottom w:w="0" w:type="dxa"/>
          <w:right w:w="0" w:type="dxa"/>
        </w:tblCellMar>
      </w:tblPr>
      <w:tr>
        <w:trPr>
          <w:trHeight w:val="167"/>
        </w:trPr>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2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6"/>
                <w:szCs w:val="16"/>
                <w:color w:val="auto"/>
              </w:rPr>
            </w:pPr>
          </w:p>
        </w:tc>
      </w:tr>
      <w:tr>
        <w:trPr>
          <w:trHeight w:val="195"/>
        </w:trPr>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State</w:t>
            </w: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2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Foreign</w:t>
            </w:r>
          </w:p>
        </w:tc>
        <w:tc>
          <w:tcPr>
            <w:tcW w:w="8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Borders>
              <w:bottom w:val="single" w:sz="8" w:color="CCEEFF"/>
            </w:tcBorders>
          </w:tcPr>
          <w:p>
            <w:pPr>
              <w:spacing w:after="0"/>
              <w:rPr>
                <w:sz w:val="18"/>
                <w:szCs w:val="18"/>
                <w:color w:val="auto"/>
              </w:rPr>
            </w:pPr>
          </w:p>
        </w:tc>
      </w:tr>
      <w:tr>
        <w:trPr>
          <w:trHeight w:val="198"/>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Borders>
              <w:bottom w:val="single" w:sz="8" w:color="CCEEFF"/>
            </w:tcBorders>
            <w:shd w:val="clear" w:color="auto" w:fill="CCEEFF"/>
          </w:tcPr>
          <w:p>
            <w:pPr>
              <w:spacing w:after="0"/>
              <w:rPr>
                <w:sz w:val="16"/>
                <w:szCs w:val="16"/>
                <w:color w:val="auto"/>
              </w:rPr>
            </w:pPr>
          </w:p>
        </w:tc>
      </w:tr>
      <w:tr>
        <w:trPr>
          <w:trHeight w:val="20"/>
        </w:trPr>
        <w:tc>
          <w:tcPr>
            <w:tcW w:w="29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238"/>
        </w:trPr>
        <w:tc>
          <w:tcPr>
            <w:tcW w:w="7080" w:type="dxa"/>
            <w:vAlign w:val="bottom"/>
            <w:gridSpan w:val="20"/>
          </w:tcPr>
          <w:p>
            <w:pPr>
              <w:ind w:left="900"/>
              <w:spacing w:after="0"/>
              <w:rPr>
                <w:sz w:val="20"/>
                <w:szCs w:val="20"/>
                <w:color w:val="auto"/>
              </w:rPr>
            </w:pPr>
            <w:r>
              <w:rPr>
                <w:rFonts w:ascii="Times New Roman" w:cs="Times New Roman" w:eastAsia="Times New Roman" w:hAnsi="Times New Roman"/>
                <w:sz w:val="14"/>
                <w:szCs w:val="14"/>
                <w:color w:val="auto"/>
              </w:rPr>
              <w:t>The following table reconciles the federal statutory tax rate to the effective income tax rate from continuing</w:t>
            </w:r>
          </w:p>
        </w:tc>
      </w:tr>
      <w:tr>
        <w:trPr>
          <w:trHeight w:val="186"/>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operations:</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02"/>
        </w:trPr>
        <w:tc>
          <w:tcPr>
            <w:tcW w:w="2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2100" w:type="dxa"/>
            <w:vAlign w:val="bottom"/>
          </w:tcPr>
          <w:p>
            <w:pPr>
              <w:spacing w:after="0"/>
              <w:rPr>
                <w:sz w:val="16"/>
                <w:szCs w:val="16"/>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2100" w:type="dxa"/>
            <w:vAlign w:val="bottom"/>
          </w:tcPr>
          <w:p>
            <w:pPr>
              <w:spacing w:after="0"/>
              <w:rPr>
                <w:sz w:val="16"/>
                <w:szCs w:val="16"/>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2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960" w:type="dxa"/>
            <w:vAlign w:val="bottom"/>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r>
      <w:tr>
        <w:trPr>
          <w:trHeight w:val="184"/>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at statutory rate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(17,535)</w:t>
            </w: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4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(36,660)</w:t>
            </w:r>
          </w:p>
        </w:tc>
        <w:tc>
          <w:tcPr>
            <w:tcW w:w="40" w:type="dxa"/>
            <w:vAlign w:val="bottom"/>
          </w:tcPr>
          <w:p>
            <w:pPr>
              <w:spacing w:after="0"/>
              <w:rPr>
                <w:sz w:val="16"/>
                <w:szCs w:val="16"/>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40" w:type="dxa"/>
            <w:vAlign w:val="bottom"/>
          </w:tcPr>
          <w:p>
            <w:pPr>
              <w:spacing w:after="0"/>
              <w:rPr>
                <w:sz w:val="16"/>
                <w:szCs w:val="16"/>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(38,667)</w:t>
            </w: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40" w:type="dxa"/>
            <w:vAlign w:val="bottom"/>
          </w:tcPr>
          <w:p>
            <w:pPr>
              <w:spacing w:after="0"/>
              <w:rPr>
                <w:sz w:val="16"/>
                <w:szCs w:val="16"/>
                <w:color w:val="auto"/>
              </w:rPr>
            </w:pPr>
          </w:p>
        </w:tc>
      </w:tr>
      <w:tr>
        <w:trPr>
          <w:trHeight w:val="204"/>
        </w:trPr>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State income tax, net of federal benefit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(0.2)</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r>
      <w:tr>
        <w:trPr>
          <w:trHeight w:val="204"/>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Federal and state tax credits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(4,128)</w:t>
            </w:r>
          </w:p>
        </w:tc>
        <w:tc>
          <w:tcPr>
            <w:tcW w:w="40" w:type="dxa"/>
            <w:vAlign w:val="bottom"/>
          </w:tcPr>
          <w:p>
            <w:pPr>
              <w:spacing w:after="0"/>
              <w:rPr>
                <w:sz w:val="17"/>
                <w:szCs w:val="17"/>
                <w:color w:val="auto"/>
              </w:rPr>
            </w:pPr>
          </w:p>
        </w:tc>
        <w:tc>
          <w:tcPr>
            <w:tcW w:w="680" w:type="dxa"/>
            <w:vAlign w:val="bottom"/>
            <w:gridSpan w:val="3"/>
          </w:tcPr>
          <w:p>
            <w:pPr>
              <w:jc w:val="right"/>
              <w:ind w:right="92"/>
              <w:spacing w:after="0"/>
              <w:rPr>
                <w:sz w:val="20"/>
                <w:szCs w:val="20"/>
                <w:color w:val="auto"/>
              </w:rPr>
            </w:pPr>
            <w:r>
              <w:rPr>
                <w:rFonts w:ascii="Times New Roman" w:cs="Times New Roman" w:eastAsia="Times New Roman" w:hAnsi="Times New Roman"/>
                <w:sz w:val="13"/>
                <w:szCs w:val="13"/>
                <w:color w:val="auto"/>
              </w:rPr>
              <w:t>2.4</w:t>
            </w:r>
          </w:p>
        </w:tc>
        <w:tc>
          <w:tcPr>
            <w:tcW w:w="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(7,591)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4.1</w:t>
            </w:r>
          </w:p>
        </w:tc>
        <w:tc>
          <w:tcPr>
            <w:tcW w:w="40" w:type="dxa"/>
            <w:vAlign w:val="bottom"/>
          </w:tcPr>
          <w:p>
            <w:pPr>
              <w:spacing w:after="0"/>
              <w:rPr>
                <w:sz w:val="17"/>
                <w:szCs w:val="17"/>
                <w:color w:val="auto"/>
              </w:rPr>
            </w:pPr>
          </w:p>
        </w:tc>
      </w:tr>
      <w:tr>
        <w:trPr>
          <w:trHeight w:val="204"/>
        </w:trPr>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(0.3)</w:t>
            </w:r>
          </w:p>
        </w:tc>
        <w:tc>
          <w:tcPr>
            <w:tcW w:w="40" w:type="dxa"/>
            <w:vAlign w:val="bottom"/>
            <w:shd w:val="clear" w:color="auto" w:fill="CCEEFF"/>
          </w:tcPr>
          <w:p>
            <w:pPr>
              <w:spacing w:after="0"/>
              <w:rPr>
                <w:sz w:val="17"/>
                <w:szCs w:val="17"/>
                <w:color w:val="auto"/>
              </w:rPr>
            </w:pPr>
          </w:p>
        </w:tc>
      </w:tr>
      <w:tr>
        <w:trPr>
          <w:trHeight w:val="204"/>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 Based compensation - 162(m)</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40" w:type="dxa"/>
            <w:vAlign w:val="bottom"/>
          </w:tcPr>
          <w:p>
            <w:pPr>
              <w:spacing w:after="0"/>
              <w:rPr>
                <w:sz w:val="17"/>
                <w:szCs w:val="17"/>
                <w:color w:val="auto"/>
              </w:rPr>
            </w:pPr>
          </w:p>
        </w:tc>
        <w:tc>
          <w:tcPr>
            <w:tcW w:w="680" w:type="dxa"/>
            <w:vAlign w:val="bottom"/>
            <w:gridSpan w:val="3"/>
          </w:tcPr>
          <w:p>
            <w:pPr>
              <w:jc w:val="right"/>
              <w:ind w:right="52"/>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(0.9)</w:t>
            </w:r>
          </w:p>
        </w:tc>
        <w:tc>
          <w:tcPr>
            <w:tcW w:w="40" w:type="dxa"/>
            <w:vAlign w:val="bottom"/>
          </w:tcPr>
          <w:p>
            <w:pPr>
              <w:spacing w:after="0"/>
              <w:rPr>
                <w:sz w:val="17"/>
                <w:szCs w:val="17"/>
                <w:color w:val="auto"/>
              </w:rPr>
            </w:pPr>
          </w:p>
        </w:tc>
      </w:tr>
      <w:tr>
        <w:trPr>
          <w:trHeight w:val="204"/>
        </w:trPr>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operating loss not benefitted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(9.2)</w:t>
            </w: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(0.5)</w:t>
            </w:r>
          </w:p>
        </w:tc>
        <w:tc>
          <w:tcPr>
            <w:tcW w:w="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(5.7)</w:t>
            </w:r>
          </w:p>
        </w:tc>
        <w:tc>
          <w:tcPr>
            <w:tcW w:w="40" w:type="dxa"/>
            <w:vAlign w:val="bottom"/>
            <w:shd w:val="clear" w:color="auto" w:fill="CCEEFF"/>
          </w:tcPr>
          <w:p>
            <w:pPr>
              <w:spacing w:after="0"/>
              <w:rPr>
                <w:sz w:val="17"/>
                <w:szCs w:val="17"/>
                <w:color w:val="auto"/>
              </w:rPr>
            </w:pPr>
          </w:p>
        </w:tc>
      </w:tr>
      <w:tr>
        <w:trPr>
          <w:trHeight w:val="204"/>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Foreign rate difference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(0.4)</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r>
      <w:tr>
        <w:trPr>
          <w:trHeight w:val="204"/>
        </w:trPr>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Change in unrecognized tax benefit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3"/>
                <w:szCs w:val="13"/>
                <w:color w:val="auto"/>
              </w:rPr>
              <w:t>0.4</w:t>
            </w:r>
          </w:p>
        </w:tc>
        <w:tc>
          <w:tcPr>
            <w:tcW w:w="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r>
      <w:tr>
        <w:trPr>
          <w:trHeight w:val="204"/>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(0.4)</w:t>
            </w:r>
          </w:p>
        </w:tc>
        <w:tc>
          <w:tcPr>
            <w:tcW w:w="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40" w:type="dxa"/>
            <w:vAlign w:val="bottom"/>
          </w:tcPr>
          <w:p>
            <w:pPr>
              <w:spacing w:after="0"/>
              <w:rPr>
                <w:sz w:val="17"/>
                <w:szCs w:val="17"/>
                <w:color w:val="auto"/>
              </w:rPr>
            </w:pPr>
          </w:p>
        </w:tc>
        <w:tc>
          <w:tcPr>
            <w:tcW w:w="680" w:type="dxa"/>
            <w:vAlign w:val="bottom"/>
            <w:gridSpan w:val="3"/>
          </w:tcPr>
          <w:p>
            <w:pPr>
              <w:jc w:val="right"/>
              <w:ind w:right="52"/>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r>
      <w:tr>
        <w:trPr>
          <w:trHeight w:val="204"/>
        </w:trPr>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7,336</w:t>
            </w: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(8.8)</w:t>
            </w: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37,606</w:t>
            </w:r>
          </w:p>
        </w:tc>
        <w:tc>
          <w:tcPr>
            <w:tcW w:w="40" w:type="dxa"/>
            <w:vAlign w:val="bottom"/>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3"/>
                <w:szCs w:val="13"/>
                <w:color w:val="auto"/>
              </w:rPr>
              <w:t>(21.7)</w:t>
            </w:r>
          </w:p>
        </w:tc>
        <w:tc>
          <w:tcPr>
            <w:tcW w:w="40" w:type="dxa"/>
            <w:vAlign w:val="bottom"/>
            <w:shd w:val="clear" w:color="auto" w:fill="CCEEFF"/>
          </w:tcPr>
          <w:p>
            <w:pPr>
              <w:spacing w:after="0"/>
              <w:rPr>
                <w:sz w:val="17"/>
                <w:szCs w:val="17"/>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33,459</w:t>
            </w: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(18.2)</w:t>
            </w:r>
          </w:p>
        </w:tc>
        <w:tc>
          <w:tcPr>
            <w:tcW w:w="40" w:type="dxa"/>
            <w:vAlign w:val="bottom"/>
            <w:shd w:val="clear" w:color="auto" w:fill="CCEEFF"/>
          </w:tcPr>
          <w:p>
            <w:pPr>
              <w:spacing w:after="0"/>
              <w:rPr>
                <w:sz w:val="17"/>
                <w:szCs w:val="17"/>
                <w:color w:val="auto"/>
              </w:rPr>
            </w:pPr>
          </w:p>
        </w:tc>
      </w:tr>
      <w:tr>
        <w:trPr>
          <w:trHeight w:val="163"/>
        </w:trPr>
        <w:tc>
          <w:tcPr>
            <w:tcW w:w="2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Effective tax rate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4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40" w:type="dxa"/>
            <w:vAlign w:val="bottom"/>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40" w:type="dxa"/>
            <w:vAlign w:val="bottom"/>
          </w:tcPr>
          <w:p>
            <w:pPr>
              <w:spacing w:after="0"/>
              <w:rPr>
                <w:sz w:val="14"/>
                <w:szCs w:val="14"/>
                <w:color w:val="auto"/>
              </w:rPr>
            </w:pPr>
          </w:p>
        </w:tc>
      </w:tr>
      <w:tr>
        <w:trPr>
          <w:trHeight w:val="20"/>
        </w:trPr>
        <w:tc>
          <w:tcPr>
            <w:tcW w:w="2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2349500</wp:posOffset>
            </wp:positionV>
            <wp:extent cx="5584190" cy="2076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84190" cy="2076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4" w:name="page95"/>
    <w:bookmarkEnd w:id="94"/>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-85090</wp:posOffset>
            </wp:positionV>
            <wp:extent cx="5584190" cy="7006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84190" cy="7006590"/>
                    </a:xfrm>
                    <a:prstGeom prst="rect">
                      <a:avLst/>
                    </a:prstGeom>
                    <a:noFill/>
                  </pic:spPr>
                </pic:pic>
              </a:graphicData>
            </a:graphic>
          </wp:anchor>
        </w:drawing>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1059" w:firstLine="902"/>
        <w:spacing w:after="0" w:line="274"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our deferred tax assets are as follows:</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148"/>
        </w:trPr>
        <w:tc>
          <w:tcPr>
            <w:tcW w:w="3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34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r>
      <w:tr>
        <w:trPr>
          <w:trHeight w:val="27"/>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5"/>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278,382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272,970</w:t>
            </w:r>
          </w:p>
        </w:tc>
        <w:tc>
          <w:tcPr>
            <w:tcW w:w="40" w:type="dxa"/>
            <w:vAlign w:val="bottom"/>
            <w:shd w:val="clear" w:color="auto" w:fill="CCEEFF"/>
          </w:tcPr>
          <w:p>
            <w:pPr>
              <w:spacing w:after="0"/>
              <w:rPr>
                <w:sz w:val="18"/>
                <w:szCs w:val="18"/>
                <w:color w:val="auto"/>
              </w:rPr>
            </w:pPr>
          </w:p>
        </w:tc>
      </w:tr>
      <w:tr>
        <w:trPr>
          <w:trHeight w:val="215"/>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Federal and state tax credits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72,360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70,492</w:t>
            </w:r>
          </w:p>
        </w:tc>
        <w:tc>
          <w:tcPr>
            <w:tcW w:w="40" w:type="dxa"/>
            <w:vAlign w:val="bottom"/>
          </w:tcPr>
          <w:p>
            <w:pPr>
              <w:spacing w:after="0"/>
              <w:rPr>
                <w:sz w:val="18"/>
                <w:szCs w:val="18"/>
                <w:color w:val="auto"/>
              </w:rPr>
            </w:pPr>
          </w:p>
        </w:tc>
      </w:tr>
      <w:tr>
        <w:trPr>
          <w:trHeight w:val="215"/>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Capitalized research and development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39,503</w:t>
            </w:r>
          </w:p>
        </w:tc>
        <w:tc>
          <w:tcPr>
            <w:tcW w:w="40" w:type="dxa"/>
            <w:vAlign w:val="bottom"/>
            <w:shd w:val="clear" w:color="auto" w:fill="CCEEFF"/>
          </w:tcPr>
          <w:p>
            <w:pPr>
              <w:spacing w:after="0"/>
              <w:rPr>
                <w:sz w:val="18"/>
                <w:szCs w:val="18"/>
                <w:color w:val="auto"/>
              </w:rPr>
            </w:pPr>
          </w:p>
        </w:tc>
      </w:tr>
      <w:tr>
        <w:trPr>
          <w:trHeight w:val="215"/>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40" w:type="dxa"/>
            <w:vAlign w:val="bottom"/>
          </w:tcPr>
          <w:p>
            <w:pPr>
              <w:spacing w:after="0"/>
              <w:rPr>
                <w:sz w:val="18"/>
                <w:szCs w:val="18"/>
                <w:color w:val="auto"/>
              </w:rPr>
            </w:pPr>
          </w:p>
        </w:tc>
      </w:tr>
      <w:tr>
        <w:trPr>
          <w:trHeight w:val="215"/>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Revenue Participation</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29,547</w:t>
            </w:r>
          </w:p>
        </w:tc>
        <w:tc>
          <w:tcPr>
            <w:tcW w:w="40" w:type="dxa"/>
            <w:vAlign w:val="bottom"/>
            <w:shd w:val="clear" w:color="auto" w:fill="CCEEFF"/>
          </w:tcPr>
          <w:p>
            <w:pPr>
              <w:spacing w:after="0"/>
              <w:rPr>
                <w:sz w:val="18"/>
                <w:szCs w:val="18"/>
                <w:color w:val="auto"/>
              </w:rPr>
            </w:pPr>
          </w:p>
        </w:tc>
      </w:tr>
      <w:tr>
        <w:trPr>
          <w:trHeight w:val="215"/>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40" w:type="dxa"/>
            <w:vAlign w:val="bottom"/>
          </w:tcPr>
          <w:p>
            <w:pPr>
              <w:spacing w:after="0"/>
              <w:rPr>
                <w:sz w:val="18"/>
                <w:szCs w:val="18"/>
                <w:color w:val="auto"/>
              </w:rPr>
            </w:pPr>
          </w:p>
        </w:tc>
      </w:tr>
      <w:tr>
        <w:trPr>
          <w:trHeight w:val="215"/>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15,266</w:t>
            </w: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w:t>
            </w:r>
          </w:p>
        </w:tc>
        <w:tc>
          <w:tcPr>
            <w:tcW w:w="40" w:type="dxa"/>
            <w:vAlign w:val="bottom"/>
            <w:shd w:val="clear" w:color="auto" w:fill="CCEEFF"/>
          </w:tcPr>
          <w:p>
            <w:pPr>
              <w:spacing w:after="0"/>
              <w:rPr>
                <w:sz w:val="18"/>
                <w:szCs w:val="18"/>
                <w:color w:val="auto"/>
              </w:rPr>
            </w:pPr>
          </w:p>
        </w:tc>
      </w:tr>
      <w:tr>
        <w:trPr>
          <w:trHeight w:val="195"/>
        </w:trPr>
        <w:tc>
          <w:tcPr>
            <w:tcW w:w="3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445,194</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430,595</w:t>
            </w:r>
          </w:p>
        </w:tc>
        <w:tc>
          <w:tcPr>
            <w:tcW w:w="40" w:type="dxa"/>
            <w:vAlign w:val="bottom"/>
          </w:tcPr>
          <w:p>
            <w:pPr>
              <w:spacing w:after="0"/>
              <w:rPr>
                <w:sz w:val="16"/>
                <w:szCs w:val="16"/>
                <w:color w:val="auto"/>
              </w:rPr>
            </w:pPr>
          </w:p>
        </w:tc>
      </w:tr>
      <w:tr>
        <w:trPr>
          <w:trHeight w:val="215"/>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(444,650)</w:t>
            </w: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(429,913)</w:t>
            </w:r>
          </w:p>
        </w:tc>
        <w:tc>
          <w:tcPr>
            <w:tcW w:w="40" w:type="dxa"/>
            <w:vAlign w:val="bottom"/>
            <w:shd w:val="clear" w:color="auto" w:fill="CCEEFF"/>
          </w:tcPr>
          <w:p>
            <w:pPr>
              <w:spacing w:after="0"/>
              <w:rPr>
                <w:sz w:val="18"/>
                <w:szCs w:val="18"/>
                <w:color w:val="auto"/>
              </w:rPr>
            </w:pPr>
          </w:p>
        </w:tc>
      </w:tr>
      <w:tr>
        <w:trPr>
          <w:trHeight w:val="195"/>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deferred tax assets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40" w:type="dxa"/>
            <w:vAlign w:val="bottom"/>
          </w:tcPr>
          <w:p>
            <w:pPr>
              <w:spacing w:after="0"/>
              <w:rPr>
                <w:sz w:val="16"/>
                <w:szCs w:val="16"/>
                <w:color w:val="auto"/>
              </w:rPr>
            </w:pPr>
          </w:p>
        </w:tc>
      </w:tr>
      <w:tr>
        <w:trPr>
          <w:trHeight w:val="215"/>
        </w:trPr>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34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Operating leases, right-of-use assets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40" w:type="dxa"/>
            <w:vAlign w:val="bottom"/>
            <w:tcBorders>
              <w:bottom w:val="single" w:sz="8" w:color="CCEEFF"/>
            </w:tcBorders>
          </w:tcPr>
          <w:p>
            <w:pPr>
              <w:spacing w:after="0"/>
              <w:rPr>
                <w:sz w:val="18"/>
                <w:szCs w:val="18"/>
                <w:color w:val="auto"/>
              </w:rPr>
            </w:pPr>
          </w:p>
        </w:tc>
      </w:tr>
      <w:tr>
        <w:trPr>
          <w:trHeight w:val="195"/>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40" w:type="dxa"/>
            <w:vAlign w:val="bottom"/>
            <w:shd w:val="clear" w:color="auto" w:fill="CCEEFF"/>
          </w:tcPr>
          <w:p>
            <w:pPr>
              <w:spacing w:after="0"/>
              <w:rPr>
                <w:sz w:val="16"/>
                <w:szCs w:val="16"/>
                <w:color w:val="auto"/>
              </w:rPr>
            </w:pPr>
          </w:p>
        </w:tc>
      </w:tr>
      <w:tr>
        <w:trPr>
          <w:trHeight w:val="173"/>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net deferred tax assets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960" w:right="959" w:firstLine="902"/>
        <w:spacing w:after="0" w:line="262" w:lineRule="auto"/>
        <w:rPr>
          <w:sz w:val="20"/>
          <w:szCs w:val="20"/>
          <w:color w:val="auto"/>
        </w:rPr>
      </w:pPr>
      <w:r>
        <w:rPr>
          <w:rFonts w:ascii="Times New Roman" w:cs="Times New Roman" w:eastAsia="Times New Roman" w:hAnsi="Times New Roman"/>
          <w:sz w:val="14"/>
          <w:szCs w:val="14"/>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Forming a conclusion that a valuation allowance is not required is difficult when there is negative evidence such as cumulative losses in recent years. Because of our history of losses, the net deferred tax assets have been fully offset by a valuation allowance. The valuation allowance increased by $14.7 million and $35.0 million for the years ended December 31, 2025 and 2024, respectively.</w:t>
      </w:r>
    </w:p>
    <w:p>
      <w:pPr>
        <w:spacing w:after="0" w:line="144" w:lineRule="exact"/>
        <w:rPr>
          <w:sz w:val="20"/>
          <w:szCs w:val="20"/>
          <w:color w:val="auto"/>
        </w:rPr>
      </w:pPr>
    </w:p>
    <w:p>
      <w:pPr>
        <w:ind w:left="960" w:right="979" w:firstLine="902"/>
        <w:spacing w:after="0" w:line="262" w:lineRule="auto"/>
        <w:rPr>
          <w:sz w:val="20"/>
          <w:szCs w:val="20"/>
          <w:color w:val="auto"/>
        </w:rPr>
      </w:pPr>
      <w:r>
        <w:rPr>
          <w:rFonts w:ascii="Times New Roman" w:cs="Times New Roman" w:eastAsia="Times New Roman" w:hAnsi="Times New Roman"/>
          <w:sz w:val="14"/>
          <w:szCs w:val="14"/>
          <w:color w:val="auto"/>
        </w:rPr>
        <w:t>As of December 31, 2025, we had domestic federal net operating loss carryforwards of approximately $1.0 billion. Of this, $561.7 million will expire at various dates beginning in 2026 through 2037 and the remaining will carryforward indefinitely under the new tax laws, but is subject to an 80% taxable income limitation for tax years beginning after December 31, 2017. As of December 31, 2025, we had state net operating loss carryforwards of approximately $871.8 million expiring at various dates beginning in 2028 through 2045. We also had federal tax credit carryforwards of approximately $81.9 million expiring at various dates beginning in 2026 through 2045, if not utilized. Our state tax credit carryforwards of approximately $22.6 million carry forward indefinitely.</w:t>
      </w:r>
    </w:p>
    <w:p>
      <w:pPr>
        <w:spacing w:after="0" w:line="144" w:lineRule="exact"/>
        <w:rPr>
          <w:sz w:val="20"/>
          <w:szCs w:val="20"/>
          <w:color w:val="auto"/>
        </w:rPr>
      </w:pPr>
    </w:p>
    <w:p>
      <w:pPr>
        <w:ind w:left="960" w:right="1059" w:firstLine="902"/>
        <w:spacing w:after="0" w:line="271" w:lineRule="auto"/>
        <w:rPr>
          <w:sz w:val="20"/>
          <w:szCs w:val="20"/>
          <w:color w:val="auto"/>
        </w:rPr>
      </w:pPr>
      <w:r>
        <w:rPr>
          <w:rFonts w:ascii="Times New Roman" w:cs="Times New Roman" w:eastAsia="Times New Roman" w:hAnsi="Times New Roman"/>
          <w:sz w:val="14"/>
          <w:szCs w:val="14"/>
          <w:color w:val="auto"/>
        </w:rPr>
        <w:t>Utilization of net operating loss and tax credit carryforwards may be subject to an annual limitation due to ownership change limitations provided by the Internal Revenue Code and similar state provisions. Annual limitations may result in expiration of net operating loss and tax credit carryforwards before some or all of such amounts have been utilized.</w:t>
      </w:r>
    </w:p>
    <w:p>
      <w:pPr>
        <w:spacing w:after="0" w:line="314"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We adopted the provision of the standard for accounting for uncertainties in income taxes on January 1, 2007. Upon adoption, we recognized no material adjustment in the liability for unrecognized tax benefits. At December 31, 2025, we had approximately $28.8 million of unrecognized tax benefits, none of which would currently affect our effective tax rate if recognized due to our net deferred tax assets being fully offset by a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1165860</wp:posOffset>
            </wp:positionV>
            <wp:extent cx="5584190" cy="34467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84190" cy="344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A reconciliation of the beginning and ending amounts of unrecognized tax benefits is as follows (in</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thousands):</w:t>
      </w:r>
    </w:p>
    <w:p>
      <w:pPr>
        <w:spacing w:after="0" w:line="194" w:lineRule="exact"/>
        <w:rPr>
          <w:sz w:val="20"/>
          <w:szCs w:val="20"/>
          <w:color w:val="auto"/>
        </w:rPr>
      </w:pPr>
    </w:p>
    <w:tbl>
      <w:tblPr>
        <w:tblLayout w:type="fixed"/>
        <w:tblInd w:w="2380" w:type="dxa"/>
        <w:tblCellMar>
          <w:top w:w="0" w:type="dxa"/>
          <w:left w:w="0" w:type="dxa"/>
          <w:bottom w:w="0" w:type="dxa"/>
          <w:right w:w="0" w:type="dxa"/>
        </w:tblCellMar>
      </w:tblPr>
      <w:tr>
        <w:trPr>
          <w:trHeight w:val="215"/>
        </w:trPr>
        <w:tc>
          <w:tcPr>
            <w:tcW w:w="3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3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28,310</w:t>
            </w:r>
          </w:p>
        </w:tc>
      </w:tr>
      <w:tr>
        <w:trPr>
          <w:trHeight w:val="215"/>
        </w:trPr>
        <w:tc>
          <w:tcPr>
            <w:tcW w:w="3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Decrease related to prior year tax positions</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r>
      <w:tr>
        <w:trPr>
          <w:trHeight w:val="215"/>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Increase related to current year tax positions</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r>
      <w:tr>
        <w:trPr>
          <w:trHeight w:val="173"/>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28,821</w:t>
            </w:r>
          </w:p>
        </w:tc>
      </w:tr>
      <w:tr>
        <w:trPr>
          <w:trHeight w:val="20"/>
        </w:trPr>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960" w:right="1039" w:firstLine="902"/>
        <w:spacing w:after="0" w:line="292" w:lineRule="auto"/>
        <w:rPr>
          <w:sz w:val="20"/>
          <w:szCs w:val="20"/>
          <w:color w:val="auto"/>
        </w:rPr>
      </w:pPr>
      <w:r>
        <w:rPr>
          <w:rFonts w:ascii="Times New Roman" w:cs="Times New Roman" w:eastAsia="Times New Roman" w:hAnsi="Times New Roman"/>
          <w:sz w:val="14"/>
          <w:szCs w:val="14"/>
          <w:color w:val="auto"/>
        </w:rPr>
        <w:t>If applicable, we would classify interest and penalties related to uncertain tax positions in income tax expense. Through December 31, 2025, there has been no interest expense or penalties related to unrecognized tax benefits.</w:t>
      </w:r>
    </w:p>
    <w:p>
      <w:pPr>
        <w:spacing w:after="0" w:line="124" w:lineRule="exact"/>
        <w:rPr>
          <w:sz w:val="20"/>
          <w:szCs w:val="20"/>
          <w:color w:val="auto"/>
        </w:rPr>
      </w:pPr>
    </w:p>
    <w:p>
      <w:pPr>
        <w:ind w:left="960" w:right="1339" w:firstLine="902"/>
        <w:spacing w:after="0" w:line="268" w:lineRule="auto"/>
        <w:rPr>
          <w:sz w:val="20"/>
          <w:szCs w:val="20"/>
          <w:color w:val="auto"/>
        </w:rPr>
      </w:pPr>
      <w:r>
        <w:rPr>
          <w:rFonts w:ascii="Times New Roman" w:cs="Times New Roman" w:eastAsia="Times New Roman" w:hAnsi="Times New Roman"/>
          <w:sz w:val="14"/>
          <w:szCs w:val="14"/>
          <w:color w:val="auto"/>
        </w:rPr>
        <w:t>We do not currently expect any significant changes to unrecognized tax benefits during the fiscal year ended December 31, 2025. In certain cases, our uncertain tax positions are related to tax years that remain subject to examination by the relevant tax authorities. Tax years for which we have carryforward net operating loss and credit attributes remain subject to examination by federal and most state tax authorities.</w:t>
      </w:r>
    </w:p>
    <w:p>
      <w:pPr>
        <w:spacing w:after="0" w:line="140"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On July 4, 2025, the One Big Beautiful Bill Act, or OBBBA, was signed into law in the United States. This comprehensive tax legislation contains a broad range of tax reforms, including provisions that allow for the immediate expensing of domestic research and development expenses, restore and make permanent 100% bonus depreciation for qualifying assets, and ease limitations on the deductibility of interest expense. The legislation has multiple effective dates, with certain provisions taking effect in 2025 and others being implemented through various future years. We have accounted for the provisions of the OBBBA in our consolidated financial statements. The changes did not impact income taxes due to its cumulative tax loss and tax effect of a full valuation allowance against those balances.</w:t>
      </w:r>
    </w:p>
    <w:p>
      <w:pPr>
        <w:sectPr>
          <w:pgSz w:w="11900" w:h="16838" w:orient="portrait"/>
          <w:cols w:equalWidth="0" w:num="1">
            <w:col w:w="9019"/>
          </w:cols>
          <w:pgMar w:left="1440" w:top="114" w:right="1440" w:bottom="0" w:gutter="0" w:footer="0" w:header="0"/>
        </w:sectPr>
      </w:pPr>
    </w:p>
    <w:bookmarkStart w:id="95" w:name="page96"/>
    <w:bookmarkEnd w:id="95"/>
    <w:p>
      <w:pPr>
        <w:ind w:left="960"/>
        <w:spacing w:after="0"/>
        <w:rPr>
          <w:sz w:val="20"/>
          <w:szCs w:val="20"/>
          <w:color w:val="auto"/>
        </w:rPr>
      </w:pPr>
      <w:r>
        <w:rPr>
          <w:rFonts w:ascii="Times New Roman" w:cs="Times New Roman" w:eastAsia="Times New Roman" w:hAnsi="Times New Roman"/>
          <w:sz w:val="14"/>
          <w:szCs w:val="14"/>
          <w:b w:val="1"/>
          <w:bCs w:val="1"/>
          <w:color w:val="auto"/>
        </w:rPr>
        <w:t>14. CONSOLIDATED STATEMENT S OF CASH FLOWS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-83820</wp:posOffset>
            </wp:positionV>
            <wp:extent cx="5584190" cy="37668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84190" cy="3766820"/>
                    </a:xfrm>
                    <a:prstGeom prst="rect">
                      <a:avLst/>
                    </a:prstGeom>
                    <a:noFill/>
                  </pic:spPr>
                </pic:pic>
              </a:graphicData>
            </a:graphic>
          </wp:anchor>
        </w:drawing>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148"/>
        </w:trPr>
        <w:tc>
          <w:tcPr>
            <w:tcW w:w="30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jc w:val="center"/>
              <w:ind w:left="43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3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r>
      <w:tr>
        <w:trPr>
          <w:trHeight w:val="206"/>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operating and investing activities: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4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40" w:type="dxa"/>
            <w:vAlign w:val="bottom"/>
          </w:tcPr>
          <w:p>
            <w:pPr>
              <w:spacing w:after="0"/>
              <w:rPr>
                <w:sz w:val="18"/>
                <w:szCs w:val="18"/>
                <w:color w:val="auto"/>
              </w:rPr>
            </w:pPr>
          </w:p>
        </w:tc>
      </w:tr>
      <w:tr>
        <w:trPr>
          <w:trHeight w:val="211"/>
        </w:trPr>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Reclassification between prepaid and other current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6"/>
        </w:trPr>
        <w:tc>
          <w:tcPr>
            <w:tcW w:w="3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assets and deposits and other assets</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paid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11,712</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10,364</w:t>
            </w:r>
          </w:p>
        </w:tc>
        <w:tc>
          <w:tcPr>
            <w:tcW w:w="4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40" w:type="dxa"/>
            <w:vAlign w:val="bottom"/>
          </w:tcPr>
          <w:p>
            <w:pPr>
              <w:spacing w:after="0"/>
              <w:rPr>
                <w:sz w:val="19"/>
                <w:szCs w:val="19"/>
                <w:color w:val="auto"/>
              </w:rPr>
            </w:pPr>
          </w:p>
        </w:tc>
      </w:tr>
    </w:tbl>
    <w:p>
      <w:pPr>
        <w:spacing w:after="0" w:line="2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15. SEGMENT REPORTING</w:t>
      </w:r>
    </w:p>
    <w:p>
      <w:pPr>
        <w:spacing w:after="0" w:line="99" w:lineRule="exact"/>
        <w:rPr>
          <w:sz w:val="20"/>
          <w:szCs w:val="20"/>
          <w:color w:val="auto"/>
        </w:rPr>
      </w:pPr>
    </w:p>
    <w:p>
      <w:pPr>
        <w:ind w:left="960" w:right="999" w:firstLine="902"/>
        <w:spacing w:after="0" w:line="268" w:lineRule="auto"/>
        <w:rPr>
          <w:sz w:val="20"/>
          <w:szCs w:val="20"/>
          <w:color w:val="auto"/>
        </w:rPr>
      </w:pPr>
      <w:r>
        <w:rPr>
          <w:rFonts w:ascii="Times New Roman" w:cs="Times New Roman" w:eastAsia="Times New Roman" w:hAnsi="Times New Roman"/>
          <w:sz w:val="14"/>
          <w:szCs w:val="14"/>
          <w:color w:val="auto"/>
        </w:rPr>
        <w:t>We are currently developing therapies for the treatment of hematologic malignancies. To date, our only source of product revenue has been from U.S. sales of RYTELO, which began shipping to customers in June 2024. Additionally, we have generated insignificant royalty and license fee revenue under agreements that out-license technology to various companies.</w:t>
      </w:r>
    </w:p>
    <w:p>
      <w:pPr>
        <w:spacing w:after="0" w:line="54" w:lineRule="exact"/>
        <w:rPr>
          <w:sz w:val="20"/>
          <w:szCs w:val="20"/>
          <w:color w:val="auto"/>
        </w:rPr>
      </w:pPr>
    </w:p>
    <w:p>
      <w:pPr>
        <w:ind w:left="960" w:right="1059" w:firstLine="902"/>
        <w:spacing w:after="0" w:line="268" w:lineRule="auto"/>
        <w:rPr>
          <w:sz w:val="20"/>
          <w:szCs w:val="20"/>
          <w:color w:val="auto"/>
        </w:rPr>
      </w:pPr>
      <w:r>
        <w:rPr>
          <w:rFonts w:ascii="Times New Roman" w:cs="Times New Roman" w:eastAsia="Times New Roman" w:hAnsi="Times New Roman"/>
          <w:sz w:val="14"/>
          <w:szCs w:val="14"/>
          <w:color w:val="auto"/>
        </w:rPr>
        <w:t>For the year ended December 31, 2025, we have identified one operating and reportable segment. We define our operating segments based on internally reported financial information that is regularly reviewed by the Chief Operating Decision Maker or CODM to analyze financial performance, make decisions, and allocate resources. Our Chief Executive Officer is the CODM.</w:t>
      </w:r>
    </w:p>
    <w:p>
      <w:pPr>
        <w:spacing w:after="0" w:line="54" w:lineRule="exact"/>
        <w:rPr>
          <w:sz w:val="20"/>
          <w:szCs w:val="20"/>
          <w:color w:val="auto"/>
        </w:rPr>
      </w:pPr>
    </w:p>
    <w:p>
      <w:pPr>
        <w:ind w:left="960" w:right="1019" w:firstLine="902"/>
        <w:spacing w:after="0" w:line="265" w:lineRule="auto"/>
        <w:rPr>
          <w:sz w:val="20"/>
          <w:szCs w:val="20"/>
          <w:color w:val="auto"/>
        </w:rPr>
      </w:pPr>
      <w:r>
        <w:rPr>
          <w:rFonts w:ascii="Times New Roman" w:cs="Times New Roman" w:eastAsia="Times New Roman" w:hAnsi="Times New Roman"/>
          <w:sz w:val="14"/>
          <w:szCs w:val="14"/>
          <w:color w:val="auto"/>
        </w:rPr>
        <w:t>The CODM reviews the segment's profit or loss based on net (loss) income reported on the consolidated statement of operations and comprehensive (loss) income and considers forecast-to-actuals variances on a quarterly basis for expenses that are deemed significant. Further, the CODM reviews the segment's assets based on total assets reported on the consolidated balance sheet. All long-lived assets are held in the U.S. Further, the CODM reviews the segment's assets based on total assets reported on the consolidated balance sheet. All long-lived assets are held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690245</wp:posOffset>
            </wp:positionV>
            <wp:extent cx="5584190" cy="66859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84190" cy="668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83" w:lineRule="exact"/>
        <w:rPr>
          <w:sz w:val="20"/>
          <w:szCs w:val="20"/>
          <w:color w:val="auto"/>
        </w:rPr>
      </w:pPr>
    </w:p>
    <w:p>
      <w:pPr>
        <w:ind w:left="960" w:right="1079" w:firstLine="902"/>
        <w:spacing w:after="0" w:line="268" w:lineRule="auto"/>
        <w:rPr>
          <w:sz w:val="20"/>
          <w:szCs w:val="20"/>
          <w:color w:val="auto"/>
        </w:rPr>
      </w:pPr>
      <w:r>
        <w:rPr>
          <w:rFonts w:ascii="Times New Roman" w:cs="Times New Roman" w:eastAsia="Times New Roman" w:hAnsi="Times New Roman"/>
          <w:sz w:val="14"/>
          <w:szCs w:val="14"/>
          <w:color w:val="auto"/>
        </w:rPr>
        <w:t>Our CODM views specific categories within research and development expenses and selling, general and administrative expenses as significant given the correlation between cash burn and profitability. The following table reconciles reported revenues to net (loss) income under the significant expense principle for the year ended December 31, 2025 and 2024:</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jc w:val="right"/>
              <w:ind w:right="46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9"/>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5"/>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revenue, net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21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Royalties</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5"/>
        </w:trPr>
        <w:tc>
          <w:tcPr>
            <w:tcW w:w="4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215"/>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4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goods sold</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5"/>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clinical expenses</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r>
      <w:tr>
        <w:trPr>
          <w:trHeight w:val="21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Chemistry, manufacturing, and control expenses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215"/>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 charges</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expenses</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21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charges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segment expenses*</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r>
      <w:tr>
        <w:trPr>
          <w:trHeight w:val="195"/>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r>
      <w:tr>
        <w:trPr>
          <w:trHeight w:val="215"/>
        </w:trPr>
        <w:tc>
          <w:tcPr>
            <w:tcW w:w="4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r>
      <w:tr>
        <w:trPr>
          <w:trHeight w:val="215"/>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interest and other income (expense)</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5"/>
        </w:trPr>
        <w:tc>
          <w:tcPr>
            <w:tcW w:w="4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4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(174.6)</w:t>
            </w:r>
          </w:p>
        </w:tc>
      </w:tr>
    </w:tbl>
    <w:p>
      <w:pPr>
        <w:spacing w:after="0" w:line="39" w:lineRule="exact"/>
        <w:rPr>
          <w:sz w:val="20"/>
          <w:szCs w:val="20"/>
          <w:color w:val="auto"/>
        </w:rPr>
      </w:pPr>
    </w:p>
    <w:p>
      <w:pPr>
        <w:ind w:left="1080" w:right="1299" w:hanging="120"/>
        <w:spacing w:after="0" w:line="292" w:lineRule="auto"/>
        <w:tabs>
          <w:tab w:leader="none" w:pos="1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expenses includes stock-based compensation expense and other general and administrative expenses largely resulting from personnel costs for individuals in administrative functions and legal and professional fees.</w:t>
      </w:r>
    </w:p>
    <w:p>
      <w:pPr>
        <w:spacing w:after="0" w:line="38" w:lineRule="exact"/>
        <w:rPr>
          <w:sz w:val="20"/>
          <w:szCs w:val="20"/>
          <w:color w:val="auto"/>
        </w:rPr>
      </w:pPr>
    </w:p>
    <w:p>
      <w:pPr>
        <w:ind w:left="960" w:right="1059"/>
        <w:spacing w:after="0" w:line="292" w:lineRule="auto"/>
        <w:rPr>
          <w:sz w:val="20"/>
          <w:szCs w:val="20"/>
          <w:color w:val="auto"/>
        </w:rPr>
      </w:pPr>
      <w:r>
        <w:rPr>
          <w:rFonts w:ascii="Times New Roman" w:cs="Times New Roman" w:eastAsia="Times New Roman" w:hAnsi="Times New Roman"/>
          <w:sz w:val="14"/>
          <w:szCs w:val="14"/>
          <w:color w:val="auto"/>
        </w:rPr>
        <w:t>Accordingly, the Company consists of a single operating and reportable segment and the consolidated financial statements and notes thereto are presented as a single reportable segment.</w:t>
      </w:r>
    </w:p>
    <w:p>
      <w:pPr>
        <w:sectPr>
          <w:pgSz w:w="11900" w:h="16838" w:orient="portrait"/>
          <w:cols w:equalWidth="0" w:num="1">
            <w:col w:w="9019"/>
          </w:cols>
          <w:pgMar w:left="1440" w:top="111" w:right="1440" w:bottom="1440" w:gutter="0" w:footer="0" w:header="0"/>
        </w:sectPr>
      </w:pPr>
    </w:p>
    <w:bookmarkStart w:id="96" w:name="page97"/>
    <w:bookmarkEnd w:id="96"/>
    <w:p>
      <w:pPr>
        <w:ind w:left="960"/>
        <w:spacing w:after="0"/>
        <w:rPr>
          <w:sz w:val="20"/>
          <w:szCs w:val="20"/>
          <w:color w:val="auto"/>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78111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84190" cy="7811135"/>
                    </a:xfrm>
                    <a:prstGeom prst="rect">
                      <a:avLst/>
                    </a:prstGeom>
                    <a:noFill/>
                  </pic:spPr>
                </pic:pic>
              </a:graphicData>
            </a:graphic>
          </wp:anchor>
        </w:drawing>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16. RESTRUCTURING</w:t>
      </w:r>
    </w:p>
    <w:p>
      <w:pPr>
        <w:spacing w:after="0" w:line="99" w:lineRule="exact"/>
        <w:rPr>
          <w:sz w:val="20"/>
          <w:szCs w:val="20"/>
          <w:color w:val="auto"/>
        </w:rPr>
      </w:pPr>
    </w:p>
    <w:p>
      <w:pPr>
        <w:ind w:left="960" w:right="999" w:firstLine="516"/>
        <w:spacing w:after="0" w:line="247" w:lineRule="auto"/>
        <w:rPr>
          <w:sz w:val="20"/>
          <w:szCs w:val="20"/>
          <w:color w:val="auto"/>
        </w:rPr>
      </w:pPr>
      <w:r>
        <w:rPr>
          <w:rFonts w:ascii="Times New Roman" w:cs="Times New Roman" w:eastAsia="Times New Roman" w:hAnsi="Times New Roman"/>
          <w:sz w:val="14"/>
          <w:szCs w:val="14"/>
          <w:color w:val="auto"/>
        </w:rPr>
        <w:t>In December 2025, the board of directors approved a workforce reduction representing approximately one-third of our workforce prior to the reduction in headcount. We incurred approximately $17.0 million in restructuring and restructuring-related charges, primarily consisting of one-time employee severance payments, healthcare and related benefits, and other employee-related costs. The charges were recorded within restructuring charges line item within the consolidated statements of operations. We estimate the workforce reduction will be substantially completed in the first quarter of 2026. There were no restructuring charges in 2024 or 2023.</w:t>
      </w:r>
    </w:p>
    <w:p>
      <w:pPr>
        <w:spacing w:after="0" w:line="376"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Restructuring</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3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balance as of December 31, 2024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Expenses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3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8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Foreign currency and other adjustments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balance as of December 31, 2025</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17. SUBSEQUENT EVENTS</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7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Pharmakon Loan Agreement Amendment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960" w:right="999" w:firstLine="902"/>
        <w:spacing w:after="0" w:line="265" w:lineRule="auto"/>
        <w:rPr>
          <w:sz w:val="20"/>
          <w:szCs w:val="20"/>
          <w:color w:val="auto"/>
        </w:rPr>
      </w:pPr>
      <w:r>
        <w:rPr>
          <w:rFonts w:ascii="Times New Roman" w:cs="Times New Roman" w:eastAsia="Times New Roman" w:hAnsi="Times New Roman"/>
          <w:sz w:val="14"/>
          <w:szCs w:val="14"/>
          <w:color w:val="auto"/>
        </w:rPr>
        <w:t xml:space="preserve">On January 5, 2026, we entered into the First Amendment to the Loan Agreement (the “First Amendment”) with Lenders and Biopharma Credit PLC. Pursuant to the First Amendment, the date for requesting the Tranche B Loan and the Tranche C Loan was extended from December 31, 2025 to July 30, 2026. The amendment also extended the Makewhole Date from November 1, 2026 to May 1, 2027. </w:t>
      </w:r>
      <w:r>
        <w:rPr>
          <w:rFonts w:ascii="Times New Roman" w:cs="Times New Roman" w:eastAsia="Times New Roman" w:hAnsi="Times New Roman"/>
          <w:sz w:val="14"/>
          <w:szCs w:val="14"/>
          <w:color w:val="auto"/>
          <w:highlight w:val="white"/>
        </w:rPr>
        <w:t>See Note 10 on Debt for additional information on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Pharmakon Loan Agreement.</w:t>
      </w:r>
    </w:p>
    <w:p>
      <w:pPr>
        <w:spacing w:after="0" w:line="1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rPr>
        <w:t>2026 Sales Agreement</w:t>
      </w:r>
    </w:p>
    <w:p>
      <w:pPr>
        <w:spacing w:after="0" w:line="187"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On February 27, 2026, we entered into a sales agreement, or the 2026 Sales Agreement, with TD Securities (USA) LLC, or TD Cowen, pursuant to which we may issue and sell shares of our common stock having an aggregate offering price of up to $150 million from time to time through TD Cowen as the sales agent. We will pay TD Cowen an aggregate commission rate equal to up to 2.5% of the gross proceeds of the sales price per share for common stock sold through TD Cowen under the 2026 Sales Agreement. We are not obligated to make any sales of common stock under the 2026 Sales Agreement. Our previous 2023 Sales Agreement with B. Riley Securities, dated November 1, 2023, was terminated in January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2573655</wp:posOffset>
            </wp:positionV>
            <wp:extent cx="5584190" cy="26422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84190" cy="264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right="1759"/>
        <w:spacing w:after="0" w:line="295" w:lineRule="auto"/>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2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  Evaluation of Disclosure Controls and Procedures</w:t>
      </w:r>
    </w:p>
    <w:p>
      <w:pPr>
        <w:spacing w:after="0" w:line="185" w:lineRule="exact"/>
        <w:rPr>
          <w:sz w:val="20"/>
          <w:szCs w:val="20"/>
          <w:color w:val="auto"/>
        </w:rPr>
      </w:pPr>
    </w:p>
    <w:p>
      <w:pPr>
        <w:ind w:left="960" w:right="1059" w:firstLine="902"/>
        <w:spacing w:after="0" w:line="175" w:lineRule="exact"/>
        <w:rPr>
          <w:sz w:val="20"/>
          <w:szCs w:val="20"/>
          <w:color w:val="auto"/>
        </w:rPr>
      </w:pPr>
      <w:r>
        <w:rPr>
          <w:rFonts w:ascii="Times New Roman" w:cs="Times New Roman" w:eastAsia="Times New Roman" w:hAnsi="Times New Roman"/>
          <w:sz w:val="14"/>
          <w:szCs w:val="14"/>
          <w:color w:val="auto"/>
        </w:rPr>
        <w:t>We have carried out an evaluation under the supervision and with the participation of management, including our Chief Executive Officer and our Chief Financial Officer, of our disclosure controls and procedures (as defined in Rule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of the Securities Exchange Act of 1934, as amended) as of the end of the period covered by this Report. Based on that evaluation, our Chief Executive Officer and our Chief Financial Officer concluded that our disclosure controls and procedures were effective at the reasonable assurance level as of December 31, 2025.</w:t>
      </w:r>
    </w:p>
    <w:p>
      <w:pPr>
        <w:spacing w:after="0" w:line="159" w:lineRule="exact"/>
        <w:rPr>
          <w:sz w:val="20"/>
          <w:szCs w:val="20"/>
          <w:color w:val="auto"/>
        </w:rPr>
      </w:pPr>
    </w:p>
    <w:p>
      <w:pPr>
        <w:ind w:left="960" w:right="979" w:firstLine="902"/>
        <w:spacing w:after="0" w:line="274" w:lineRule="auto"/>
        <w:rPr>
          <w:sz w:val="20"/>
          <w:szCs w:val="20"/>
          <w:color w:val="auto"/>
        </w:rPr>
      </w:pPr>
      <w:r>
        <w:rPr>
          <w:rFonts w:ascii="Times New Roman" w:cs="Times New Roman" w:eastAsia="Times New Roman" w:hAnsi="Times New Roman"/>
          <w:sz w:val="14"/>
          <w:szCs w:val="14"/>
          <w:color w:val="auto"/>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w:t>
      </w:r>
    </w:p>
    <w:p>
      <w:pPr>
        <w:sectPr>
          <w:pgSz w:w="11900" w:h="16838" w:orient="portrait"/>
          <w:cols w:equalWidth="0" w:num="1">
            <w:col w:w="9019"/>
          </w:cols>
          <w:pgMar w:left="1440" w:top="1252" w:right="1440" w:bottom="0" w:gutter="0" w:footer="0" w:header="0"/>
        </w:sectPr>
      </w:pPr>
    </w:p>
    <w:bookmarkStart w:id="97" w:name="page98"/>
    <w:bookmarkEnd w:id="97"/>
    <w:p>
      <w:pPr>
        <w:ind w:left="960" w:right="1319"/>
        <w:spacing w:after="0" w:line="194" w:lineRule="auto"/>
        <w:rPr>
          <w:sz w:val="20"/>
          <w:szCs w:val="20"/>
          <w:color w:val="auto"/>
        </w:rPr>
      </w:pPr>
      <w:r>
        <w:rPr>
          <w:rFonts w:ascii="Times New Roman" w:cs="Times New Roman" w:eastAsia="Times New Roman" w:hAnsi="Times New Roman"/>
          <w:sz w:val="14"/>
          <w:szCs w:val="14"/>
          <w:color w:val="auto"/>
        </w:rPr>
        <w:t>part upon certain assumptions about the likelihood of future events. Because of these and other inherent limitations of control systems, there can be no assurance that any design will succeed in achieving its stated goals in all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-147955</wp:posOffset>
            </wp:positionV>
            <wp:extent cx="5584190" cy="45720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84190" cy="4572000"/>
                    </a:xfrm>
                    <a:prstGeom prst="rect">
                      <a:avLst/>
                    </a:prstGeom>
                    <a:noFill/>
                  </pic:spPr>
                </pic:pic>
              </a:graphicData>
            </a:graphic>
          </wp:anchor>
        </w:drawing>
      </w:r>
    </w:p>
    <w:p>
      <w:pPr>
        <w:ind w:left="960" w:right="979"/>
        <w:spacing w:after="0" w:line="260" w:lineRule="auto"/>
        <w:rPr>
          <w:sz w:val="20"/>
          <w:szCs w:val="20"/>
          <w:color w:val="auto"/>
        </w:rPr>
      </w:pPr>
      <w:r>
        <w:rPr>
          <w:rFonts w:ascii="Times New Roman" w:cs="Times New Roman" w:eastAsia="Times New Roman" w:hAnsi="Times New Roman"/>
          <w:sz w:val="14"/>
          <w:szCs w:val="14"/>
          <w:color w:val="auto"/>
        </w:rPr>
        <w:t>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4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Remediation of Previously Identified Material Weakness</w:t>
      </w:r>
    </w:p>
    <w:p>
      <w:pPr>
        <w:spacing w:after="0" w:line="185" w:lineRule="exact"/>
        <w:rPr>
          <w:sz w:val="20"/>
          <w:szCs w:val="20"/>
          <w:color w:val="auto"/>
        </w:rPr>
      </w:pPr>
    </w:p>
    <w:p>
      <w:pPr>
        <w:ind w:left="960" w:right="1379" w:firstLine="902"/>
        <w:spacing w:after="0" w:line="274"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36" w:lineRule="exact"/>
        <w:rPr>
          <w:sz w:val="20"/>
          <w:szCs w:val="20"/>
          <w:color w:val="auto"/>
        </w:rPr>
      </w:pPr>
    </w:p>
    <w:p>
      <w:pPr>
        <w:ind w:left="960" w:right="1079" w:firstLine="902"/>
        <w:spacing w:after="0" w:line="263" w:lineRule="auto"/>
        <w:rPr>
          <w:sz w:val="20"/>
          <w:szCs w:val="20"/>
          <w:color w:val="auto"/>
        </w:rPr>
      </w:pPr>
      <w:r>
        <w:rPr>
          <w:rFonts w:ascii="Times New Roman" w:cs="Times New Roman" w:eastAsia="Times New Roman" w:hAnsi="Times New Roman"/>
          <w:sz w:val="14"/>
          <w:szCs w:val="14"/>
          <w:color w:val="auto"/>
        </w:rPr>
        <w:t>As previously disclosed in our quarterly report on Form 10-Q for the third quarter of 2025, management identified a material weakness in our internal control over financial reporting. Specifically, management identified deficiencies in the design and operation of certain Information Technology General Controls, or ITGCs, related to user access and program change management for our Enterprise Resource Planning and payment processing systems. Consequently, IT application controls and IT dependent manual business process controls that rely upon information from these systems, were also deemed ineffective.</w:t>
      </w:r>
    </w:p>
    <w:p>
      <w:pPr>
        <w:spacing w:after="0" w:line="144" w:lineRule="exact"/>
        <w:rPr>
          <w:sz w:val="20"/>
          <w:szCs w:val="20"/>
          <w:color w:val="auto"/>
        </w:rPr>
      </w:pPr>
    </w:p>
    <w:p>
      <w:pPr>
        <w:ind w:left="960" w:right="999" w:firstLine="902"/>
        <w:spacing w:after="0" w:line="262" w:lineRule="auto"/>
        <w:rPr>
          <w:sz w:val="20"/>
          <w:szCs w:val="20"/>
          <w:color w:val="auto"/>
        </w:rPr>
      </w:pPr>
      <w:r>
        <w:rPr>
          <w:rFonts w:ascii="Times New Roman" w:cs="Times New Roman" w:eastAsia="Times New Roman" w:hAnsi="Times New Roman"/>
          <w:sz w:val="14"/>
          <w:szCs w:val="14"/>
          <w:color w:val="auto"/>
        </w:rPr>
        <w:t>We implemented measures and took steps designed to address the underlying causes of the material weakness, which we determined were influenced by changes in our personnel and IT processes and the rapid growth of our company in 2025. Our remediation efforts included enhancing the design of our ITGC-related controls, as well as providing training to relevant personnel on the design and operation of our ITGCs. We completed the implementation of the remediation measures and through testing of our internal controls, management has determined that the controls related to these remediation measures were effectively designed and operated effectively for a sufficient period of time to enable us to conclude that the material weakness was remediated as of December 31, 2025.</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(II) Changes in Internal Control over Financial Reporting</w:t>
      </w:r>
    </w:p>
    <w:p>
      <w:pPr>
        <w:spacing w:after="0" w:line="185" w:lineRule="exact"/>
        <w:rPr>
          <w:sz w:val="20"/>
          <w:szCs w:val="20"/>
          <w:color w:val="auto"/>
        </w:rPr>
      </w:pPr>
    </w:p>
    <w:p>
      <w:pPr>
        <w:jc w:val="both"/>
        <w:ind w:left="960" w:right="1159" w:firstLine="902"/>
        <w:spacing w:after="0" w:line="274" w:lineRule="auto"/>
        <w:rPr>
          <w:sz w:val="20"/>
          <w:szCs w:val="20"/>
          <w:color w:val="auto"/>
        </w:rPr>
      </w:pPr>
      <w:r>
        <w:rPr>
          <w:rFonts w:ascii="Times New Roman" w:cs="Times New Roman" w:eastAsia="Times New Roman" w:hAnsi="Times New Roman"/>
          <w:sz w:val="14"/>
          <w:szCs w:val="14"/>
          <w:color w:val="auto"/>
        </w:rPr>
        <w:t>Other than the remediation measures described above, there were no changes in our internal control over financial reporting during the quarter ended December 31,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979170</wp:posOffset>
            </wp:positionV>
            <wp:extent cx="5584190" cy="5881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84190" cy="588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(III) Management’s Report on Internal Control over Financial Reporting</w:t>
      </w:r>
    </w:p>
    <w:p>
      <w:pPr>
        <w:spacing w:after="0" w:line="185" w:lineRule="exact"/>
        <w:rPr>
          <w:sz w:val="20"/>
          <w:szCs w:val="20"/>
          <w:color w:val="auto"/>
        </w:rPr>
      </w:pPr>
    </w:p>
    <w:p>
      <w:pPr>
        <w:ind w:left="960" w:right="1099" w:firstLine="902"/>
        <w:spacing w:after="0" w:line="265" w:lineRule="auto"/>
        <w:rPr>
          <w:sz w:val="20"/>
          <w:szCs w:val="20"/>
          <w:color w:val="auto"/>
        </w:rPr>
      </w:pPr>
      <w:r>
        <w:rPr>
          <w:rFonts w:ascii="Times New Roman" w:cs="Times New Roman" w:eastAsia="Times New Roman" w:hAnsi="Times New Roman"/>
          <w:sz w:val="14"/>
          <w:szCs w:val="14"/>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6" w:lineRule="exact"/>
        <w:rPr>
          <w:sz w:val="20"/>
          <w:szCs w:val="20"/>
          <w:color w:val="auto"/>
        </w:rPr>
      </w:pPr>
    </w:p>
    <w:p>
      <w:pPr>
        <w:ind w:left="2760" w:right="1099" w:hanging="898"/>
        <w:spacing w:after="0" w:line="292" w:lineRule="auto"/>
        <w:tabs>
          <w:tab w:leader="none" w:pos="2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our assets;</w:t>
      </w:r>
    </w:p>
    <w:p>
      <w:pPr>
        <w:spacing w:after="0" w:line="37" w:lineRule="exact"/>
        <w:rPr>
          <w:rFonts w:ascii="Times New Roman" w:cs="Times New Roman" w:eastAsia="Times New Roman" w:hAnsi="Times New Roman"/>
          <w:sz w:val="14"/>
          <w:szCs w:val="14"/>
          <w:color w:val="auto"/>
        </w:rPr>
      </w:pPr>
    </w:p>
    <w:p>
      <w:pPr>
        <w:ind w:left="2760" w:right="1119" w:hanging="898"/>
        <w:spacing w:after="0" w:line="268" w:lineRule="auto"/>
        <w:tabs>
          <w:tab w:leader="none" w:pos="2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4" w:lineRule="exact"/>
        <w:rPr>
          <w:rFonts w:ascii="Times New Roman" w:cs="Times New Roman" w:eastAsia="Times New Roman" w:hAnsi="Times New Roman"/>
          <w:sz w:val="14"/>
          <w:szCs w:val="14"/>
          <w:color w:val="auto"/>
        </w:rPr>
      </w:pPr>
    </w:p>
    <w:p>
      <w:pPr>
        <w:ind w:left="2760" w:right="999" w:hanging="898"/>
        <w:spacing w:after="0" w:line="274" w:lineRule="auto"/>
        <w:tabs>
          <w:tab w:leader="none" w:pos="2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the financial statements.</w:t>
      </w:r>
    </w:p>
    <w:p>
      <w:pPr>
        <w:spacing w:after="0" w:line="136" w:lineRule="exact"/>
        <w:rPr>
          <w:sz w:val="20"/>
          <w:szCs w:val="20"/>
          <w:color w:val="auto"/>
        </w:rPr>
      </w:pPr>
    </w:p>
    <w:p>
      <w:pPr>
        <w:ind w:left="960" w:right="979" w:firstLine="902"/>
        <w:spacing w:after="0" w:line="261"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an adequate internal control over financial reporting for us. 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46" w:lineRule="exact"/>
        <w:rPr>
          <w:sz w:val="20"/>
          <w:szCs w:val="20"/>
          <w:color w:val="auto"/>
        </w:rPr>
      </w:pPr>
    </w:p>
    <w:p>
      <w:pPr>
        <w:ind w:left="960" w:right="999" w:firstLine="902"/>
        <w:spacing w:after="0" w:line="263"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our Chief Financial Officer, we conducted an evaluation of the effectiveness of our internal control over financial reporting based on the framework set forth in “Internal Control—Integrated Framework” issued by the Committee of Sponsoring Organizations of the Treadway Commission (2013 framework). Based on our evaluation under the framework set forth in “Internal Control—Integrated Framework,” our management concluded that our internal control over financial reporting was effective as of December 31, 2025.</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(IV) Report of Independent Registered Public Accounting Firm</w:t>
      </w:r>
    </w:p>
    <w:p>
      <w:pPr>
        <w:spacing w:after="0" w:line="185" w:lineRule="exact"/>
        <w:rPr>
          <w:sz w:val="20"/>
          <w:szCs w:val="20"/>
          <w:color w:val="auto"/>
        </w:rPr>
      </w:pPr>
    </w:p>
    <w:p>
      <w:pPr>
        <w:ind w:left="960" w:right="1259" w:firstLine="902"/>
        <w:spacing w:after="0" w:line="292" w:lineRule="auto"/>
        <w:rPr>
          <w:sz w:val="20"/>
          <w:szCs w:val="20"/>
          <w:color w:val="auto"/>
        </w:rPr>
      </w:pPr>
      <w:r>
        <w:rPr>
          <w:rFonts w:ascii="Times New Roman" w:cs="Times New Roman" w:eastAsia="Times New Roman" w:hAnsi="Times New Roman"/>
          <w:sz w:val="14"/>
          <w:szCs w:val="14"/>
          <w:color w:val="auto"/>
        </w:rPr>
        <w:t>This Report includes an attestation report of our independent registered public accounting firm. It is set forth in Item 8 above.</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Not applicable.</w:t>
      </w:r>
    </w:p>
    <w:p>
      <w:pPr>
        <w:sectPr>
          <w:pgSz w:w="11900" w:h="16838" w:orient="portrait"/>
          <w:cols w:equalWidth="0" w:num="1">
            <w:col w:w="9019"/>
          </w:cols>
          <w:pgMar w:left="1440" w:top="114" w:right="1440" w:bottom="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-83820</wp:posOffset>
            </wp:positionV>
            <wp:extent cx="5584190" cy="1332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84190" cy="1332865"/>
                    </a:xfrm>
                    <a:prstGeom prst="rect">
                      <a:avLst/>
                    </a:prstGeom>
                    <a:noFill/>
                  </pic:spPr>
                </pic:pic>
              </a:graphicData>
            </a:graphic>
          </wp:anchor>
        </w:drawing>
      </w:r>
    </w:p>
    <w:p>
      <w:pPr>
        <w:spacing w:after="0" w:line="122" w:lineRule="exact"/>
        <w:rPr>
          <w:sz w:val="20"/>
          <w:szCs w:val="20"/>
          <w:color w:val="auto"/>
        </w:rPr>
      </w:pPr>
    </w:p>
    <w:p>
      <w:pPr>
        <w:ind w:left="960" w:right="1079" w:firstLine="902"/>
        <w:spacing w:after="0" w:line="263" w:lineRule="auto"/>
        <w:rPr>
          <w:sz w:val="20"/>
          <w:szCs w:val="20"/>
          <w:color w:val="auto"/>
        </w:rPr>
      </w:pPr>
      <w:r>
        <w:rPr>
          <w:rFonts w:ascii="Times New Roman" w:cs="Times New Roman" w:eastAsia="Times New Roman" w:hAnsi="Times New Roman"/>
          <w:sz w:val="14"/>
          <w:szCs w:val="14"/>
          <w:color w:val="auto"/>
        </w:rPr>
        <w:t>Certain information required by Part III is omitted from this Report because we will file with the U.S. Securities and Exchange Commission a definitive proxy statement pursuant to Regulation 14A in connection with the solicitation of proxies for Geron’s Annual Meeting of Stockholders expected to be held in May 2026, or the Proxy Statement, not later than 120 days after the end of the fiscal year covered by this Report, and certain information included therein is incorporated herein by reference, or an amendment to this Report under cover of Form 10-K/A containing the information required by this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548005</wp:posOffset>
            </wp:positionV>
            <wp:extent cx="5584190" cy="72205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84190" cy="722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Identification of Directors and Nominees for Director</w:t>
      </w:r>
    </w:p>
    <w:p>
      <w:pPr>
        <w:spacing w:after="0" w:line="185" w:lineRule="exact"/>
        <w:rPr>
          <w:sz w:val="20"/>
          <w:szCs w:val="20"/>
          <w:color w:val="auto"/>
        </w:rPr>
      </w:pPr>
    </w:p>
    <w:p>
      <w:pPr>
        <w:ind w:left="960" w:right="979" w:firstLine="902"/>
        <w:spacing w:after="0" w:line="292" w:lineRule="auto"/>
        <w:rPr>
          <w:sz w:val="20"/>
          <w:szCs w:val="20"/>
          <w:color w:val="auto"/>
        </w:rPr>
      </w:pPr>
      <w:r>
        <w:rPr>
          <w:rFonts w:ascii="Times New Roman" w:cs="Times New Roman" w:eastAsia="Times New Roman" w:hAnsi="Times New Roman"/>
          <w:sz w:val="14"/>
          <w:szCs w:val="14"/>
          <w:color w:val="auto"/>
        </w:rPr>
        <w:t>The information required by this item concerning our directors and nominees for director is incorporated by reference from the section captioned “Proposal 1: Election of Directors” contained in our Proxy Statement.</w:t>
      </w:r>
    </w:p>
    <w:p>
      <w:pPr>
        <w:spacing w:after="0" w:line="1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Identification of Executive Officers</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information required by this item concerning our executive officers is set forth in Part I, Item 1 of this</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Report.</w:t>
      </w:r>
    </w:p>
    <w:p>
      <w:pPr>
        <w:spacing w:after="0" w:line="1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85" w:lineRule="exact"/>
        <w:rPr>
          <w:sz w:val="20"/>
          <w:szCs w:val="20"/>
          <w:color w:val="auto"/>
        </w:rPr>
      </w:pPr>
    </w:p>
    <w:p>
      <w:pPr>
        <w:ind w:left="960" w:right="999" w:firstLine="902"/>
        <w:spacing w:after="0" w:line="260" w:lineRule="auto"/>
        <w:rPr>
          <w:sz w:val="20"/>
          <w:szCs w:val="20"/>
          <w:color w:val="auto"/>
        </w:rPr>
      </w:pPr>
      <w:r>
        <w:rPr>
          <w:rFonts w:ascii="Times New Roman" w:cs="Times New Roman" w:eastAsia="Times New Roman" w:hAnsi="Times New Roman"/>
          <w:sz w:val="14"/>
          <w:szCs w:val="14"/>
          <w:color w:val="auto"/>
        </w:rPr>
        <w:t>We have adopted a Code of Conduct with which all our directors, employees and members of our executive management team, including our Chief Executive Officer and Chief Financial Officer, are required to adhere in discharging their work-related responsibilities. Our Code of Conduct is available in its entirety on the Corporate Governance page in the Investors &amp; Media section of our website at http://ir.geron.com and to any stockholder otherwise requesting a copy.. This website address is intended to be an inactive, textual reference only; none of the material on this website is part of this Report.. Amendments to the Code of Conduct, and any waivers from the Code of Conduct granted to our directors or members of our executive management team, will be made available through our website as they are adopted. Accordingly, we intend to satisfy the disclosure requirement under Item 5.05 of Form 8-K regarding an amendment to, or waiver from, a provision of the Code of Conduct by posting such information on our website.</w:t>
      </w:r>
    </w:p>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185" w:lineRule="exact"/>
        <w:rPr>
          <w:sz w:val="20"/>
          <w:szCs w:val="20"/>
          <w:color w:val="auto"/>
        </w:rPr>
      </w:pPr>
    </w:p>
    <w:p>
      <w:pPr>
        <w:ind w:left="960" w:right="1039" w:firstLine="902"/>
        <w:spacing w:after="0" w:line="274"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sale and/or other dispositions of our securities by our directors, officers and employees. A copy of the Insider Trading Policy is filed as an exhibit to this Report. In addition, it is the Company’s practice to comply with applicable laws and regulations relating to insider trading.</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Certain Corporate Governance Matters</w:t>
      </w:r>
    </w:p>
    <w:p>
      <w:pPr>
        <w:spacing w:after="0" w:line="185" w:lineRule="exact"/>
        <w:rPr>
          <w:sz w:val="20"/>
          <w:szCs w:val="20"/>
          <w:color w:val="auto"/>
        </w:rPr>
      </w:pPr>
    </w:p>
    <w:p>
      <w:pPr>
        <w:ind w:left="960" w:right="959" w:firstLine="902"/>
        <w:spacing w:after="0" w:line="274" w:lineRule="auto"/>
        <w:rPr>
          <w:sz w:val="20"/>
          <w:szCs w:val="20"/>
          <w:color w:val="auto"/>
        </w:rPr>
      </w:pPr>
      <w:r>
        <w:rPr>
          <w:rFonts w:ascii="Times New Roman" w:cs="Times New Roman" w:eastAsia="Times New Roman" w:hAnsi="Times New Roman"/>
          <w:sz w:val="14"/>
          <w:szCs w:val="14"/>
          <w:color w:val="auto"/>
        </w:rPr>
        <w:t>The information required by this item concerning our audit committee, audit committee financial expert and procedures by which stockholders may recommend nominees to our board of directors, may be found under the sections captioned “Board Leadership and Governance” and “Other Matters” contained in the Proxy Statement.</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5" w:lineRule="exact"/>
        <w:rPr>
          <w:sz w:val="20"/>
          <w:szCs w:val="20"/>
          <w:color w:val="auto"/>
        </w:rPr>
      </w:pPr>
    </w:p>
    <w:p>
      <w:pPr>
        <w:ind w:left="960" w:right="1319" w:firstLine="902"/>
        <w:spacing w:after="0" w:line="268"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from the sections captioned “Compensation Discussion and Analysis,” “Compensation Committee Report,” “Executive Compensation Tables and Related Narrative Disclosure,” “Compensation of Directors” and “Compensation Committee Interlocks and Insider Participation” contained in the Proxy Statement.</w:t>
      </w:r>
    </w:p>
    <w:p>
      <w:pPr>
        <w:spacing w:after="0" w:line="138" w:lineRule="exact"/>
        <w:rPr>
          <w:sz w:val="20"/>
          <w:szCs w:val="20"/>
          <w:color w:val="auto"/>
        </w:rPr>
      </w:pPr>
    </w:p>
    <w:p>
      <w:pPr>
        <w:ind w:left="960" w:right="1439"/>
        <w:spacing w:after="0" w:line="295" w:lineRule="auto"/>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22" w:lineRule="exact"/>
        <w:rPr>
          <w:sz w:val="20"/>
          <w:szCs w:val="20"/>
          <w:color w:val="auto"/>
        </w:rPr>
      </w:pPr>
    </w:p>
    <w:p>
      <w:pPr>
        <w:ind w:left="960" w:right="1139" w:firstLine="902"/>
        <w:spacing w:after="0" w:line="274"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from the sections captioned “Equity Compensation Plan Information” and “Security Ownership of Certain Beneficial Owners and Management” contained in the Proxy Statement.</w:t>
      </w:r>
    </w:p>
    <w:p>
      <w:pPr>
        <w:spacing w:after="0" w:line="134" w:lineRule="exact"/>
        <w:rPr>
          <w:sz w:val="20"/>
          <w:szCs w:val="20"/>
          <w:color w:val="auto"/>
        </w:rPr>
      </w:pPr>
    </w:p>
    <w:p>
      <w:pPr>
        <w:ind w:left="960" w:right="2159"/>
        <w:spacing w:after="0" w:line="295" w:lineRule="auto"/>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2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The information required by this item is incorporated by reference from the sections captioned “Proposal 1:</w:t>
      </w:r>
    </w:p>
    <w:p>
      <w:pPr>
        <w:spacing w:after="0" w:line="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Election of Directors” and “Certain Transactions” contained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673100</wp:posOffset>
            </wp:positionV>
            <wp:extent cx="5584190" cy="1837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84190" cy="183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85" w:lineRule="exact"/>
        <w:rPr>
          <w:sz w:val="20"/>
          <w:szCs w:val="20"/>
          <w:color w:val="auto"/>
        </w:rPr>
      </w:pPr>
    </w:p>
    <w:p>
      <w:pPr>
        <w:ind w:left="960" w:right="1179" w:firstLine="902"/>
        <w:spacing w:after="0" w:line="292"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from the section captioned “Principal Accountant Fees and Services” contained in the Proxy Statement.</w:t>
      </w:r>
    </w:p>
    <w:p>
      <w:pPr>
        <w:sectPr>
          <w:pgSz w:w="11900" w:h="16838" w:orient="portrait"/>
          <w:cols w:equalWidth="0" w:num="1">
            <w:col w:w="9019"/>
          </w:cols>
          <w:pgMar w:left="1440" w:top="111" w:right="1440" w:bottom="776"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05156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8419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(a) (1) Financial Statements</w:t>
      </w:r>
    </w:p>
    <w:p>
      <w:pPr>
        <w:spacing w:after="0" w:line="18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Included in Part II, Item 8 of this Report:</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48"/>
        </w:trPr>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3"/>
        </w:trPr>
        <w:tc>
          <w:tcPr>
            <w:tcW w:w="62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98</w:t>
            </w:r>
          </w:p>
        </w:tc>
      </w:tr>
      <w:tr>
        <w:trPr>
          <w:trHeight w:val="20"/>
        </w:trPr>
        <w:tc>
          <w:tcPr>
            <w:tcW w:w="25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5"/>
        </w:trPr>
        <w:tc>
          <w:tcPr>
            <w:tcW w:w="62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Sheets—December 31, 2025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r>
      <w:tr>
        <w:trPr>
          <w:trHeight w:val="20"/>
        </w:trPr>
        <w:tc>
          <w:tcPr>
            <w:tcW w:w="25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5"/>
        </w:trPr>
        <w:tc>
          <w:tcPr>
            <w:tcW w:w="5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Operations—Years Ended December 31, 2025, 2024 and 2023</w:t>
            </w:r>
          </w:p>
        </w:tc>
        <w:tc>
          <w:tcPr>
            <w:tcW w:w="1060" w:type="dxa"/>
            <w:vAlign w:val="bottom"/>
            <w:gridSpan w:val="3"/>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r>
      <w:tr>
        <w:trPr>
          <w:trHeight w:val="195"/>
        </w:trPr>
        <w:tc>
          <w:tcPr>
            <w:tcW w:w="5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Loss—Years Ended December 31, 2025, 2024 and 2023</w:t>
            </w:r>
          </w:p>
        </w:tc>
        <w:tc>
          <w:tcPr>
            <w:tcW w:w="4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r>
      <w:tr>
        <w:trPr>
          <w:trHeight w:val="195"/>
        </w:trPr>
        <w:tc>
          <w:tcPr>
            <w:tcW w:w="5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Equity—Years Ended December 31, 2025, 2024 and 2023</w:t>
            </w:r>
          </w:p>
        </w:tc>
        <w:tc>
          <w:tcPr>
            <w:tcW w:w="4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r>
      <w:tr>
        <w:trPr>
          <w:trHeight w:val="195"/>
        </w:trPr>
        <w:tc>
          <w:tcPr>
            <w:tcW w:w="5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Cash Flows—Years Ended December 31, 2025, 2024 and 2023</w:t>
            </w:r>
          </w:p>
        </w:tc>
        <w:tc>
          <w:tcPr>
            <w:tcW w:w="1020" w:type="dxa"/>
            <w:vAlign w:val="bottom"/>
            <w:gridSpan w:val="2"/>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r>
      <w:tr>
        <w:trPr>
          <w:trHeight w:val="195"/>
        </w:trPr>
        <w:tc>
          <w:tcPr>
            <w:tcW w:w="2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3740" w:type="dxa"/>
            <w:vAlign w:val="bottom"/>
            <w:gridSpan w:val="6"/>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r>
      <w:tr>
        <w:trPr>
          <w:trHeight w:val="409"/>
        </w:trPr>
        <w:tc>
          <w:tcPr>
            <w:tcW w:w="14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(2)</w:t>
            </w:r>
          </w:p>
        </w:tc>
        <w:tc>
          <w:tcPr>
            <w:tcW w:w="486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Financial Statement Schedules</w:t>
            </w:r>
          </w:p>
        </w:tc>
        <w:tc>
          <w:tcPr>
            <w:tcW w:w="780" w:type="dxa"/>
            <w:vAlign w:val="bottom"/>
          </w:tcPr>
          <w:p>
            <w:pPr>
              <w:spacing w:after="0"/>
              <w:rPr>
                <w:sz w:val="24"/>
                <w:szCs w:val="24"/>
                <w:color w:val="auto"/>
              </w:rPr>
            </w:pPr>
          </w:p>
        </w:tc>
      </w:tr>
    </w:tbl>
    <w:p>
      <w:pPr>
        <w:spacing w:after="0" w:line="158" w:lineRule="exact"/>
        <w:rPr>
          <w:sz w:val="20"/>
          <w:szCs w:val="20"/>
          <w:color w:val="auto"/>
        </w:rPr>
      </w:pPr>
    </w:p>
    <w:p>
      <w:pPr>
        <w:ind w:left="960" w:right="1119" w:firstLine="902"/>
        <w:spacing w:after="0" w:line="292" w:lineRule="auto"/>
        <w:rPr>
          <w:sz w:val="20"/>
          <w:szCs w:val="20"/>
          <w:color w:val="auto"/>
        </w:rPr>
      </w:pPr>
      <w:r>
        <w:rPr>
          <w:rFonts w:ascii="Times New Roman" w:cs="Times New Roman" w:eastAsia="Times New Roman" w:hAnsi="Times New Roman"/>
          <w:sz w:val="14"/>
          <w:szCs w:val="14"/>
          <w:color w:val="auto"/>
        </w:rPr>
        <w:t>Financial statement schedules are omitted because they are not required or the information is disclosed in the financial statements listed in Item 15(a)(1) above.</w:t>
      </w:r>
    </w:p>
    <w:p>
      <w:pPr>
        <w:spacing w:after="0" w:line="122" w:lineRule="exact"/>
        <w:rPr>
          <w:sz w:val="20"/>
          <w:szCs w:val="20"/>
          <w:color w:val="auto"/>
        </w:rPr>
      </w:pPr>
    </w:p>
    <w:p>
      <w:pPr>
        <w:ind w:left="2760" w:hanging="898"/>
        <w:spacing w:after="0"/>
        <w:tabs>
          <w:tab w:leader="none" w:pos="276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200" w:lineRule="exact"/>
        <w:rPr>
          <w:sz w:val="20"/>
          <w:szCs w:val="20"/>
          <w:color w:val="auto"/>
        </w:rPr>
      </w:pPr>
    </w:p>
    <w:p>
      <w:pPr>
        <w:spacing w:after="0" w:line="227" w:lineRule="exact"/>
        <w:rPr>
          <w:sz w:val="20"/>
          <w:szCs w:val="20"/>
          <w:color w:val="auto"/>
        </w:rPr>
      </w:pPr>
    </w:p>
    <w:tbl>
      <w:tblPr>
        <w:tblLayout w:type="fixed"/>
        <w:tblInd w:w="1100" w:type="dxa"/>
        <w:tblCellMar>
          <w:top w:w="0" w:type="dxa"/>
          <w:left w:w="0" w:type="dxa"/>
          <w:bottom w:w="0" w:type="dxa"/>
          <w:right w:w="0" w:type="dxa"/>
        </w:tblCellMar>
      </w:tblPr>
      <w:tr>
        <w:trPr>
          <w:trHeight w:val="140"/>
        </w:trPr>
        <w:tc>
          <w:tcPr>
            <w:tcW w:w="540" w:type="dxa"/>
            <w:vAlign w:val="bottom"/>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center"/>
              <w:ind w:left="57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40" w:type="dxa"/>
            <w:vAlign w:val="bottom"/>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40" w:type="dxa"/>
            <w:vAlign w:val="bottom"/>
          </w:tcPr>
          <w:p>
            <w:pPr>
              <w:spacing w:after="0"/>
              <w:rPr>
                <w:sz w:val="13"/>
                <w:szCs w:val="13"/>
                <w:color w:val="auto"/>
              </w:rPr>
            </w:pPr>
          </w:p>
        </w:tc>
        <w:tc>
          <w:tcPr>
            <w:tcW w:w="2300" w:type="dxa"/>
            <w:vAlign w:val="bottom"/>
            <w:gridSpan w:val="3"/>
          </w:tcPr>
          <w:p>
            <w:pPr>
              <w:ind w:left="10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320" w:type="dxa"/>
            <w:vAlign w:val="bottom"/>
          </w:tcPr>
          <w:p>
            <w:pPr>
              <w:jc w:val="center"/>
              <w:ind w:left="57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0" w:type="dxa"/>
            <w:vAlign w:val="bottom"/>
          </w:tcPr>
          <w:p>
            <w:pPr>
              <w:spacing w:after="0"/>
              <w:rPr>
                <w:sz w:val="1"/>
                <w:szCs w:val="1"/>
                <w:color w:val="auto"/>
              </w:rPr>
            </w:pPr>
          </w:p>
        </w:tc>
      </w:tr>
      <w:tr>
        <w:trPr>
          <w:trHeight w:val="406"/>
        </w:trPr>
        <w:tc>
          <w:tcPr>
            <w:tcW w:w="5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3.1</w:t>
            </w:r>
          </w:p>
        </w:tc>
        <w:tc>
          <w:tcPr>
            <w:tcW w:w="2440" w:type="dxa"/>
            <w:vAlign w:val="bottom"/>
            <w:gridSpan w:val="4"/>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Restated Certificate of Incorporation</w:t>
              </w:r>
            </w:hyperlink>
          </w:p>
        </w:tc>
        <w:tc>
          <w:tcPr>
            <w:tcW w:w="1320" w:type="dxa"/>
            <w:vAlign w:val="bottom"/>
          </w:tcPr>
          <w:p>
            <w:pPr>
              <w:jc w:val="center"/>
              <w:ind w:left="553"/>
              <w:spacing w:after="0"/>
              <w:rPr>
                <w:sz w:val="20"/>
                <w:szCs w:val="20"/>
                <w:color w:val="auto"/>
              </w:rPr>
            </w:pPr>
            <w:r>
              <w:rPr>
                <w:rFonts w:ascii="Times New Roman" w:cs="Times New Roman" w:eastAsia="Times New Roman" w:hAnsi="Times New Roman"/>
                <w:sz w:val="14"/>
                <w:szCs w:val="14"/>
                <w:color w:val="auto"/>
              </w:rPr>
              <w:t>3.3</w:t>
            </w:r>
          </w:p>
        </w:tc>
        <w:tc>
          <w:tcPr>
            <w:tcW w:w="58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color w:val="auto"/>
              </w:rPr>
              <w:t>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18, 2012</w:t>
            </w:r>
          </w:p>
        </w:tc>
        <w:tc>
          <w:tcPr>
            <w:tcW w:w="800" w:type="dxa"/>
            <w:vAlign w:val="bottom"/>
          </w:tcPr>
          <w:p>
            <w:pPr>
              <w:jc w:val="center"/>
              <w:ind w:left="111"/>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vMerge w:val="restart"/>
          </w:tcPr>
          <w:p>
            <w:pPr>
              <w:jc w:val="center"/>
              <w:spacing w:after="0" w:line="161" w:lineRule="exact"/>
              <w:rPr>
                <w:sz w:val="20"/>
                <w:szCs w:val="20"/>
                <w:color w:val="auto"/>
              </w:rPr>
            </w:pPr>
            <w:r>
              <w:rPr>
                <w:rFonts w:ascii="Times New Roman" w:cs="Times New Roman" w:eastAsia="Times New Roman" w:hAnsi="Times New Roman"/>
                <w:sz w:val="14"/>
                <w:szCs w:val="14"/>
                <w:color w:val="auto"/>
              </w:rPr>
              <w:t>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1140" w:type="dxa"/>
            <w:vAlign w:val="bottom"/>
          </w:tcPr>
          <w:p>
            <w:pPr>
              <w:spacing w:after="0" w:line="20" w:lineRule="exact"/>
              <w:rPr>
                <w:sz w:val="1"/>
                <w:szCs w:val="1"/>
                <w:color w:val="auto"/>
              </w:rPr>
            </w:pPr>
          </w:p>
        </w:tc>
        <w:tc>
          <w:tcPr>
            <w:tcW w:w="800" w:type="dxa"/>
            <w:vAlign w:val="bottom"/>
            <w:vMerge w:val="restart"/>
          </w:tcPr>
          <w:p>
            <w:pPr>
              <w:jc w:val="center"/>
              <w:ind w:left="111"/>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0" w:type="dxa"/>
            <w:vAlign w:val="bottom"/>
          </w:tcPr>
          <w:p>
            <w:pPr>
              <w:spacing w:after="0" w:line="20" w:lineRule="exact"/>
              <w:rPr>
                <w:sz w:val="1"/>
                <w:szCs w:val="1"/>
                <w:color w:val="auto"/>
              </w:rPr>
            </w:pPr>
          </w:p>
        </w:tc>
      </w:tr>
      <w:tr>
        <w:trPr>
          <w:trHeight w:val="195"/>
        </w:trPr>
        <w:tc>
          <w:tcPr>
            <w:tcW w:w="5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3.2</w:t>
            </w:r>
          </w:p>
        </w:tc>
        <w:tc>
          <w:tcPr>
            <w:tcW w:w="244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Certificate of Amendment of the Restated</w:t>
              </w:r>
            </w:hyperlink>
          </w:p>
        </w:tc>
        <w:tc>
          <w:tcPr>
            <w:tcW w:w="1320" w:type="dxa"/>
            <w:vAlign w:val="bottom"/>
          </w:tcPr>
          <w:p>
            <w:pPr>
              <w:jc w:val="center"/>
              <w:ind w:left="553"/>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18, 2012</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3"/>
          </w:tcPr>
          <w:p>
            <w:pPr>
              <w:spacing w:after="0" w:line="152"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Certificate of Incorporation</w:t>
              </w:r>
            </w:hyperlink>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3.3</w:t>
            </w:r>
          </w:p>
        </w:tc>
        <w:tc>
          <w:tcPr>
            <w:tcW w:w="244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Certificate of Amendment of the Restated</w:t>
              </w:r>
            </w:hyperlink>
          </w:p>
        </w:tc>
        <w:tc>
          <w:tcPr>
            <w:tcW w:w="1320" w:type="dxa"/>
            <w:vAlign w:val="bottom"/>
          </w:tcPr>
          <w:p>
            <w:pPr>
              <w:jc w:val="center"/>
              <w:ind w:left="553"/>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7, 2019</w:t>
            </w:r>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000-20859</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3"/>
          </w:tcPr>
          <w:p>
            <w:pPr>
              <w:spacing w:after="0" w:line="152"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Certificate of Incorporation</w:t>
              </w:r>
            </w:hyperlink>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3.4</w:t>
            </w:r>
          </w:p>
        </w:tc>
        <w:tc>
          <w:tcPr>
            <w:tcW w:w="244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Certificate of Amendment of the Restated</w:t>
              </w:r>
            </w:hyperlink>
          </w:p>
        </w:tc>
        <w:tc>
          <w:tcPr>
            <w:tcW w:w="1320" w:type="dxa"/>
            <w:vAlign w:val="bottom"/>
          </w:tcPr>
          <w:p>
            <w:pPr>
              <w:jc w:val="center"/>
              <w:ind w:left="553"/>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13, 2021</w:t>
            </w:r>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000-20859</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3"/>
          </w:tcPr>
          <w:p>
            <w:pPr>
              <w:spacing w:after="0" w:line="152"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Certificate of Incorporation</w:t>
              </w:r>
            </w:hyperlink>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3.5</w:t>
            </w:r>
          </w:p>
        </w:tc>
        <w:tc>
          <w:tcPr>
            <w:tcW w:w="244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Certificate of Amendment of the Restated</w:t>
              </w:r>
            </w:hyperlink>
          </w:p>
        </w:tc>
        <w:tc>
          <w:tcPr>
            <w:tcW w:w="1320" w:type="dxa"/>
            <w:vAlign w:val="bottom"/>
          </w:tcPr>
          <w:p>
            <w:pPr>
              <w:jc w:val="center"/>
              <w:ind w:left="553"/>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 2023</w:t>
            </w:r>
          </w:p>
        </w:tc>
        <w:tc>
          <w:tcPr>
            <w:tcW w:w="80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rPr>
              <w:t>000-20859</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3"/>
          </w:tcPr>
          <w:p>
            <w:pPr>
              <w:spacing w:after="0" w:line="152"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Certificate of Incorporation</w:t>
              </w:r>
            </w:hyperlink>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8" w:orient="portrait"/>
          <w:cols w:equalWidth="0" w:num="1">
            <w:col w:w="9019"/>
          </w:cols>
          <w:pgMar w:left="1440" w:top="1440" w:right="1440" w:bottom="0" w:gutter="0" w:footer="0" w:header="0"/>
        </w:sectPr>
      </w:pPr>
    </w:p>
    <w:bookmarkStart w:id="100" w:name="page101"/>
    <w:bookmarkEnd w:id="100"/>
    <w:p>
      <w:pPr>
        <w:spacing w:after="0" w:line="1" w:lineRule="exact"/>
        <w:rPr>
          <w:sz w:val="20"/>
          <w:szCs w:val="20"/>
          <w:color w:val="auto"/>
        </w:rPr>
      </w:pPr>
    </w:p>
    <w:tbl>
      <w:tblPr>
        <w:tblLayout w:type="fixed"/>
        <w:tblInd w:w="110" w:type="dxa"/>
        <w:tblCellMar>
          <w:top w:w="0" w:type="dxa"/>
          <w:left w:w="0" w:type="dxa"/>
          <w:bottom w:w="0" w:type="dxa"/>
          <w:right w:w="0" w:type="dxa"/>
        </w:tblCellMar>
      </w:tblPr>
      <w:tr>
        <w:trPr>
          <w:trHeight w:val="161"/>
        </w:trPr>
        <w:tc>
          <w:tcPr>
            <w:tcW w:w="880" w:type="dxa"/>
            <w:vAlign w:val="bottom"/>
            <w:tcBorders>
              <w:left w:val="single" w:sz="8" w:color="CCCCCC"/>
              <w:right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3.6</w:t>
            </w:r>
          </w:p>
        </w:tc>
        <w:tc>
          <w:tcPr>
            <w:tcW w:w="20" w:type="dxa"/>
            <w:vAlign w:val="bottom"/>
            <w:tcBorders>
              <w:top w:val="single" w:sz="8" w:color="auto"/>
            </w:tcBorders>
          </w:tcPr>
          <w:p>
            <w:pPr>
              <w:spacing w:after="0"/>
              <w:rPr>
                <w:sz w:val="14"/>
                <w:szCs w:val="14"/>
                <w:color w:val="auto"/>
              </w:rPr>
            </w:pPr>
          </w:p>
        </w:tc>
        <w:tc>
          <w:tcPr>
            <w:tcW w:w="3060" w:type="dxa"/>
            <w:vAlign w:val="bottom"/>
            <w:tcBorders>
              <w:top w:val="single" w:sz="8" w:color="auto"/>
              <w:right w:val="single" w:sz="8" w:color="auto"/>
            </w:tcBorders>
            <w:gridSpan w:val="37"/>
          </w:tcPr>
          <w:p>
            <w:pPr>
              <w:spacing w:after="0" w:line="151"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Amended and Restated Bylaws of Registrant</w:t>
              </w:r>
            </w:hyperlink>
          </w:p>
        </w:tc>
        <w:tc>
          <w:tcPr>
            <w:tcW w:w="7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2620" w:type="dxa"/>
            <w:vAlign w:val="bottom"/>
            <w:tcBorders>
              <w:top w:val="single" w:sz="8" w:color="auto"/>
              <w:right w:val="single" w:sz="8" w:color="auto"/>
            </w:tcBorders>
            <w:gridSpan w:val="3"/>
          </w:tcPr>
          <w:p>
            <w:pPr>
              <w:jc w:val="right"/>
              <w:ind w:right="68"/>
              <w:spacing w:after="0" w:line="151" w:lineRule="exact"/>
              <w:rPr>
                <w:sz w:val="20"/>
                <w:szCs w:val="20"/>
                <w:color w:val="auto"/>
              </w:rPr>
            </w:pPr>
            <w:r>
              <w:rPr>
                <w:rFonts w:ascii="Times New Roman" w:cs="Times New Roman" w:eastAsia="Times New Roman" w:hAnsi="Times New Roman"/>
                <w:sz w:val="14"/>
                <w:szCs w:val="14"/>
                <w:color w:val="auto"/>
                <w:w w:val="78"/>
              </w:rPr>
              <w:t>8</w:t>
            </w:r>
            <w:r>
              <w:rPr>
                <w:rFonts w:ascii="MS PGothic" w:cs="MS PGothic" w:eastAsia="MS PGothic" w:hAnsi="MS PGothic"/>
                <w:sz w:val="14"/>
                <w:szCs w:val="14"/>
                <w:color w:val="auto"/>
                <w:w w:val="78"/>
              </w:rPr>
              <w:t>‑</w:t>
            </w:r>
            <w:r>
              <w:rPr>
                <w:rFonts w:ascii="Times New Roman" w:cs="Times New Roman" w:eastAsia="Times New Roman" w:hAnsi="Times New Roman"/>
                <w:sz w:val="14"/>
                <w:szCs w:val="14"/>
                <w:color w:val="auto"/>
                <w:w w:val="78"/>
              </w:rPr>
              <w:t>K</w:t>
            </w:r>
            <w:r>
              <w:rPr>
                <w:rFonts w:ascii="Times New Roman" w:cs="Times New Roman" w:eastAsia="Times New Roman" w:hAnsi="Times New Roman"/>
                <w:sz w:val="11"/>
                <w:szCs w:val="11"/>
                <w:b w:val="1"/>
                <w:bCs w:val="1"/>
                <w:color w:val="auto"/>
                <w:w w:val="78"/>
              </w:rPr>
              <w:t>Incorporation</w:t>
            </w:r>
            <w:r>
              <w:rPr>
                <w:rFonts w:ascii="Times New Roman" w:cs="Times New Roman" w:eastAsia="Times New Roman" w:hAnsi="Times New Roman"/>
                <w:sz w:val="14"/>
                <w:szCs w:val="14"/>
                <w:color w:val="auto"/>
                <w:w w:val="78"/>
              </w:rPr>
              <w:t>December</w:t>
            </w:r>
            <w:r>
              <w:rPr>
                <w:rFonts w:ascii="Times New Roman" w:cs="Times New Roman" w:eastAsia="Times New Roman" w:hAnsi="Times New Roman"/>
                <w:sz w:val="11"/>
                <w:szCs w:val="11"/>
                <w:b w:val="1"/>
                <w:bCs w:val="1"/>
                <w:color w:val="auto"/>
                <w:w w:val="78"/>
              </w:rPr>
              <w:t>yReference</w:t>
            </w:r>
            <w:r>
              <w:rPr>
                <w:rFonts w:ascii="Times New Roman" w:cs="Times New Roman" w:eastAsia="Times New Roman" w:hAnsi="Times New Roman"/>
                <w:sz w:val="14"/>
                <w:szCs w:val="14"/>
                <w:color w:val="auto"/>
                <w:w w:val="78"/>
              </w:rPr>
              <w:t>15,2023   000</w:t>
            </w:r>
            <w:r>
              <w:rPr>
                <w:rFonts w:ascii="MS PGothic" w:cs="MS PGothic" w:eastAsia="MS PGothic" w:hAnsi="MS PGothic"/>
                <w:sz w:val="14"/>
                <w:szCs w:val="14"/>
                <w:color w:val="auto"/>
                <w:w w:val="78"/>
              </w:rPr>
              <w:t>‑</w:t>
            </w:r>
            <w:r>
              <w:rPr>
                <w:rFonts w:ascii="Times New Roman" w:cs="Times New Roman" w:eastAsia="Times New Roman" w:hAnsi="Times New Roman"/>
                <w:sz w:val="14"/>
                <w:szCs w:val="14"/>
                <w:color w:val="auto"/>
                <w:w w:val="78"/>
              </w:rPr>
              <w:t>20859</w:t>
            </w:r>
          </w:p>
        </w:tc>
        <w:tc>
          <w:tcPr>
            <w:tcW w:w="84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3"/>
                <w:szCs w:val="13"/>
                <w:color w:val="auto"/>
              </w:rPr>
            </w:pPr>
          </w:p>
        </w:tc>
        <w:tc>
          <w:tcPr>
            <w:tcW w:w="1640" w:type="dxa"/>
            <w:vAlign w:val="bottom"/>
            <w:tcBorders>
              <w:bottom w:val="single" w:sz="8" w:color="0000FF"/>
            </w:tcBorders>
            <w:gridSpan w:val="8"/>
          </w:tcPr>
          <w:p>
            <w:pPr>
              <w:spacing w:after="0" w:line="155" w:lineRule="exact"/>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Description of Capital Stock</w:t>
              </w:r>
            </w:hyperlink>
          </w:p>
        </w:tc>
        <w:tc>
          <w:tcPr>
            <w:tcW w:w="1420" w:type="dxa"/>
            <w:vAlign w:val="bottom"/>
            <w:tcBorders>
              <w:right w:val="single" w:sz="8" w:color="auto"/>
            </w:tcBorders>
            <w:gridSpan w:val="29"/>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February 28, 2024</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6"/>
                <w:szCs w:val="16"/>
                <w:color w:val="auto"/>
              </w:rPr>
            </w:pPr>
          </w:p>
        </w:tc>
        <w:tc>
          <w:tcPr>
            <w:tcW w:w="20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Form of Common Stock Certificate</w:t>
              </w:r>
            </w:hyperlink>
          </w:p>
        </w:tc>
        <w:tc>
          <w:tcPr>
            <w:tcW w:w="1020" w:type="dxa"/>
            <w:vAlign w:val="bottom"/>
            <w:tcBorders>
              <w:right w:val="single" w:sz="8" w:color="auto"/>
            </w:tcBorders>
            <w:gridSpan w:val="24"/>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0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March 15, 2013</w:t>
            </w:r>
          </w:p>
        </w:tc>
        <w:tc>
          <w:tcPr>
            <w:tcW w:w="860" w:type="dxa"/>
            <w:vAlign w:val="bottom"/>
            <w:tcBorders>
              <w:right w:val="single" w:sz="8" w:color="auto"/>
            </w:tcBorders>
          </w:tcPr>
          <w:p>
            <w:pPr>
              <w:jc w:val="right"/>
              <w:ind w:right="68"/>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6"/>
                <w:szCs w:val="16"/>
                <w:color w:val="auto"/>
              </w:rPr>
            </w:pPr>
          </w:p>
        </w:tc>
        <w:tc>
          <w:tcPr>
            <w:tcW w:w="2980" w:type="dxa"/>
            <w:vAlign w:val="bottom"/>
            <w:tcBorders>
              <w:bottom w:val="single" w:sz="8" w:color="0000FF"/>
            </w:tcBorders>
            <w:gridSpan w:val="35"/>
          </w:tcPr>
          <w:p>
            <w:pPr>
              <w:spacing w:after="0"/>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Form of Pre-Funded Warrant to Purchase Common</w:t>
              </w:r>
            </w:hyperlink>
          </w:p>
        </w:tc>
        <w:tc>
          <w:tcPr>
            <w:tcW w:w="80" w:type="dxa"/>
            <w:vAlign w:val="bottom"/>
            <w:tcBorders>
              <w:right w:val="single" w:sz="8" w:color="auto"/>
            </w:tcBorders>
            <w:gridSpan w:val="2"/>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May 26, 2020</w:t>
            </w:r>
          </w:p>
        </w:tc>
        <w:tc>
          <w:tcPr>
            <w:tcW w:w="860" w:type="dxa"/>
            <w:vAlign w:val="bottom"/>
            <w:tcBorders>
              <w:right w:val="single" w:sz="8" w:color="auto"/>
            </w:tcBorders>
          </w:tcPr>
          <w:p>
            <w:pPr>
              <w:jc w:val="right"/>
              <w:ind w:right="68"/>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CCCCCC"/>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0000FF"/>
            </w:tcBorders>
            <w:gridSpan w:val="2"/>
          </w:tcPr>
          <w:p>
            <w:pPr>
              <w:spacing w:after="0" w:line="147" w:lineRule="exact"/>
              <w:rPr>
                <w:rFonts w:ascii="Times New Roman" w:cs="Times New Roman" w:eastAsia="Times New Roman" w:hAnsi="Times New Roman"/>
                <w:sz w:val="14"/>
                <w:szCs w:val="14"/>
                <w:color w:val="0000FF"/>
                <w:w w:val="93"/>
              </w:rPr>
            </w:pPr>
            <w:hyperlink r:id="rId252">
              <w:r>
                <w:rPr>
                  <w:rFonts w:ascii="Times New Roman" w:cs="Times New Roman" w:eastAsia="Times New Roman" w:hAnsi="Times New Roman"/>
                  <w:sz w:val="14"/>
                  <w:szCs w:val="14"/>
                  <w:color w:val="0000FF"/>
                  <w:w w:val="93"/>
                </w:rPr>
                <w:t>Stock</w:t>
              </w:r>
            </w:hyperlink>
          </w:p>
        </w:tc>
        <w:tc>
          <w:tcPr>
            <w:tcW w:w="2600" w:type="dxa"/>
            <w:vAlign w:val="bottom"/>
            <w:tcBorders>
              <w:right w:val="single" w:sz="8" w:color="auto"/>
            </w:tcBorders>
            <w:gridSpan w:val="34"/>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right"/>
              <w:ind w:right="68"/>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80" w:type="dxa"/>
            <w:vAlign w:val="bottom"/>
            <w:tcBorders>
              <w:left w:val="single" w:sz="8" w:color="CCCCCC"/>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7"/>
                <w:szCs w:val="17"/>
                <w:color w:val="auto"/>
              </w:rPr>
            </w:pPr>
          </w:p>
        </w:tc>
        <w:tc>
          <w:tcPr>
            <w:tcW w:w="2980" w:type="dxa"/>
            <w:vAlign w:val="bottom"/>
            <w:tcBorders>
              <w:bottom w:val="single" w:sz="8" w:color="0000FF"/>
            </w:tcBorders>
            <w:gridSpan w:val="35"/>
          </w:tcPr>
          <w:p>
            <w:pPr>
              <w:spacing w:after="0"/>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Form of Pre-Funded Warrant to Purchase Common</w:t>
              </w:r>
            </w:hyperlink>
          </w:p>
        </w:tc>
        <w:tc>
          <w:tcPr>
            <w:tcW w:w="80" w:type="dxa"/>
            <w:vAlign w:val="bottom"/>
            <w:tcBorders>
              <w:right w:val="single" w:sz="8" w:color="auto"/>
            </w:tcBorders>
            <w:gridSpan w:val="2"/>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March 30, 2022</w:t>
            </w:r>
          </w:p>
        </w:tc>
        <w:tc>
          <w:tcPr>
            <w:tcW w:w="860" w:type="dxa"/>
            <w:vAlign w:val="bottom"/>
            <w:tcBorders>
              <w:right w:val="single" w:sz="8" w:color="auto"/>
            </w:tcBorders>
            <w:vMerge w:val="continue"/>
          </w:tcPr>
          <w:p>
            <w:pPr>
              <w:spacing w:after="0"/>
              <w:rPr>
                <w:sz w:val="17"/>
                <w:szCs w:val="17"/>
                <w:color w:val="auto"/>
              </w:rPr>
            </w:pPr>
          </w:p>
        </w:tc>
        <w:tc>
          <w:tcPr>
            <w:tcW w:w="8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CCCCCC"/>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0000FF"/>
            </w:tcBorders>
            <w:gridSpan w:val="2"/>
          </w:tcPr>
          <w:p>
            <w:pPr>
              <w:spacing w:after="0" w:line="147" w:lineRule="exact"/>
              <w:rPr>
                <w:rFonts w:ascii="Times New Roman" w:cs="Times New Roman" w:eastAsia="Times New Roman" w:hAnsi="Times New Roman"/>
                <w:sz w:val="14"/>
                <w:szCs w:val="14"/>
                <w:color w:val="0000FF"/>
                <w:w w:val="93"/>
              </w:rPr>
            </w:pPr>
            <w:hyperlink r:id="rId253">
              <w:r>
                <w:rPr>
                  <w:rFonts w:ascii="Times New Roman" w:cs="Times New Roman" w:eastAsia="Times New Roman" w:hAnsi="Times New Roman"/>
                  <w:sz w:val="14"/>
                  <w:szCs w:val="14"/>
                  <w:color w:val="0000FF"/>
                  <w:w w:val="93"/>
                </w:rPr>
                <w:t>Stock</w:t>
              </w:r>
            </w:hyperlink>
          </w:p>
        </w:tc>
        <w:tc>
          <w:tcPr>
            <w:tcW w:w="2600" w:type="dxa"/>
            <w:vAlign w:val="bottom"/>
            <w:tcBorders>
              <w:right w:val="single" w:sz="8" w:color="auto"/>
            </w:tcBorders>
            <w:gridSpan w:val="34"/>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right"/>
              <w:ind w:right="68"/>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80" w:type="dxa"/>
            <w:vAlign w:val="bottom"/>
            <w:tcBorders>
              <w:left w:val="single" w:sz="8" w:color="CCCCCC"/>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7"/>
                <w:szCs w:val="17"/>
                <w:color w:val="auto"/>
              </w:rPr>
            </w:pPr>
          </w:p>
        </w:tc>
        <w:tc>
          <w:tcPr>
            <w:tcW w:w="2980" w:type="dxa"/>
            <w:vAlign w:val="bottom"/>
            <w:tcBorders>
              <w:bottom w:val="single" w:sz="8" w:color="0000FF"/>
            </w:tcBorders>
            <w:gridSpan w:val="35"/>
          </w:tcPr>
          <w:p>
            <w:pPr>
              <w:spacing w:after="0"/>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Form of Pre-Funded Warrant to Purchase Common</w:t>
              </w:r>
            </w:hyperlink>
          </w:p>
        </w:tc>
        <w:tc>
          <w:tcPr>
            <w:tcW w:w="80" w:type="dxa"/>
            <w:vAlign w:val="bottom"/>
            <w:tcBorders>
              <w:right w:val="single" w:sz="8" w:color="auto"/>
            </w:tcBorders>
            <w:gridSpan w:val="2"/>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6, 2023</w:t>
            </w:r>
          </w:p>
        </w:tc>
        <w:tc>
          <w:tcPr>
            <w:tcW w:w="860" w:type="dxa"/>
            <w:vAlign w:val="bottom"/>
            <w:tcBorders>
              <w:right w:val="single" w:sz="8" w:color="auto"/>
            </w:tcBorders>
            <w:vMerge w:val="continue"/>
          </w:tcPr>
          <w:p>
            <w:pPr>
              <w:spacing w:after="0"/>
              <w:rPr>
                <w:sz w:val="17"/>
                <w:szCs w:val="17"/>
                <w:color w:val="auto"/>
              </w:rPr>
            </w:pPr>
          </w:p>
        </w:tc>
        <w:tc>
          <w:tcPr>
            <w:tcW w:w="8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CCCCCC"/>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0000FF"/>
            </w:tcBorders>
            <w:gridSpan w:val="2"/>
          </w:tcPr>
          <w:p>
            <w:pPr>
              <w:spacing w:after="0" w:line="147" w:lineRule="exact"/>
              <w:rPr>
                <w:rFonts w:ascii="Times New Roman" w:cs="Times New Roman" w:eastAsia="Times New Roman" w:hAnsi="Times New Roman"/>
                <w:sz w:val="14"/>
                <w:szCs w:val="14"/>
                <w:color w:val="0000FF"/>
                <w:w w:val="93"/>
              </w:rPr>
            </w:pPr>
            <w:hyperlink r:id="rId254">
              <w:r>
                <w:rPr>
                  <w:rFonts w:ascii="Times New Roman" w:cs="Times New Roman" w:eastAsia="Times New Roman" w:hAnsi="Times New Roman"/>
                  <w:sz w:val="14"/>
                  <w:szCs w:val="14"/>
                  <w:color w:val="0000FF"/>
                  <w:w w:val="93"/>
                </w:rPr>
                <w:t>Stock</w:t>
              </w:r>
            </w:hyperlink>
          </w:p>
        </w:tc>
        <w:tc>
          <w:tcPr>
            <w:tcW w:w="2600" w:type="dxa"/>
            <w:vAlign w:val="bottom"/>
            <w:tcBorders>
              <w:right w:val="single" w:sz="8" w:color="auto"/>
            </w:tcBorders>
            <w:gridSpan w:val="34"/>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80" w:type="dxa"/>
            <w:vAlign w:val="bottom"/>
            <w:tcBorders>
              <w:left w:val="single" w:sz="8" w:color="CCCCCC"/>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7"/>
                <w:szCs w:val="17"/>
                <w:color w:val="auto"/>
              </w:rPr>
            </w:pPr>
          </w:p>
        </w:tc>
        <w:tc>
          <w:tcPr>
            <w:tcW w:w="2980" w:type="dxa"/>
            <w:vAlign w:val="bottom"/>
            <w:tcBorders>
              <w:bottom w:val="single" w:sz="8" w:color="0000FF"/>
            </w:tcBorders>
            <w:gridSpan w:val="35"/>
          </w:tcPr>
          <w:p>
            <w:pPr>
              <w:spacing w:after="0"/>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Form of Pre-Funded Warrant to Purchase Common</w:t>
              </w:r>
            </w:hyperlink>
          </w:p>
        </w:tc>
        <w:tc>
          <w:tcPr>
            <w:tcW w:w="80" w:type="dxa"/>
            <w:vAlign w:val="bottom"/>
            <w:tcBorders>
              <w:right w:val="single" w:sz="8" w:color="auto"/>
            </w:tcBorders>
            <w:gridSpan w:val="2"/>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March 20, 2024</w:t>
            </w:r>
          </w:p>
        </w:tc>
        <w:tc>
          <w:tcPr>
            <w:tcW w:w="86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880" w:type="dxa"/>
            <w:vAlign w:val="bottom"/>
            <w:tcBorders>
              <w:left w:val="single" w:sz="8" w:color="CCCCCC"/>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0000FF"/>
            </w:tcBorders>
            <w:gridSpan w:val="2"/>
          </w:tcPr>
          <w:p>
            <w:pPr>
              <w:spacing w:after="0" w:line="147" w:lineRule="exact"/>
              <w:rPr>
                <w:rFonts w:ascii="Times New Roman" w:cs="Times New Roman" w:eastAsia="Times New Roman" w:hAnsi="Times New Roman"/>
                <w:sz w:val="14"/>
                <w:szCs w:val="14"/>
                <w:color w:val="0000FF"/>
                <w:w w:val="93"/>
              </w:rPr>
            </w:pPr>
            <w:hyperlink r:id="rId255">
              <w:r>
                <w:rPr>
                  <w:rFonts w:ascii="Times New Roman" w:cs="Times New Roman" w:eastAsia="Times New Roman" w:hAnsi="Times New Roman"/>
                  <w:sz w:val="14"/>
                  <w:szCs w:val="14"/>
                  <w:color w:val="0000FF"/>
                  <w:w w:val="93"/>
                </w:rPr>
                <w:t>Stock</w:t>
              </w:r>
            </w:hyperlink>
          </w:p>
        </w:tc>
        <w:tc>
          <w:tcPr>
            <w:tcW w:w="2600" w:type="dxa"/>
            <w:vAlign w:val="bottom"/>
            <w:tcBorders>
              <w:right w:val="single" w:sz="8" w:color="auto"/>
            </w:tcBorders>
            <w:gridSpan w:val="34"/>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vMerge w:val="restart"/>
          </w:tcPr>
          <w:p>
            <w:pPr>
              <w:jc w:val="center"/>
              <w:spacing w:after="0" w:line="161" w:lineRule="exact"/>
              <w:rPr>
                <w:sz w:val="20"/>
                <w:szCs w:val="20"/>
                <w:color w:val="auto"/>
              </w:rPr>
            </w:pP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12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right"/>
              <w:ind w:right="68"/>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80" w:type="dxa"/>
            <w:vAlign w:val="bottom"/>
            <w:tcBorders>
              <w:left w:val="single" w:sz="8" w:color="CCCCCC"/>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20" w:type="dxa"/>
            <w:vAlign w:val="bottom"/>
          </w:tcPr>
          <w:p>
            <w:pPr>
              <w:spacing w:after="0"/>
              <w:rPr>
                <w:sz w:val="17"/>
                <w:szCs w:val="17"/>
                <w:color w:val="auto"/>
              </w:rPr>
            </w:pPr>
          </w:p>
        </w:tc>
        <w:tc>
          <w:tcPr>
            <w:tcW w:w="3060" w:type="dxa"/>
            <w:vAlign w:val="bottom"/>
            <w:tcBorders>
              <w:right w:val="single" w:sz="8" w:color="auto"/>
            </w:tcBorders>
            <w:gridSpan w:val="37"/>
          </w:tcPr>
          <w:p>
            <w:pPr>
              <w:spacing w:after="0"/>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Form of Indemnification Agreement</w:t>
              </w:r>
            </w:hyperlink>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500" w:type="dxa"/>
            <w:vAlign w:val="bottom"/>
            <w:tcBorders>
              <w:right w:val="single" w:sz="8" w:color="auto"/>
            </w:tcBorders>
            <w:vMerge w:val="continue"/>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March 7, 2012</w:t>
            </w:r>
          </w:p>
        </w:tc>
        <w:tc>
          <w:tcPr>
            <w:tcW w:w="860" w:type="dxa"/>
            <w:vAlign w:val="bottom"/>
            <w:tcBorders>
              <w:right w:val="single" w:sz="8" w:color="auto"/>
            </w:tcBorders>
            <w:vMerge w:val="continue"/>
          </w:tcPr>
          <w:p>
            <w:pPr>
              <w:spacing w:after="0"/>
              <w:rPr>
                <w:sz w:val="17"/>
                <w:szCs w:val="17"/>
                <w:color w:val="auto"/>
              </w:rPr>
            </w:pPr>
          </w:p>
        </w:tc>
        <w:tc>
          <w:tcPr>
            <w:tcW w:w="8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20" w:type="dxa"/>
            <w:vAlign w:val="bottom"/>
          </w:tcPr>
          <w:p>
            <w:pPr>
              <w:spacing w:after="0"/>
              <w:rPr>
                <w:sz w:val="16"/>
                <w:szCs w:val="16"/>
                <w:color w:val="auto"/>
              </w:rPr>
            </w:pPr>
          </w:p>
        </w:tc>
        <w:tc>
          <w:tcPr>
            <w:tcW w:w="2080" w:type="dxa"/>
            <w:vAlign w:val="bottom"/>
            <w:tcBorders>
              <w:top w:val="single" w:sz="8" w:color="0000FF"/>
            </w:tcBorders>
            <w:gridSpan w:val="14"/>
          </w:tcPr>
          <w:p>
            <w:pPr>
              <w:spacing w:after="0"/>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2011 Incentive Award Plan*</w:t>
              </w:r>
            </w:hyperlink>
          </w:p>
        </w:tc>
        <w:tc>
          <w:tcPr>
            <w:tcW w:w="980" w:type="dxa"/>
            <w:vAlign w:val="bottom"/>
            <w:tcBorders>
              <w:right w:val="single" w:sz="8" w:color="auto"/>
            </w:tcBorders>
            <w:gridSpan w:val="23"/>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50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4"/>
                <w:szCs w:val="14"/>
                <w:color w:val="auto"/>
              </w:rPr>
              <w:t>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May 16, 2011</w:t>
            </w:r>
          </w:p>
        </w:tc>
        <w:tc>
          <w:tcPr>
            <w:tcW w:w="860" w:type="dxa"/>
            <w:vAlign w:val="bottom"/>
            <w:tcBorders>
              <w:right w:val="single" w:sz="8" w:color="auto"/>
            </w:tcBorders>
          </w:tcPr>
          <w:p>
            <w:pPr>
              <w:jc w:val="right"/>
              <w:ind w:right="68"/>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80" w:type="dxa"/>
            <w:vAlign w:val="bottom"/>
            <w:tcBorders>
              <w:left w:val="single" w:sz="8" w:color="CCCCCC"/>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top w:val="single" w:sz="8" w:color="0000FF"/>
              <w:bottom w:val="single" w:sz="8" w:color="auto"/>
            </w:tcBorders>
          </w:tcPr>
          <w:p>
            <w:pPr>
              <w:spacing w:after="0"/>
              <w:rPr>
                <w:sz w:val="10"/>
                <w:szCs w:val="10"/>
                <w:color w:val="auto"/>
              </w:rPr>
            </w:pPr>
          </w:p>
        </w:tc>
        <w:tc>
          <w:tcPr>
            <w:tcW w:w="200" w:type="dxa"/>
            <w:vAlign w:val="bottom"/>
            <w:tcBorders>
              <w:top w:val="single" w:sz="8" w:color="0000FF"/>
              <w:bottom w:val="single" w:sz="8" w:color="auto"/>
            </w:tcBorders>
          </w:tcPr>
          <w:p>
            <w:pPr>
              <w:spacing w:after="0"/>
              <w:rPr>
                <w:sz w:val="10"/>
                <w:szCs w:val="10"/>
                <w:color w:val="auto"/>
              </w:rPr>
            </w:pPr>
          </w:p>
        </w:tc>
        <w:tc>
          <w:tcPr>
            <w:tcW w:w="120" w:type="dxa"/>
            <w:vAlign w:val="bottom"/>
            <w:tcBorders>
              <w:top w:val="single" w:sz="8" w:color="0000FF"/>
              <w:bottom w:val="single" w:sz="8" w:color="auto"/>
            </w:tcBorders>
          </w:tcPr>
          <w:p>
            <w:pPr>
              <w:spacing w:after="0"/>
              <w:rPr>
                <w:sz w:val="10"/>
                <w:szCs w:val="10"/>
                <w:color w:val="auto"/>
              </w:rPr>
            </w:pPr>
          </w:p>
        </w:tc>
        <w:tc>
          <w:tcPr>
            <w:tcW w:w="260" w:type="dxa"/>
            <w:vAlign w:val="bottom"/>
            <w:tcBorders>
              <w:top w:val="single" w:sz="8" w:color="0000FF"/>
              <w:bottom w:val="single" w:sz="8" w:color="auto"/>
            </w:tcBorders>
          </w:tcPr>
          <w:p>
            <w:pPr>
              <w:spacing w:after="0"/>
              <w:rPr>
                <w:sz w:val="10"/>
                <w:szCs w:val="10"/>
                <w:color w:val="auto"/>
              </w:rPr>
            </w:pPr>
          </w:p>
        </w:tc>
        <w:tc>
          <w:tcPr>
            <w:tcW w:w="560" w:type="dxa"/>
            <w:vAlign w:val="bottom"/>
            <w:tcBorders>
              <w:top w:val="single" w:sz="8" w:color="0000FF"/>
              <w:bottom w:val="single" w:sz="8" w:color="auto"/>
            </w:tcBorders>
          </w:tcPr>
          <w:p>
            <w:pPr>
              <w:spacing w:after="0"/>
              <w:rPr>
                <w:sz w:val="10"/>
                <w:szCs w:val="10"/>
                <w:color w:val="auto"/>
              </w:rPr>
            </w:pPr>
          </w:p>
        </w:tc>
        <w:tc>
          <w:tcPr>
            <w:tcW w:w="220" w:type="dxa"/>
            <w:vAlign w:val="bottom"/>
            <w:tcBorders>
              <w:top w:val="single" w:sz="8" w:color="0000FF"/>
              <w:bottom w:val="single" w:sz="8" w:color="auto"/>
            </w:tcBorders>
          </w:tcPr>
          <w:p>
            <w:pPr>
              <w:spacing w:after="0"/>
              <w:rPr>
                <w:sz w:val="10"/>
                <w:szCs w:val="10"/>
                <w:color w:val="auto"/>
              </w:rPr>
            </w:pPr>
          </w:p>
        </w:tc>
        <w:tc>
          <w:tcPr>
            <w:tcW w:w="120" w:type="dxa"/>
            <w:vAlign w:val="bottom"/>
            <w:tcBorders>
              <w:top w:val="single" w:sz="8" w:color="0000FF"/>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84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Borders>
              <w:left w:val="single" w:sz="8" w:color="CCCCCC"/>
              <w:bottom w:val="single" w:sz="8" w:color="CCCCCC"/>
              <w:right w:val="single" w:sz="8" w:color="auto"/>
            </w:tcBorders>
          </w:tcPr>
          <w:p>
            <w:pPr>
              <w:spacing w:after="0"/>
              <w:rPr>
                <w:sz w:val="16"/>
                <w:szCs w:val="16"/>
                <w:color w:val="auto"/>
              </w:rPr>
            </w:pPr>
          </w:p>
        </w:tc>
        <w:tc>
          <w:tcPr>
            <w:tcW w:w="640" w:type="dxa"/>
            <w:vAlign w:val="bottom"/>
            <w:tcBorders>
              <w:bottom w:val="single" w:sz="8" w:color="CCCCCC"/>
              <w:right w:val="single" w:sz="8" w:color="auto"/>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140" w:type="dxa"/>
            <w:vAlign w:val="bottom"/>
            <w:tcBorders>
              <w:bottom w:val="single" w:sz="8" w:color="CCCCCC"/>
            </w:tcBorders>
          </w:tcPr>
          <w:p>
            <w:pPr>
              <w:spacing w:after="0"/>
              <w:rPr>
                <w:sz w:val="16"/>
                <w:szCs w:val="16"/>
                <w:color w:val="auto"/>
              </w:rPr>
            </w:pPr>
          </w:p>
        </w:tc>
        <w:tc>
          <w:tcPr>
            <w:tcW w:w="200" w:type="dxa"/>
            <w:vAlign w:val="bottom"/>
            <w:tcBorders>
              <w:bottom w:val="single" w:sz="8" w:color="CCCCCC"/>
            </w:tcBorders>
          </w:tcPr>
          <w:p>
            <w:pPr>
              <w:spacing w:after="0"/>
              <w:rPr>
                <w:sz w:val="16"/>
                <w:szCs w:val="16"/>
                <w:color w:val="auto"/>
              </w:rPr>
            </w:pPr>
          </w:p>
        </w:tc>
        <w:tc>
          <w:tcPr>
            <w:tcW w:w="120" w:type="dxa"/>
            <w:vAlign w:val="bottom"/>
            <w:tcBorders>
              <w:bottom w:val="single" w:sz="8" w:color="CCCCCC"/>
            </w:tcBorders>
          </w:tcPr>
          <w:p>
            <w:pPr>
              <w:spacing w:after="0"/>
              <w:rPr>
                <w:sz w:val="16"/>
                <w:szCs w:val="16"/>
                <w:color w:val="auto"/>
              </w:rPr>
            </w:pPr>
          </w:p>
        </w:tc>
        <w:tc>
          <w:tcPr>
            <w:tcW w:w="260" w:type="dxa"/>
            <w:vAlign w:val="bottom"/>
            <w:tcBorders>
              <w:bottom w:val="single" w:sz="8" w:color="CCCCCC"/>
            </w:tcBorders>
          </w:tcPr>
          <w:p>
            <w:pPr>
              <w:spacing w:after="0"/>
              <w:rPr>
                <w:sz w:val="16"/>
                <w:szCs w:val="16"/>
                <w:color w:val="auto"/>
              </w:rPr>
            </w:pPr>
          </w:p>
        </w:tc>
        <w:tc>
          <w:tcPr>
            <w:tcW w:w="560" w:type="dxa"/>
            <w:vAlign w:val="bottom"/>
            <w:tcBorders>
              <w:bottom w:val="single" w:sz="8" w:color="CCCCCC"/>
            </w:tcBorders>
          </w:tcPr>
          <w:p>
            <w:pPr>
              <w:spacing w:after="0"/>
              <w:rPr>
                <w:sz w:val="16"/>
                <w:szCs w:val="16"/>
                <w:color w:val="auto"/>
              </w:rPr>
            </w:pPr>
          </w:p>
        </w:tc>
        <w:tc>
          <w:tcPr>
            <w:tcW w:w="220" w:type="dxa"/>
            <w:vAlign w:val="bottom"/>
            <w:tcBorders>
              <w:bottom w:val="single" w:sz="8" w:color="CCCCCC"/>
            </w:tcBorders>
          </w:tcPr>
          <w:p>
            <w:pPr>
              <w:spacing w:after="0"/>
              <w:rPr>
                <w:sz w:val="16"/>
                <w:szCs w:val="16"/>
                <w:color w:val="auto"/>
              </w:rPr>
            </w:pPr>
          </w:p>
        </w:tc>
        <w:tc>
          <w:tcPr>
            <w:tcW w:w="1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100" w:type="dxa"/>
            <w:vAlign w:val="bottom"/>
            <w:tcBorders>
              <w:bottom w:val="single" w:sz="8" w:color="CCCCCC"/>
            </w:tcBorders>
          </w:tcPr>
          <w:p>
            <w:pPr>
              <w:spacing w:after="0"/>
              <w:rPr>
                <w:sz w:val="16"/>
                <w:szCs w:val="16"/>
                <w:color w:val="auto"/>
              </w:rPr>
            </w:pPr>
          </w:p>
        </w:tc>
        <w:tc>
          <w:tcPr>
            <w:tcW w:w="140" w:type="dxa"/>
            <w:vAlign w:val="bottom"/>
            <w:tcBorders>
              <w:bottom w:val="single" w:sz="8" w:color="CCCCCC"/>
            </w:tcBorders>
          </w:tcPr>
          <w:p>
            <w:pPr>
              <w:spacing w:after="0"/>
              <w:rPr>
                <w:sz w:val="16"/>
                <w:szCs w:val="16"/>
                <w:color w:val="auto"/>
              </w:rPr>
            </w:pPr>
          </w:p>
        </w:tc>
        <w:tc>
          <w:tcPr>
            <w:tcW w:w="1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40" w:type="dxa"/>
            <w:vAlign w:val="bottom"/>
            <w:tcBorders>
              <w:bottom w:val="single" w:sz="8" w:color="CCCCCC"/>
            </w:tcBorders>
          </w:tcPr>
          <w:p>
            <w:pPr>
              <w:spacing w:after="0"/>
              <w:rPr>
                <w:sz w:val="16"/>
                <w:szCs w:val="16"/>
                <w:color w:val="auto"/>
              </w:rPr>
            </w:pPr>
          </w:p>
        </w:tc>
        <w:tc>
          <w:tcPr>
            <w:tcW w:w="240" w:type="dxa"/>
            <w:vAlign w:val="bottom"/>
            <w:tcBorders>
              <w:bottom w:val="single" w:sz="8" w:color="CCCCCC"/>
            </w:tcBorders>
          </w:tcPr>
          <w:p>
            <w:pPr>
              <w:spacing w:after="0"/>
              <w:rPr>
                <w:sz w:val="16"/>
                <w:szCs w:val="16"/>
                <w:color w:val="auto"/>
              </w:rPr>
            </w:pPr>
          </w:p>
        </w:tc>
        <w:tc>
          <w:tcPr>
            <w:tcW w:w="60" w:type="dxa"/>
            <w:vAlign w:val="bottom"/>
            <w:tcBorders>
              <w:bottom w:val="single" w:sz="8" w:color="CCCCCC"/>
            </w:tcBorders>
          </w:tcPr>
          <w:p>
            <w:pPr>
              <w:spacing w:after="0"/>
              <w:rPr>
                <w:sz w:val="16"/>
                <w:szCs w:val="16"/>
                <w:color w:val="auto"/>
              </w:rPr>
            </w:pPr>
          </w:p>
        </w:tc>
        <w:tc>
          <w:tcPr>
            <w:tcW w:w="60" w:type="dxa"/>
            <w:vAlign w:val="bottom"/>
            <w:tcBorders>
              <w:bottom w:val="single" w:sz="8" w:color="CCCCCC"/>
            </w:tcBorders>
          </w:tcPr>
          <w:p>
            <w:pPr>
              <w:spacing w:after="0"/>
              <w:rPr>
                <w:sz w:val="16"/>
                <w:szCs w:val="16"/>
                <w:color w:val="auto"/>
              </w:rPr>
            </w:pPr>
          </w:p>
        </w:tc>
        <w:tc>
          <w:tcPr>
            <w:tcW w:w="100" w:type="dxa"/>
            <w:vAlign w:val="bottom"/>
            <w:tcBorders>
              <w:bottom w:val="single" w:sz="8" w:color="CCCCCC"/>
            </w:tcBorders>
          </w:tcPr>
          <w:p>
            <w:pPr>
              <w:spacing w:after="0"/>
              <w:rPr>
                <w:sz w:val="16"/>
                <w:szCs w:val="16"/>
                <w:color w:val="auto"/>
              </w:rPr>
            </w:pPr>
          </w:p>
        </w:tc>
        <w:tc>
          <w:tcPr>
            <w:tcW w:w="4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4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4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6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tcPr>
          <w:p>
            <w:pPr>
              <w:spacing w:after="0"/>
              <w:rPr>
                <w:sz w:val="16"/>
                <w:szCs w:val="16"/>
                <w:color w:val="auto"/>
              </w:rPr>
            </w:pPr>
          </w:p>
        </w:tc>
        <w:tc>
          <w:tcPr>
            <w:tcW w:w="60" w:type="dxa"/>
            <w:vAlign w:val="bottom"/>
            <w:tcBorders>
              <w:bottom w:val="single" w:sz="8" w:color="CCCCCC"/>
              <w:right w:val="single" w:sz="8" w:color="auto"/>
            </w:tcBorders>
          </w:tcPr>
          <w:p>
            <w:pPr>
              <w:spacing w:after="0"/>
              <w:rPr>
                <w:sz w:val="16"/>
                <w:szCs w:val="16"/>
                <w:color w:val="auto"/>
              </w:rPr>
            </w:pPr>
          </w:p>
        </w:tc>
        <w:tc>
          <w:tcPr>
            <w:tcW w:w="740" w:type="dxa"/>
            <w:vAlign w:val="bottom"/>
            <w:tcBorders>
              <w:bottom w:val="single" w:sz="8" w:color="CCCCCC"/>
              <w:right w:val="single" w:sz="8" w:color="auto"/>
            </w:tcBorders>
          </w:tcPr>
          <w:p>
            <w:pPr>
              <w:spacing w:after="0"/>
              <w:rPr>
                <w:sz w:val="16"/>
                <w:szCs w:val="16"/>
                <w:color w:val="auto"/>
              </w:rPr>
            </w:pPr>
          </w:p>
        </w:tc>
        <w:tc>
          <w:tcPr>
            <w:tcW w:w="500" w:type="dxa"/>
            <w:vAlign w:val="bottom"/>
            <w:tcBorders>
              <w:bottom w:val="single" w:sz="8" w:color="CCCCCC"/>
              <w:right w:val="single" w:sz="8" w:color="auto"/>
            </w:tcBorders>
          </w:tcPr>
          <w:p>
            <w:pPr>
              <w:spacing w:after="0"/>
              <w:rPr>
                <w:sz w:val="16"/>
                <w:szCs w:val="16"/>
                <w:color w:val="auto"/>
              </w:rPr>
            </w:pPr>
          </w:p>
        </w:tc>
        <w:tc>
          <w:tcPr>
            <w:tcW w:w="1260" w:type="dxa"/>
            <w:vAlign w:val="bottom"/>
            <w:tcBorders>
              <w:bottom w:val="single" w:sz="8" w:color="CCCCCC"/>
              <w:right w:val="single" w:sz="8" w:color="auto"/>
            </w:tcBorders>
          </w:tcPr>
          <w:p>
            <w:pPr>
              <w:spacing w:after="0"/>
              <w:rPr>
                <w:sz w:val="16"/>
                <w:szCs w:val="16"/>
                <w:color w:val="auto"/>
              </w:rPr>
            </w:pPr>
          </w:p>
        </w:tc>
        <w:tc>
          <w:tcPr>
            <w:tcW w:w="860" w:type="dxa"/>
            <w:vAlign w:val="bottom"/>
            <w:tcBorders>
              <w:bottom w:val="single" w:sz="8" w:color="CCCCCC"/>
              <w:right w:val="single" w:sz="8" w:color="auto"/>
            </w:tcBorders>
          </w:tcPr>
          <w:p>
            <w:pPr>
              <w:spacing w:after="0"/>
              <w:rPr>
                <w:sz w:val="16"/>
                <w:szCs w:val="16"/>
                <w:color w:val="auto"/>
              </w:rPr>
            </w:pPr>
          </w:p>
        </w:tc>
        <w:tc>
          <w:tcPr>
            <w:tcW w:w="840" w:type="dxa"/>
            <w:vAlign w:val="bottom"/>
            <w:tcBorders>
              <w:bottom w:val="single" w:sz="8" w:color="CCCCCC"/>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1680" w:type="dxa"/>
            <w:vAlign w:val="bottom"/>
            <w:tcBorders>
              <w:bottom w:val="single" w:sz="8" w:color="CCCCCC"/>
            </w:tcBorders>
            <w:gridSpan w:val="4"/>
          </w:tcPr>
          <w:p>
            <w:pPr>
              <w:spacing w:after="0"/>
              <w:rPr>
                <w:sz w:val="8"/>
                <w:szCs w:val="8"/>
                <w:color w:val="auto"/>
              </w:rPr>
            </w:pPr>
          </w:p>
        </w:tc>
        <w:tc>
          <w:tcPr>
            <w:tcW w:w="200" w:type="dxa"/>
            <w:vAlign w:val="bottom"/>
            <w:tcBorders>
              <w:bottom w:val="single" w:sz="8" w:color="CCCCCC"/>
            </w:tcBorders>
          </w:tcPr>
          <w:p>
            <w:pPr>
              <w:spacing w:after="0"/>
              <w:rPr>
                <w:sz w:val="8"/>
                <w:szCs w:val="8"/>
                <w:color w:val="auto"/>
              </w:rPr>
            </w:pPr>
          </w:p>
        </w:tc>
        <w:tc>
          <w:tcPr>
            <w:tcW w:w="380" w:type="dxa"/>
            <w:vAlign w:val="bottom"/>
            <w:tcBorders>
              <w:bottom w:val="single" w:sz="8" w:color="CCCCCC"/>
            </w:tcBorders>
            <w:gridSpan w:val="2"/>
          </w:tcPr>
          <w:p>
            <w:pPr>
              <w:spacing w:after="0"/>
              <w:rPr>
                <w:sz w:val="8"/>
                <w:szCs w:val="8"/>
                <w:color w:val="auto"/>
              </w:rPr>
            </w:pPr>
          </w:p>
        </w:tc>
        <w:tc>
          <w:tcPr>
            <w:tcW w:w="560" w:type="dxa"/>
            <w:vAlign w:val="bottom"/>
            <w:tcBorders>
              <w:bottom w:val="single" w:sz="8" w:color="CCCCCC"/>
            </w:tcBorders>
          </w:tcPr>
          <w:p>
            <w:pPr>
              <w:spacing w:after="0"/>
              <w:rPr>
                <w:sz w:val="8"/>
                <w:szCs w:val="8"/>
                <w:color w:val="auto"/>
              </w:rPr>
            </w:pPr>
          </w:p>
        </w:tc>
        <w:tc>
          <w:tcPr>
            <w:tcW w:w="220" w:type="dxa"/>
            <w:vAlign w:val="bottom"/>
            <w:tcBorders>
              <w:bottom w:val="single" w:sz="8" w:color="CCCCCC"/>
            </w:tcBorders>
          </w:tcPr>
          <w:p>
            <w:pPr>
              <w:spacing w:after="0"/>
              <w:rPr>
                <w:sz w:val="8"/>
                <w:szCs w:val="8"/>
                <w:color w:val="auto"/>
              </w:rPr>
            </w:pPr>
          </w:p>
        </w:tc>
        <w:tc>
          <w:tcPr>
            <w:tcW w:w="160" w:type="dxa"/>
            <w:vAlign w:val="bottom"/>
            <w:tcBorders>
              <w:bottom w:val="single" w:sz="8" w:color="CCCCCC"/>
            </w:tcBorders>
            <w:gridSpan w:val="3"/>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14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gridSpan w:val="2"/>
          </w:tcPr>
          <w:p>
            <w:pPr>
              <w:spacing w:after="0"/>
              <w:rPr>
                <w:sz w:val="8"/>
                <w:szCs w:val="8"/>
                <w:color w:val="auto"/>
              </w:rPr>
            </w:pPr>
          </w:p>
        </w:tc>
        <w:tc>
          <w:tcPr>
            <w:tcW w:w="24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10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gridSpan w:val="2"/>
          </w:tcPr>
          <w:p>
            <w:pPr>
              <w:spacing w:after="0"/>
              <w:rPr>
                <w:sz w:val="8"/>
                <w:szCs w:val="8"/>
                <w:color w:val="auto"/>
              </w:rPr>
            </w:pPr>
          </w:p>
        </w:tc>
        <w:tc>
          <w:tcPr>
            <w:tcW w:w="60" w:type="dxa"/>
            <w:vAlign w:val="bottom"/>
            <w:tcBorders>
              <w:bottom w:val="single" w:sz="8" w:color="CCCCCC"/>
            </w:tcBorders>
          </w:tcPr>
          <w:p>
            <w:pPr>
              <w:spacing w:after="0"/>
              <w:rPr>
                <w:sz w:val="8"/>
                <w:szCs w:val="8"/>
                <w:color w:val="auto"/>
              </w:rPr>
            </w:pPr>
          </w:p>
        </w:tc>
        <w:tc>
          <w:tcPr>
            <w:tcW w:w="74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126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84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tcBorders>
              <w:left w:val="single" w:sz="8" w:color="CCCCCC"/>
            </w:tcBorders>
          </w:tcPr>
          <w:p>
            <w:pPr>
              <w:spacing w:after="0"/>
              <w:rPr>
                <w:sz w:val="24"/>
                <w:szCs w:val="24"/>
                <w:color w:val="auto"/>
              </w:rPr>
            </w:pP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2720" w:type="dxa"/>
            <w:vAlign w:val="bottom"/>
            <w:gridSpan w:val="35"/>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1520" w:type="dxa"/>
            <w:vAlign w:val="bottom"/>
            <w:tcBorders>
              <w:left w:val="single" w:sz="8" w:color="CCCCCC"/>
            </w:tcBorders>
            <w:gridSpan w:val="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Borders>
              <w:right w:val="single" w:sz="8" w:color="CCCCC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20" w:type="dxa"/>
            <w:vAlign w:val="bottom"/>
            <w:tcBorders>
              <w:top w:val="single" w:sz="8" w:color="auto"/>
            </w:tcBorders>
          </w:tcPr>
          <w:p>
            <w:pPr>
              <w:spacing w:after="0"/>
              <w:rPr>
                <w:sz w:val="16"/>
                <w:szCs w:val="16"/>
                <w:color w:val="auto"/>
              </w:rPr>
            </w:pPr>
          </w:p>
        </w:tc>
        <w:tc>
          <w:tcPr>
            <w:tcW w:w="2640" w:type="dxa"/>
            <w:vAlign w:val="bottom"/>
            <w:tcBorders>
              <w:top w:val="single" w:sz="8" w:color="auto"/>
              <w:bottom w:val="single" w:sz="8" w:color="0000FF"/>
            </w:tcBorders>
            <w:gridSpan w:val="21"/>
          </w:tcPr>
          <w:p>
            <w:pPr>
              <w:spacing w:after="0"/>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Form of Stock Option Agreement under 2011</w:t>
              </w:r>
            </w:hyperlink>
          </w:p>
        </w:tc>
        <w:tc>
          <w:tcPr>
            <w:tcW w:w="420" w:type="dxa"/>
            <w:vAlign w:val="bottom"/>
            <w:tcBorders>
              <w:top w:val="single" w:sz="8" w:color="auto"/>
              <w:right w:val="single" w:sz="8" w:color="auto"/>
            </w:tcBorders>
            <w:gridSpan w:val="16"/>
          </w:tcPr>
          <w:p>
            <w:pPr>
              <w:spacing w:after="0"/>
              <w:rPr>
                <w:sz w:val="16"/>
                <w:szCs w:val="16"/>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500" w:type="dxa"/>
            <w:vAlign w:val="bottom"/>
            <w:tcBorders>
              <w:top w:val="single" w:sz="8" w:color="auto"/>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March 15, 2013</w:t>
            </w:r>
          </w:p>
        </w:tc>
        <w:tc>
          <w:tcPr>
            <w:tcW w:w="860" w:type="dxa"/>
            <w:vAlign w:val="bottom"/>
            <w:tcBorders>
              <w:top w:val="single" w:sz="8" w:color="auto"/>
              <w:right w:val="single" w:sz="8" w:color="auto"/>
            </w:tcBorders>
          </w:tcPr>
          <w:p>
            <w:pPr>
              <w:jc w:val="right"/>
              <w:ind w:right="68"/>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920" w:type="dxa"/>
            <w:vAlign w:val="bottom"/>
            <w:tcBorders>
              <w:bottom w:val="single" w:sz="8" w:color="auto"/>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Incentive Award Plan*</w:t>
              </w:r>
            </w:hyperlink>
          </w:p>
        </w:tc>
        <w:tc>
          <w:tcPr>
            <w:tcW w:w="74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80" w:type="dxa"/>
            <w:vAlign w:val="bottom"/>
            <w:tcBorders>
              <w:left w:val="single" w:sz="8" w:color="CCCCCC"/>
              <w:right w:val="single" w:sz="8" w:color="auto"/>
            </w:tcBorders>
          </w:tcPr>
          <w:p>
            <w:pPr>
              <w:spacing w:after="0"/>
              <w:rPr>
                <w:sz w:val="14"/>
                <w:szCs w:val="14"/>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20" w:type="dxa"/>
            <w:vAlign w:val="bottom"/>
          </w:tcPr>
          <w:p>
            <w:pPr>
              <w:spacing w:after="0"/>
              <w:rPr>
                <w:sz w:val="14"/>
                <w:szCs w:val="14"/>
                <w:color w:val="auto"/>
              </w:rPr>
            </w:pPr>
          </w:p>
        </w:tc>
        <w:tc>
          <w:tcPr>
            <w:tcW w:w="292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Form of Restricted Stock Award Agreement under</w:t>
              </w:r>
            </w:hyperlink>
          </w:p>
        </w:tc>
        <w:tc>
          <w:tcPr>
            <w:tcW w:w="140" w:type="dxa"/>
            <w:vAlign w:val="bottom"/>
            <w:tcBorders>
              <w:right w:val="single" w:sz="8" w:color="auto"/>
            </w:tcBorders>
            <w:gridSpan w:val="5"/>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50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March 15, 2013</w:t>
            </w:r>
          </w:p>
        </w:tc>
        <w:tc>
          <w:tcPr>
            <w:tcW w:w="860" w:type="dxa"/>
            <w:vAlign w:val="bottom"/>
            <w:tcBorders>
              <w:right w:val="single" w:sz="8" w:color="auto"/>
            </w:tcBorders>
          </w:tcPr>
          <w:p>
            <w:pPr>
              <w:jc w:val="right"/>
              <w:ind w:right="68"/>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2011 Incentive Award Plan*</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10.5</w:t>
            </w:r>
          </w:p>
        </w:tc>
        <w:tc>
          <w:tcPr>
            <w:tcW w:w="20" w:type="dxa"/>
            <w:vAlign w:val="bottom"/>
          </w:tcPr>
          <w:p>
            <w:pPr>
              <w:spacing w:after="0"/>
              <w:rPr>
                <w:sz w:val="13"/>
                <w:szCs w:val="13"/>
                <w:color w:val="auto"/>
              </w:rPr>
            </w:pPr>
          </w:p>
        </w:tc>
        <w:tc>
          <w:tcPr>
            <w:tcW w:w="2740" w:type="dxa"/>
            <w:vAlign w:val="bottom"/>
            <w:tcBorders>
              <w:bottom w:val="single" w:sz="8" w:color="0000FF"/>
            </w:tcBorders>
            <w:gridSpan w:val="26"/>
          </w:tcPr>
          <w:p>
            <w:pPr>
              <w:spacing w:after="0" w:line="155"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Form of Non</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Employee Director Stock Option</w:t>
              </w:r>
            </w:hyperlink>
          </w:p>
        </w:tc>
        <w:tc>
          <w:tcPr>
            <w:tcW w:w="320" w:type="dxa"/>
            <w:vAlign w:val="bottom"/>
            <w:tcBorders>
              <w:right w:val="single" w:sz="8" w:color="auto"/>
            </w:tcBorders>
            <w:gridSpan w:val="11"/>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10.2</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May 7, 2015</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Agreement under 2011 Incentive Award Plan*</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10.6</w:t>
            </w:r>
          </w:p>
        </w:tc>
        <w:tc>
          <w:tcPr>
            <w:tcW w:w="20" w:type="dxa"/>
            <w:vAlign w:val="bottom"/>
          </w:tcPr>
          <w:p>
            <w:pPr>
              <w:spacing w:after="0"/>
              <w:rPr>
                <w:sz w:val="13"/>
                <w:szCs w:val="13"/>
                <w:color w:val="auto"/>
              </w:rPr>
            </w:pPr>
          </w:p>
        </w:tc>
        <w:tc>
          <w:tcPr>
            <w:tcW w:w="3060" w:type="dxa"/>
            <w:vAlign w:val="bottom"/>
            <w:tcBorders>
              <w:right w:val="single" w:sz="8" w:color="auto"/>
            </w:tcBorders>
            <w:gridSpan w:val="37"/>
          </w:tcPr>
          <w:p>
            <w:pPr>
              <w:spacing w:after="0" w:line="155"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2018 Equity Incentive Plan, as amended*</w:t>
              </w:r>
            </w:hyperlink>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10.1</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May 27, 2025</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10.7</w:t>
            </w:r>
          </w:p>
        </w:tc>
        <w:tc>
          <w:tcPr>
            <w:tcW w:w="20" w:type="dxa"/>
            <w:vAlign w:val="bottom"/>
          </w:tcPr>
          <w:p>
            <w:pPr>
              <w:spacing w:after="0"/>
              <w:rPr>
                <w:sz w:val="13"/>
                <w:szCs w:val="13"/>
                <w:color w:val="auto"/>
              </w:rPr>
            </w:pPr>
          </w:p>
        </w:tc>
        <w:tc>
          <w:tcPr>
            <w:tcW w:w="3060" w:type="dxa"/>
            <w:vAlign w:val="bottom"/>
            <w:tcBorders>
              <w:right w:val="single" w:sz="8" w:color="auto"/>
            </w:tcBorders>
            <w:gridSpan w:val="37"/>
          </w:tcPr>
          <w:p>
            <w:pPr>
              <w:spacing w:after="0" w:line="155"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UK Sub-Plan to 2018 Equity Incentive Plan*</w:t>
              </w:r>
            </w:hyperlink>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10.1</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7, 2022</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10.8</w:t>
            </w:r>
          </w:p>
        </w:tc>
        <w:tc>
          <w:tcPr>
            <w:tcW w:w="20" w:type="dxa"/>
            <w:vAlign w:val="bottom"/>
          </w:tcPr>
          <w:p>
            <w:pPr>
              <w:spacing w:after="0"/>
              <w:rPr>
                <w:sz w:val="13"/>
                <w:szCs w:val="13"/>
                <w:color w:val="auto"/>
              </w:rPr>
            </w:pPr>
          </w:p>
        </w:tc>
        <w:tc>
          <w:tcPr>
            <w:tcW w:w="2540" w:type="dxa"/>
            <w:vAlign w:val="bottom"/>
            <w:tcBorders>
              <w:bottom w:val="single" w:sz="8" w:color="0000FF"/>
            </w:tcBorders>
            <w:gridSpan w:val="18"/>
          </w:tcPr>
          <w:p>
            <w:pPr>
              <w:spacing w:after="0" w:line="155"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Form of 2018 Equity Incentive Plan Option</w:t>
              </w:r>
            </w:hyperlink>
          </w:p>
        </w:tc>
        <w:tc>
          <w:tcPr>
            <w:tcW w:w="520" w:type="dxa"/>
            <w:vAlign w:val="bottom"/>
            <w:tcBorders>
              <w:right w:val="single" w:sz="8" w:color="auto"/>
            </w:tcBorders>
            <w:gridSpan w:val="19"/>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10.2</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7, 2022</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Agreement (Time Based)*</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10.9</w:t>
            </w:r>
          </w:p>
        </w:tc>
        <w:tc>
          <w:tcPr>
            <w:tcW w:w="20" w:type="dxa"/>
            <w:vAlign w:val="bottom"/>
          </w:tcPr>
          <w:p>
            <w:pPr>
              <w:spacing w:after="0"/>
              <w:rPr>
                <w:sz w:val="13"/>
                <w:szCs w:val="13"/>
                <w:color w:val="auto"/>
              </w:rPr>
            </w:pPr>
          </w:p>
        </w:tc>
        <w:tc>
          <w:tcPr>
            <w:tcW w:w="2540" w:type="dxa"/>
            <w:vAlign w:val="bottom"/>
            <w:tcBorders>
              <w:bottom w:val="single" w:sz="8" w:color="0000FF"/>
            </w:tcBorders>
            <w:gridSpan w:val="18"/>
          </w:tcPr>
          <w:p>
            <w:pPr>
              <w:spacing w:after="0" w:line="155" w:lineRule="exact"/>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Form of 2018 Equity Incentive Plan Option</w:t>
              </w:r>
            </w:hyperlink>
          </w:p>
        </w:tc>
        <w:tc>
          <w:tcPr>
            <w:tcW w:w="520" w:type="dxa"/>
            <w:vAlign w:val="bottom"/>
            <w:tcBorders>
              <w:right w:val="single" w:sz="8" w:color="auto"/>
            </w:tcBorders>
            <w:gridSpan w:val="19"/>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10.3</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7, 2022</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Agreement (Performance Based)*</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10.10</w:t>
            </w:r>
          </w:p>
        </w:tc>
        <w:tc>
          <w:tcPr>
            <w:tcW w:w="20" w:type="dxa"/>
            <w:vAlign w:val="bottom"/>
          </w:tcPr>
          <w:p>
            <w:pPr>
              <w:spacing w:after="0"/>
              <w:rPr>
                <w:sz w:val="13"/>
                <w:szCs w:val="13"/>
                <w:color w:val="auto"/>
              </w:rPr>
            </w:pPr>
          </w:p>
        </w:tc>
        <w:tc>
          <w:tcPr>
            <w:tcW w:w="2720" w:type="dxa"/>
            <w:vAlign w:val="bottom"/>
            <w:tcBorders>
              <w:bottom w:val="single" w:sz="8" w:color="0000FF"/>
            </w:tcBorders>
            <w:gridSpan w:val="25"/>
          </w:tcPr>
          <w:p>
            <w:pPr>
              <w:spacing w:after="0" w:line="155" w:lineRule="exact"/>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Form of Non-Employee Director Stock Option</w:t>
              </w:r>
            </w:hyperlink>
          </w:p>
        </w:tc>
        <w:tc>
          <w:tcPr>
            <w:tcW w:w="340" w:type="dxa"/>
            <w:vAlign w:val="bottom"/>
            <w:tcBorders>
              <w:right w:val="single" w:sz="8" w:color="auto"/>
            </w:tcBorders>
            <w:gridSpan w:val="12"/>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10.13</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March 7, 2019</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Borders>
              <w:bottom w:val="single" w:sz="8" w:color="0000FF"/>
            </w:tcBorders>
            <w:gridSpan w:val="33"/>
          </w:tcPr>
          <w:p>
            <w:pPr>
              <w:spacing w:after="0" w:line="152" w:lineRule="exact"/>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Agreement under 2018 Equity Incentive Plan, as</w:t>
              </w:r>
            </w:hyperlink>
          </w:p>
        </w:tc>
        <w:tc>
          <w:tcPr>
            <w:tcW w:w="100" w:type="dxa"/>
            <w:vAlign w:val="bottom"/>
            <w:tcBorders>
              <w:right w:val="single" w:sz="8" w:color="auto"/>
            </w:tcBorders>
            <w:gridSpan w:val="3"/>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amended*</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10.11</w:t>
            </w:r>
          </w:p>
        </w:tc>
        <w:tc>
          <w:tcPr>
            <w:tcW w:w="20" w:type="dxa"/>
            <w:vAlign w:val="bottom"/>
          </w:tcPr>
          <w:p>
            <w:pPr>
              <w:spacing w:after="0"/>
              <w:rPr>
                <w:sz w:val="13"/>
                <w:szCs w:val="13"/>
                <w:color w:val="auto"/>
              </w:rPr>
            </w:pPr>
          </w:p>
        </w:tc>
        <w:tc>
          <w:tcPr>
            <w:tcW w:w="2540" w:type="dxa"/>
            <w:vAlign w:val="bottom"/>
            <w:tcBorders>
              <w:bottom w:val="single" w:sz="8" w:color="0000FF"/>
            </w:tcBorders>
            <w:gridSpan w:val="18"/>
          </w:tcPr>
          <w:p>
            <w:pPr>
              <w:spacing w:after="0" w:line="155"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Form of Performance-Vesting Stock Option</w:t>
              </w:r>
            </w:hyperlink>
          </w:p>
        </w:tc>
        <w:tc>
          <w:tcPr>
            <w:tcW w:w="520" w:type="dxa"/>
            <w:vAlign w:val="bottom"/>
            <w:tcBorders>
              <w:right w:val="single" w:sz="8" w:color="auto"/>
            </w:tcBorders>
            <w:gridSpan w:val="19"/>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10.15</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March 7, 2019</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Borders>
              <w:bottom w:val="single" w:sz="8" w:color="0000FF"/>
            </w:tcBorders>
            <w:gridSpan w:val="33"/>
          </w:tcPr>
          <w:p>
            <w:pPr>
              <w:spacing w:after="0" w:line="152"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Agreement under 2018 Equity Incentive Plan, as</w:t>
              </w:r>
            </w:hyperlink>
          </w:p>
        </w:tc>
        <w:tc>
          <w:tcPr>
            <w:tcW w:w="100" w:type="dxa"/>
            <w:vAlign w:val="bottom"/>
            <w:tcBorders>
              <w:right w:val="single" w:sz="8" w:color="auto"/>
            </w:tcBorders>
            <w:gridSpan w:val="3"/>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amended*</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10.12</w:t>
            </w:r>
          </w:p>
        </w:tc>
        <w:tc>
          <w:tcPr>
            <w:tcW w:w="20" w:type="dxa"/>
            <w:vAlign w:val="bottom"/>
          </w:tcPr>
          <w:p>
            <w:pPr>
              <w:spacing w:after="0"/>
              <w:rPr>
                <w:sz w:val="13"/>
                <w:szCs w:val="13"/>
                <w:color w:val="auto"/>
              </w:rPr>
            </w:pPr>
          </w:p>
        </w:tc>
        <w:tc>
          <w:tcPr>
            <w:tcW w:w="2800" w:type="dxa"/>
            <w:vAlign w:val="bottom"/>
            <w:tcBorders>
              <w:bottom w:val="single" w:sz="8" w:color="0000FF"/>
            </w:tcBorders>
            <w:gridSpan w:val="28"/>
          </w:tcPr>
          <w:p>
            <w:pPr>
              <w:spacing w:after="0" w:line="155"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Form of Restricted Stock Unit Agreement under</w:t>
              </w:r>
            </w:hyperlink>
          </w:p>
        </w:tc>
        <w:tc>
          <w:tcPr>
            <w:tcW w:w="260" w:type="dxa"/>
            <w:vAlign w:val="bottom"/>
            <w:tcBorders>
              <w:right w:val="single" w:sz="8" w:color="auto"/>
            </w:tcBorders>
            <w:gridSpan w:val="9"/>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10.12</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February 26, 2025</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2018 Equity Incentive Plan*</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10.13</w:t>
            </w:r>
          </w:p>
        </w:tc>
        <w:tc>
          <w:tcPr>
            <w:tcW w:w="20" w:type="dxa"/>
            <w:vAlign w:val="bottom"/>
          </w:tcPr>
          <w:p>
            <w:pPr>
              <w:spacing w:after="0"/>
              <w:rPr>
                <w:sz w:val="13"/>
                <w:szCs w:val="13"/>
                <w:color w:val="auto"/>
              </w:rPr>
            </w:pPr>
          </w:p>
        </w:tc>
        <w:tc>
          <w:tcPr>
            <w:tcW w:w="3060" w:type="dxa"/>
            <w:vAlign w:val="bottom"/>
            <w:tcBorders>
              <w:right w:val="single" w:sz="8" w:color="auto"/>
            </w:tcBorders>
            <w:gridSpan w:val="37"/>
          </w:tcPr>
          <w:p>
            <w:pPr>
              <w:spacing w:after="0" w:line="155"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 xml:space="preserve">2018 Inducement Award Plan, as amended </w:t>
              </w:r>
            </w:hyperlink>
            <w:r>
              <w:rPr>
                <w:rFonts w:ascii="Times New Roman" w:cs="Times New Roman" w:eastAsia="Times New Roman" w:hAnsi="Times New Roman"/>
                <w:sz w:val="14"/>
                <w:szCs w:val="14"/>
                <w:color w:val="000000"/>
              </w:rPr>
              <w:t>*</w:t>
            </w: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10.3</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August 6, 2025</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10.14</w:t>
            </w:r>
          </w:p>
        </w:tc>
        <w:tc>
          <w:tcPr>
            <w:tcW w:w="20" w:type="dxa"/>
            <w:vAlign w:val="bottom"/>
          </w:tcPr>
          <w:p>
            <w:pPr>
              <w:spacing w:after="0"/>
              <w:rPr>
                <w:sz w:val="13"/>
                <w:szCs w:val="13"/>
                <w:color w:val="auto"/>
              </w:rPr>
            </w:pPr>
          </w:p>
        </w:tc>
        <w:tc>
          <w:tcPr>
            <w:tcW w:w="3060" w:type="dxa"/>
            <w:vAlign w:val="bottom"/>
            <w:tcBorders>
              <w:right w:val="single" w:sz="8" w:color="auto"/>
            </w:tcBorders>
            <w:gridSpan w:val="37"/>
          </w:tcPr>
          <w:p>
            <w:pPr>
              <w:spacing w:after="0" w:line="155"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UK Sub-Plan to 2018 Inducement Award Plan*</w:t>
              </w:r>
            </w:hyperlink>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10.5</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7, 2022</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10.15</w:t>
            </w:r>
          </w:p>
        </w:tc>
        <w:tc>
          <w:tcPr>
            <w:tcW w:w="20" w:type="dxa"/>
            <w:vAlign w:val="bottom"/>
          </w:tcPr>
          <w:p>
            <w:pPr>
              <w:spacing w:after="0"/>
              <w:rPr>
                <w:sz w:val="13"/>
                <w:szCs w:val="13"/>
                <w:color w:val="auto"/>
              </w:rPr>
            </w:pPr>
          </w:p>
        </w:tc>
        <w:tc>
          <w:tcPr>
            <w:tcW w:w="2660" w:type="dxa"/>
            <w:vAlign w:val="bottom"/>
            <w:tcBorders>
              <w:bottom w:val="single" w:sz="8" w:color="0000FF"/>
            </w:tcBorders>
            <w:gridSpan w:val="22"/>
          </w:tcPr>
          <w:p>
            <w:pPr>
              <w:spacing w:after="0" w:line="155"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Form of Stock Option Agreement under 2018</w:t>
              </w:r>
            </w:hyperlink>
          </w:p>
        </w:tc>
        <w:tc>
          <w:tcPr>
            <w:tcW w:w="400" w:type="dxa"/>
            <w:vAlign w:val="bottom"/>
            <w:tcBorders>
              <w:right w:val="single" w:sz="8" w:color="auto"/>
            </w:tcBorders>
            <w:gridSpan w:val="15"/>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10.19</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March 7, 2019</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Inducement Award Plan, as amended*</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10.16</w:t>
            </w:r>
          </w:p>
        </w:tc>
        <w:tc>
          <w:tcPr>
            <w:tcW w:w="20" w:type="dxa"/>
            <w:vAlign w:val="bottom"/>
          </w:tcPr>
          <w:p>
            <w:pPr>
              <w:spacing w:after="0"/>
              <w:rPr>
                <w:sz w:val="13"/>
                <w:szCs w:val="13"/>
                <w:color w:val="auto"/>
              </w:rPr>
            </w:pPr>
          </w:p>
        </w:tc>
        <w:tc>
          <w:tcPr>
            <w:tcW w:w="2540" w:type="dxa"/>
            <w:vAlign w:val="bottom"/>
            <w:tcBorders>
              <w:bottom w:val="single" w:sz="8" w:color="0000FF"/>
            </w:tcBorders>
            <w:gridSpan w:val="18"/>
          </w:tcPr>
          <w:p>
            <w:pPr>
              <w:spacing w:after="0" w:line="155"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Form of Performance-Vesting Stock Option</w:t>
              </w:r>
            </w:hyperlink>
          </w:p>
        </w:tc>
        <w:tc>
          <w:tcPr>
            <w:tcW w:w="520" w:type="dxa"/>
            <w:vAlign w:val="bottom"/>
            <w:tcBorders>
              <w:right w:val="single" w:sz="8" w:color="auto"/>
            </w:tcBorders>
            <w:gridSpan w:val="19"/>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10.20</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March 7, 2019</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Agreement under 2018 Inducement Award Plan*</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10.17</w:t>
            </w:r>
          </w:p>
        </w:tc>
        <w:tc>
          <w:tcPr>
            <w:tcW w:w="20" w:type="dxa"/>
            <w:vAlign w:val="bottom"/>
          </w:tcPr>
          <w:p>
            <w:pPr>
              <w:spacing w:after="0"/>
              <w:rPr>
                <w:sz w:val="13"/>
                <w:szCs w:val="13"/>
                <w:color w:val="auto"/>
              </w:rPr>
            </w:pPr>
          </w:p>
        </w:tc>
        <w:tc>
          <w:tcPr>
            <w:tcW w:w="2800" w:type="dxa"/>
            <w:vAlign w:val="bottom"/>
            <w:tcBorders>
              <w:bottom w:val="single" w:sz="8" w:color="0000FF"/>
            </w:tcBorders>
            <w:gridSpan w:val="28"/>
          </w:tcPr>
          <w:p>
            <w:pPr>
              <w:spacing w:after="0" w:line="155"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Form of Restricted Stock Unit Agreement under</w:t>
              </w:r>
            </w:hyperlink>
          </w:p>
        </w:tc>
        <w:tc>
          <w:tcPr>
            <w:tcW w:w="260" w:type="dxa"/>
            <w:vAlign w:val="bottom"/>
            <w:tcBorders>
              <w:right w:val="single" w:sz="8" w:color="auto"/>
            </w:tcBorders>
            <w:gridSpan w:val="9"/>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10.17</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February 26, 2025</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2018 Inducement Award Plan*</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10.18</w:t>
            </w:r>
          </w:p>
        </w:tc>
        <w:tc>
          <w:tcPr>
            <w:tcW w:w="20" w:type="dxa"/>
            <w:vAlign w:val="bottom"/>
          </w:tcPr>
          <w:p>
            <w:pPr>
              <w:spacing w:after="0"/>
              <w:rPr>
                <w:sz w:val="13"/>
                <w:szCs w:val="13"/>
                <w:color w:val="auto"/>
              </w:rPr>
            </w:pPr>
          </w:p>
        </w:tc>
        <w:tc>
          <w:tcPr>
            <w:tcW w:w="3060" w:type="dxa"/>
            <w:vAlign w:val="bottom"/>
            <w:tcBorders>
              <w:right w:val="single" w:sz="8" w:color="auto"/>
            </w:tcBorders>
            <w:gridSpan w:val="37"/>
          </w:tcPr>
          <w:p>
            <w:pPr>
              <w:spacing w:after="0" w:line="155"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2014 Employee Stock Purchase Plan, as amended*</w:t>
              </w:r>
            </w:hyperlink>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10.2</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May 27, 2025</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10.19</w:t>
            </w:r>
          </w:p>
        </w:tc>
        <w:tc>
          <w:tcPr>
            <w:tcW w:w="20" w:type="dxa"/>
            <w:vAlign w:val="bottom"/>
          </w:tcPr>
          <w:p>
            <w:pPr>
              <w:spacing w:after="0"/>
              <w:rPr>
                <w:sz w:val="13"/>
                <w:szCs w:val="13"/>
                <w:color w:val="auto"/>
              </w:rPr>
            </w:pPr>
          </w:p>
        </w:tc>
        <w:tc>
          <w:tcPr>
            <w:tcW w:w="2680" w:type="dxa"/>
            <w:vAlign w:val="bottom"/>
            <w:tcBorders>
              <w:bottom w:val="single" w:sz="8" w:color="0000FF"/>
            </w:tcBorders>
            <w:gridSpan w:val="23"/>
          </w:tcPr>
          <w:p>
            <w:pPr>
              <w:spacing w:after="0" w:line="155"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Form of 2018 Inducement Award Plan Option</w:t>
              </w:r>
            </w:hyperlink>
          </w:p>
        </w:tc>
        <w:tc>
          <w:tcPr>
            <w:tcW w:w="380" w:type="dxa"/>
            <w:vAlign w:val="bottom"/>
            <w:tcBorders>
              <w:right w:val="single" w:sz="8" w:color="auto"/>
            </w:tcBorders>
            <w:gridSpan w:val="14"/>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10.6</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7, 2022</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Agreement (Time Based)*</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10.20</w:t>
            </w:r>
          </w:p>
        </w:tc>
        <w:tc>
          <w:tcPr>
            <w:tcW w:w="20" w:type="dxa"/>
            <w:vAlign w:val="bottom"/>
          </w:tcPr>
          <w:p>
            <w:pPr>
              <w:spacing w:after="0"/>
              <w:rPr>
                <w:sz w:val="13"/>
                <w:szCs w:val="13"/>
                <w:color w:val="auto"/>
              </w:rPr>
            </w:pPr>
          </w:p>
        </w:tc>
        <w:tc>
          <w:tcPr>
            <w:tcW w:w="2680" w:type="dxa"/>
            <w:vAlign w:val="bottom"/>
            <w:tcBorders>
              <w:bottom w:val="single" w:sz="8" w:color="0000FF"/>
            </w:tcBorders>
            <w:gridSpan w:val="23"/>
          </w:tcPr>
          <w:p>
            <w:pPr>
              <w:spacing w:after="0" w:line="155"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Form of 2018 Inducement Award Plan Option</w:t>
              </w:r>
            </w:hyperlink>
          </w:p>
        </w:tc>
        <w:tc>
          <w:tcPr>
            <w:tcW w:w="380" w:type="dxa"/>
            <w:vAlign w:val="bottom"/>
            <w:tcBorders>
              <w:right w:val="single" w:sz="8" w:color="auto"/>
            </w:tcBorders>
            <w:gridSpan w:val="14"/>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10.7</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7, 2022</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Agreement (Performance Based)*</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10.21</w:t>
            </w:r>
          </w:p>
        </w:tc>
        <w:tc>
          <w:tcPr>
            <w:tcW w:w="20" w:type="dxa"/>
            <w:vAlign w:val="bottom"/>
          </w:tcPr>
          <w:p>
            <w:pPr>
              <w:spacing w:after="0"/>
              <w:rPr>
                <w:sz w:val="13"/>
                <w:szCs w:val="13"/>
                <w:color w:val="auto"/>
              </w:rPr>
            </w:pPr>
          </w:p>
        </w:tc>
        <w:tc>
          <w:tcPr>
            <w:tcW w:w="2880" w:type="dxa"/>
            <w:vAlign w:val="bottom"/>
            <w:tcBorders>
              <w:bottom w:val="single" w:sz="8" w:color="0000FF"/>
            </w:tcBorders>
            <w:gridSpan w:val="30"/>
          </w:tcPr>
          <w:p>
            <w:pPr>
              <w:spacing w:after="0" w:line="155" w:lineRule="exact"/>
              <w:rPr>
                <w:sz w:val="20"/>
                <w:szCs w:val="20"/>
                <w:color w:val="auto"/>
              </w:rPr>
            </w:pPr>
            <w:r>
              <w:rPr>
                <w:rFonts w:ascii="Times New Roman" w:cs="Times New Roman" w:eastAsia="Times New Roman" w:hAnsi="Times New Roman"/>
                <w:sz w:val="14"/>
                <w:szCs w:val="14"/>
                <w:color w:val="0000FF"/>
              </w:rPr>
              <w:t>Non-Employee Director Compensation Policy, as</w:t>
            </w:r>
          </w:p>
        </w:tc>
        <w:tc>
          <w:tcPr>
            <w:tcW w:w="180" w:type="dxa"/>
            <w:vAlign w:val="bottom"/>
            <w:tcBorders>
              <w:right w:val="single" w:sz="8" w:color="auto"/>
            </w:tcBorders>
            <w:gridSpan w:val="7"/>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sz w:val="20"/>
                <w:szCs w:val="20"/>
                <w:color w:val="auto"/>
              </w:rPr>
            </w:pPr>
            <w:r>
              <w:rPr>
                <w:rFonts w:ascii="Times New Roman" w:cs="Times New Roman" w:eastAsia="Times New Roman" w:hAnsi="Times New Roman"/>
                <w:sz w:val="14"/>
                <w:szCs w:val="14"/>
                <w:color w:val="0000FF"/>
              </w:rPr>
              <w:t>amended*</w:t>
            </w: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10.22</w:t>
            </w:r>
          </w:p>
        </w:tc>
        <w:tc>
          <w:tcPr>
            <w:tcW w:w="20" w:type="dxa"/>
            <w:vAlign w:val="bottom"/>
          </w:tcPr>
          <w:p>
            <w:pPr>
              <w:spacing w:after="0"/>
              <w:rPr>
                <w:sz w:val="13"/>
                <w:szCs w:val="13"/>
                <w:color w:val="auto"/>
              </w:rPr>
            </w:pPr>
          </w:p>
        </w:tc>
        <w:tc>
          <w:tcPr>
            <w:tcW w:w="2660" w:type="dxa"/>
            <w:vAlign w:val="bottom"/>
            <w:tcBorders>
              <w:bottom w:val="single" w:sz="8" w:color="0000FF"/>
            </w:tcBorders>
            <w:gridSpan w:val="22"/>
          </w:tcPr>
          <w:p>
            <w:pPr>
              <w:spacing w:after="0" w:line="155" w:lineRule="exact"/>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Directors’ Market Value Stock Purchase Plan,</w:t>
              </w:r>
            </w:hyperlink>
          </w:p>
        </w:tc>
        <w:tc>
          <w:tcPr>
            <w:tcW w:w="400" w:type="dxa"/>
            <w:vAlign w:val="bottom"/>
            <w:tcBorders>
              <w:right w:val="single" w:sz="8" w:color="auto"/>
            </w:tcBorders>
            <w:gridSpan w:val="15"/>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10.1</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1, 2018</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effective October 1, 2018*</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10.23</w:t>
            </w:r>
          </w:p>
        </w:tc>
        <w:tc>
          <w:tcPr>
            <w:tcW w:w="20" w:type="dxa"/>
            <w:vAlign w:val="bottom"/>
          </w:tcPr>
          <w:p>
            <w:pPr>
              <w:spacing w:after="0"/>
              <w:rPr>
                <w:sz w:val="13"/>
                <w:szCs w:val="13"/>
                <w:color w:val="auto"/>
              </w:rPr>
            </w:pPr>
          </w:p>
        </w:tc>
        <w:tc>
          <w:tcPr>
            <w:tcW w:w="3000" w:type="dxa"/>
            <w:vAlign w:val="bottom"/>
            <w:tcBorders>
              <w:bottom w:val="single" w:sz="8" w:color="0000FF"/>
            </w:tcBorders>
            <w:gridSpan w:val="36"/>
          </w:tcPr>
          <w:p>
            <w:pPr>
              <w:spacing w:after="0" w:line="155"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Amended and Restated Severance Plan, effective as</w:t>
              </w:r>
            </w:hyperlink>
          </w:p>
        </w:tc>
        <w:tc>
          <w:tcPr>
            <w:tcW w:w="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10.20</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August 6, 2025</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of August 1, 2025</w:t>
              </w:r>
            </w:hyperlink>
            <w:hyperlink r:id="rId278">
              <w:r>
                <w:rPr>
                  <w:rFonts w:ascii="Times New Roman" w:cs="Times New Roman" w:eastAsia="Times New Roman" w:hAnsi="Times New Roman"/>
                  <w:sz w:val="14"/>
                  <w:szCs w:val="14"/>
                  <w:color w:val="0000FF"/>
                </w:rPr>
                <w:t>*</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10.25</w:t>
            </w:r>
          </w:p>
        </w:tc>
        <w:tc>
          <w:tcPr>
            <w:tcW w:w="20" w:type="dxa"/>
            <w:vAlign w:val="bottom"/>
          </w:tcPr>
          <w:p>
            <w:pPr>
              <w:spacing w:after="0"/>
              <w:rPr>
                <w:sz w:val="13"/>
                <w:szCs w:val="13"/>
                <w:color w:val="auto"/>
              </w:rPr>
            </w:pPr>
          </w:p>
        </w:tc>
        <w:tc>
          <w:tcPr>
            <w:tcW w:w="2820" w:type="dxa"/>
            <w:vAlign w:val="bottom"/>
            <w:tcBorders>
              <w:bottom w:val="single" w:sz="8" w:color="0000FF"/>
            </w:tcBorders>
            <w:gridSpan w:val="29"/>
          </w:tcPr>
          <w:p>
            <w:pPr>
              <w:spacing w:after="0" w:line="155"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Amended and Restated Employment Agreement</w:t>
              </w:r>
            </w:hyperlink>
          </w:p>
        </w:tc>
        <w:tc>
          <w:tcPr>
            <w:tcW w:w="240" w:type="dxa"/>
            <w:vAlign w:val="bottom"/>
            <w:tcBorders>
              <w:right w:val="single" w:sz="8" w:color="auto"/>
            </w:tcBorders>
            <w:gridSpan w:val="8"/>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10.31</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March 7, 2019</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Borders>
              <w:bottom w:val="single" w:sz="8" w:color="0000FF"/>
            </w:tcBorders>
            <w:gridSpan w:val="33"/>
          </w:tcPr>
          <w:p>
            <w:pPr>
              <w:spacing w:after="0" w:line="152"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between the Registrant and Andrew J. Grethlein,</w:t>
              </w:r>
            </w:hyperlink>
          </w:p>
        </w:tc>
        <w:tc>
          <w:tcPr>
            <w:tcW w:w="100" w:type="dxa"/>
            <w:vAlign w:val="bottom"/>
            <w:tcBorders>
              <w:right w:val="single" w:sz="8" w:color="auto"/>
            </w:tcBorders>
            <w:gridSpan w:val="3"/>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effective as of January 31, 2019*</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10.27</w:t>
            </w:r>
          </w:p>
        </w:tc>
        <w:tc>
          <w:tcPr>
            <w:tcW w:w="20" w:type="dxa"/>
            <w:vAlign w:val="bottom"/>
          </w:tcPr>
          <w:p>
            <w:pPr>
              <w:spacing w:after="0"/>
              <w:rPr>
                <w:sz w:val="13"/>
                <w:szCs w:val="13"/>
                <w:color w:val="auto"/>
              </w:rPr>
            </w:pPr>
          </w:p>
        </w:tc>
        <w:tc>
          <w:tcPr>
            <w:tcW w:w="2600" w:type="dxa"/>
            <w:vAlign w:val="bottom"/>
            <w:tcBorders>
              <w:bottom w:val="single" w:sz="8" w:color="0000FF"/>
            </w:tcBorders>
            <w:gridSpan w:val="20"/>
          </w:tcPr>
          <w:p>
            <w:pPr>
              <w:spacing w:after="0" w:line="155"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Employment Agreement by and between the</w:t>
              </w:r>
            </w:hyperlink>
          </w:p>
        </w:tc>
        <w:tc>
          <w:tcPr>
            <w:tcW w:w="460" w:type="dxa"/>
            <w:vAlign w:val="bottom"/>
            <w:tcBorders>
              <w:right w:val="single" w:sz="8" w:color="auto"/>
            </w:tcBorders>
            <w:gridSpan w:val="17"/>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10.2</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2, 2023</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tcBorders>
              <w:bottom w:val="single" w:sz="8" w:color="0000FF"/>
            </w:tcBorders>
            <w:gridSpan w:val="30"/>
          </w:tcPr>
          <w:p>
            <w:pPr>
              <w:spacing w:after="0" w:line="152"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Registrant and Michelle Robertson, effective as</w:t>
              </w:r>
            </w:hyperlink>
          </w:p>
        </w:tc>
        <w:tc>
          <w:tcPr>
            <w:tcW w:w="160" w:type="dxa"/>
            <w:vAlign w:val="bottom"/>
            <w:tcBorders>
              <w:right w:val="single" w:sz="8" w:color="auto"/>
            </w:tcBorders>
            <w:gridSpan w:val="6"/>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of September 25, 2023*</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10.28</w:t>
            </w:r>
          </w:p>
        </w:tc>
        <w:tc>
          <w:tcPr>
            <w:tcW w:w="20" w:type="dxa"/>
            <w:vAlign w:val="bottom"/>
          </w:tcPr>
          <w:p>
            <w:pPr>
              <w:spacing w:after="0"/>
              <w:rPr>
                <w:sz w:val="13"/>
                <w:szCs w:val="13"/>
                <w:color w:val="auto"/>
              </w:rPr>
            </w:pPr>
          </w:p>
        </w:tc>
        <w:tc>
          <w:tcPr>
            <w:tcW w:w="2600" w:type="dxa"/>
            <w:vAlign w:val="bottom"/>
            <w:tcBorders>
              <w:bottom w:val="single" w:sz="8" w:color="0000FF"/>
            </w:tcBorders>
            <w:gridSpan w:val="20"/>
          </w:tcPr>
          <w:p>
            <w:pPr>
              <w:spacing w:after="0" w:line="155" w:lineRule="exact"/>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Employment Agreement by and between the</w:t>
              </w:r>
            </w:hyperlink>
          </w:p>
        </w:tc>
        <w:tc>
          <w:tcPr>
            <w:tcW w:w="460" w:type="dxa"/>
            <w:vAlign w:val="bottom"/>
            <w:tcBorders>
              <w:right w:val="single" w:sz="8" w:color="auto"/>
            </w:tcBorders>
            <w:gridSpan w:val="17"/>
          </w:tcPr>
          <w:p>
            <w:pPr>
              <w:spacing w:after="0"/>
              <w:rPr>
                <w:sz w:val="13"/>
                <w:szCs w:val="13"/>
                <w:color w:val="auto"/>
              </w:rPr>
            </w:pPr>
          </w:p>
        </w:tc>
        <w:tc>
          <w:tcPr>
            <w:tcW w:w="7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10.21</w:t>
            </w:r>
          </w:p>
        </w:tc>
        <w:tc>
          <w:tcPr>
            <w:tcW w:w="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November 7, 2024</w:t>
            </w:r>
          </w:p>
        </w:tc>
        <w:tc>
          <w:tcPr>
            <w:tcW w:w="860" w:type="dxa"/>
            <w:vAlign w:val="bottom"/>
            <w:tcBorders>
              <w:right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tcBorders>
              <w:bottom w:val="single" w:sz="8" w:color="0000FF"/>
            </w:tcBorders>
            <w:gridSpan w:val="23"/>
          </w:tcPr>
          <w:p>
            <w:pPr>
              <w:spacing w:after="0" w:line="152" w:lineRule="exact"/>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Registrant and James Ziegler, effective as of</w:t>
              </w:r>
            </w:hyperlink>
          </w:p>
        </w:tc>
        <w:tc>
          <w:tcPr>
            <w:tcW w:w="360" w:type="dxa"/>
            <w:vAlign w:val="bottom"/>
            <w:tcBorders>
              <w:right w:val="single" w:sz="8" w:color="auto"/>
            </w:tcBorders>
            <w:gridSpan w:val="13"/>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tcBorders>
              <w:right w:val="single" w:sz="8" w:color="auto"/>
            </w:tcBorders>
            <w:gridSpan w:val="36"/>
          </w:tcPr>
          <w:p>
            <w:pPr>
              <w:spacing w:after="0" w:line="152" w:lineRule="exact"/>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September 9, 2024*</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3"/>
        </w:trPr>
        <w:tc>
          <w:tcPr>
            <w:tcW w:w="880" w:type="dxa"/>
            <w:vAlign w:val="bottom"/>
            <w:tcBorders>
              <w:left w:val="single" w:sz="8" w:color="CCCCCC"/>
              <w:bottom w:val="single" w:sz="8" w:color="CCCCCC"/>
            </w:tcBorders>
          </w:tcPr>
          <w:p>
            <w:pPr>
              <w:spacing w:after="0"/>
              <w:rPr>
                <w:sz w:val="24"/>
                <w:szCs w:val="24"/>
                <w:color w:val="auto"/>
              </w:rPr>
            </w:pPr>
          </w:p>
        </w:tc>
        <w:tc>
          <w:tcPr>
            <w:tcW w:w="64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140" w:type="dxa"/>
            <w:vAlign w:val="bottom"/>
            <w:tcBorders>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120" w:type="dxa"/>
            <w:vAlign w:val="bottom"/>
            <w:tcBorders>
              <w:bottom w:val="single" w:sz="8" w:color="CCCCCC"/>
            </w:tcBorders>
          </w:tcPr>
          <w:p>
            <w:pPr>
              <w:spacing w:after="0"/>
              <w:rPr>
                <w:sz w:val="24"/>
                <w:szCs w:val="24"/>
                <w:color w:val="auto"/>
              </w:rPr>
            </w:pPr>
          </w:p>
        </w:tc>
        <w:tc>
          <w:tcPr>
            <w:tcW w:w="260" w:type="dxa"/>
            <w:vAlign w:val="bottom"/>
            <w:tcBorders>
              <w:bottom w:val="single" w:sz="8" w:color="CCCCCC"/>
            </w:tcBorders>
          </w:tcPr>
          <w:p>
            <w:pPr>
              <w:spacing w:after="0"/>
              <w:rPr>
                <w:sz w:val="24"/>
                <w:szCs w:val="24"/>
                <w:color w:val="auto"/>
              </w:rPr>
            </w:pPr>
          </w:p>
        </w:tc>
        <w:tc>
          <w:tcPr>
            <w:tcW w:w="56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1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140" w:type="dxa"/>
            <w:vAlign w:val="bottom"/>
            <w:tcBorders>
              <w:bottom w:val="single" w:sz="8" w:color="CCCCCC"/>
            </w:tcBorders>
          </w:tcPr>
          <w:p>
            <w:pPr>
              <w:spacing w:after="0"/>
              <w:rPr>
                <w:sz w:val="24"/>
                <w:szCs w:val="24"/>
                <w:color w:val="auto"/>
              </w:rPr>
            </w:pPr>
          </w:p>
        </w:tc>
        <w:tc>
          <w:tcPr>
            <w:tcW w:w="1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4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740" w:type="dxa"/>
            <w:vAlign w:val="bottom"/>
            <w:tcBorders>
              <w:bottom w:val="single" w:sz="8" w:color="CCCCCC"/>
            </w:tcBorders>
          </w:tcPr>
          <w:p>
            <w:pPr>
              <w:spacing w:after="0"/>
              <w:rPr>
                <w:sz w:val="24"/>
                <w:szCs w:val="24"/>
                <w:color w:val="auto"/>
              </w:rPr>
            </w:pPr>
          </w:p>
        </w:tc>
        <w:tc>
          <w:tcPr>
            <w:tcW w:w="500" w:type="dxa"/>
            <w:vAlign w:val="bottom"/>
            <w:tcBorders>
              <w:bottom w:val="single" w:sz="8" w:color="CCCCCC"/>
            </w:tcBorders>
          </w:tcPr>
          <w:p>
            <w:pPr>
              <w:spacing w:after="0"/>
              <w:rPr>
                <w:sz w:val="24"/>
                <w:szCs w:val="24"/>
                <w:color w:val="auto"/>
              </w:rPr>
            </w:pPr>
          </w:p>
        </w:tc>
        <w:tc>
          <w:tcPr>
            <w:tcW w:w="1260" w:type="dxa"/>
            <w:vAlign w:val="bottom"/>
            <w:tcBorders>
              <w:bottom w:val="single" w:sz="8" w:color="CCCCCC"/>
            </w:tcBorders>
          </w:tcPr>
          <w:p>
            <w:pPr>
              <w:spacing w:after="0"/>
              <w:rPr>
                <w:sz w:val="24"/>
                <w:szCs w:val="24"/>
                <w:color w:val="auto"/>
              </w:rPr>
            </w:pPr>
          </w:p>
        </w:tc>
        <w:tc>
          <w:tcPr>
            <w:tcW w:w="860" w:type="dxa"/>
            <w:vAlign w:val="bottom"/>
            <w:tcBorders>
              <w:bottom w:val="single" w:sz="8" w:color="CCCCCC"/>
            </w:tcBorders>
          </w:tcPr>
          <w:p>
            <w:pPr>
              <w:spacing w:after="0"/>
              <w:rPr>
                <w:sz w:val="24"/>
                <w:szCs w:val="24"/>
                <w:color w:val="auto"/>
              </w:rPr>
            </w:pPr>
          </w:p>
        </w:tc>
        <w:tc>
          <w:tcPr>
            <w:tcW w:w="84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-7837805</wp:posOffset>
            </wp:positionV>
            <wp:extent cx="450786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4507865" cy="698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-8083550</wp:posOffset>
            </wp:positionV>
            <wp:extent cx="450786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4507865" cy="698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-8328660</wp:posOffset>
            </wp:positionV>
            <wp:extent cx="450786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4507865" cy="698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-8574405</wp:posOffset>
            </wp:positionV>
            <wp:extent cx="450786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4507865" cy="698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-8819515</wp:posOffset>
            </wp:positionV>
            <wp:extent cx="450786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4507865" cy="698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-8956040</wp:posOffset>
            </wp:positionV>
            <wp:extent cx="450786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4507865" cy="698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-9092565</wp:posOffset>
            </wp:positionV>
            <wp:extent cx="450786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4507865" cy="698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62230</wp:posOffset>
            </wp:positionV>
            <wp:extent cx="5584190" cy="1032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5584190" cy="1032510"/>
                    </a:xfrm>
                    <a:prstGeom prst="rect">
                      <a:avLst/>
                    </a:prstGeom>
                    <a:noFill/>
                  </pic:spPr>
                </pic:pic>
              </a:graphicData>
            </a:graphic>
          </wp:anchor>
        </w:drawing>
      </w:r>
    </w:p>
    <w:p>
      <w:pPr>
        <w:sectPr>
          <w:pgSz w:w="11900" w:h="16838" w:orient="portrait"/>
          <w:cols w:equalWidth="0" w:num="1">
            <w:col w:w="9019"/>
          </w:cols>
          <w:pgMar w:left="1440" w:top="119" w:right="1440" w:bottom="856" w:gutter="0" w:footer="0" w:header="0"/>
        </w:sectPr>
      </w:pPr>
    </w:p>
    <w:p>
      <w:pPr>
        <w:spacing w:after="0" w:line="2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119" w:right="1440" w:bottom="856" w:gutter="0" w:footer="0" w:header="0"/>
          <w:type w:val="continuous"/>
        </w:sectPr>
      </w:pPr>
    </w:p>
    <w:bookmarkStart w:id="101" w:name="page102"/>
    <w:bookmarkEnd w:id="101"/>
    <w:tbl>
      <w:tblPr>
        <w:tblLayout w:type="fixed"/>
        <w:tblInd w:w="110" w:type="dxa"/>
        <w:tblCellMar>
          <w:top w:w="0" w:type="dxa"/>
          <w:left w:w="0" w:type="dxa"/>
          <w:bottom w:w="0" w:type="dxa"/>
          <w:right w:w="0" w:type="dxa"/>
        </w:tblCellMar>
      </w:tblPr>
      <w:tr>
        <w:trPr>
          <w:trHeight w:val="118"/>
        </w:trPr>
        <w:tc>
          <w:tcPr>
            <w:tcW w:w="880" w:type="dxa"/>
            <w:vAlign w:val="bottom"/>
            <w:tcBorders>
              <w:left w:val="single" w:sz="8" w:color="CCCCCC"/>
              <w:right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10.30</w:t>
            </w:r>
          </w:p>
        </w:tc>
        <w:tc>
          <w:tcPr>
            <w:tcW w:w="20" w:type="dxa"/>
            <w:vAlign w:val="bottom"/>
            <w:tcBorders>
              <w:top w:val="single" w:sz="8" w:color="auto"/>
            </w:tcBorders>
          </w:tcPr>
          <w:p>
            <w:pPr>
              <w:spacing w:after="0"/>
              <w:rPr>
                <w:sz w:val="10"/>
                <w:szCs w:val="10"/>
                <w:color w:val="auto"/>
              </w:rPr>
            </w:pPr>
          </w:p>
        </w:tc>
        <w:tc>
          <w:tcPr>
            <w:tcW w:w="3060" w:type="dxa"/>
            <w:vAlign w:val="bottom"/>
            <w:tcBorders>
              <w:top w:val="single" w:sz="8" w:color="auto"/>
              <w:right w:val="single" w:sz="8" w:color="auto"/>
            </w:tcBorders>
            <w:gridSpan w:val="32"/>
          </w:tcPr>
          <w:p>
            <w:pPr>
              <w:spacing w:after="0" w:line="118" w:lineRule="exact"/>
              <w:rPr>
                <w:rFonts w:ascii="Times New Roman" w:cs="Times New Roman" w:eastAsia="Times New Roman" w:hAnsi="Times New Roman"/>
                <w:sz w:val="13"/>
                <w:szCs w:val="13"/>
                <w:u w:val="single" w:color="auto"/>
                <w:color w:val="0000FF"/>
              </w:rPr>
            </w:pPr>
            <w:hyperlink r:id="rId290">
              <w:r>
                <w:rPr>
                  <w:rFonts w:ascii="Times New Roman" w:cs="Times New Roman" w:eastAsia="Times New Roman" w:hAnsi="Times New Roman"/>
                  <w:sz w:val="13"/>
                  <w:szCs w:val="13"/>
                  <w:u w:val="single" w:color="auto"/>
                  <w:color w:val="0000FF"/>
                </w:rPr>
                <w:t>Employment Agreement by and between the</w:t>
              </w:r>
            </w:hyperlink>
          </w:p>
        </w:tc>
        <w:tc>
          <w:tcPr>
            <w:tcW w:w="74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10.10</w:t>
            </w:r>
          </w:p>
        </w:tc>
        <w:tc>
          <w:tcPr>
            <w:tcW w:w="50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8-K</w:t>
            </w:r>
          </w:p>
        </w:tc>
        <w:tc>
          <w:tcPr>
            <w:tcW w:w="126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August 6, 2025</w:t>
            </w:r>
          </w:p>
        </w:tc>
        <w:tc>
          <w:tcPr>
            <w:tcW w:w="860" w:type="dxa"/>
            <w:vAlign w:val="bottom"/>
            <w:tcBorders>
              <w:top w:val="single" w:sz="8" w:color="auto"/>
              <w:right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color w:val="auto"/>
              </w:rPr>
              <w:t>000-20859</w:t>
            </w:r>
          </w:p>
        </w:tc>
        <w:tc>
          <w:tcPr>
            <w:tcW w:w="84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880" w:type="dxa"/>
            <w:vAlign w:val="bottom"/>
            <w:tcBorders>
              <w:left w:val="single" w:sz="8" w:color="CCCCCC"/>
              <w:right w:val="single" w:sz="8" w:color="auto"/>
            </w:tcBorders>
          </w:tcPr>
          <w:p>
            <w:pPr>
              <w:spacing w:after="0"/>
              <w:rPr>
                <w:sz w:val="6"/>
                <w:szCs w:val="6"/>
                <w:color w:val="auto"/>
              </w:rPr>
            </w:pPr>
          </w:p>
        </w:tc>
        <w:tc>
          <w:tcPr>
            <w:tcW w:w="640" w:type="dxa"/>
            <w:vAlign w:val="bottom"/>
            <w:tcBorders>
              <w:right w:val="single" w:sz="8" w:color="auto"/>
            </w:tcBorders>
          </w:tcPr>
          <w:p>
            <w:pPr>
              <w:jc w:val="center"/>
              <w:spacing w:after="0" w:line="76" w:lineRule="exact"/>
              <w:rPr>
                <w:sz w:val="20"/>
                <w:szCs w:val="20"/>
                <w:color w:val="auto"/>
              </w:rPr>
            </w:pPr>
            <w:r>
              <w:rPr>
                <w:rFonts w:ascii="Times New Roman" w:cs="Times New Roman" w:eastAsia="Times New Roman" w:hAnsi="Times New Roman"/>
                <w:sz w:val="8"/>
                <w:szCs w:val="8"/>
                <w:color w:val="auto"/>
              </w:rPr>
              <w:t>10.29</w:t>
            </w:r>
          </w:p>
        </w:tc>
        <w:tc>
          <w:tcPr>
            <w:tcW w:w="20" w:type="dxa"/>
            <w:vAlign w:val="bottom"/>
          </w:tcPr>
          <w:p>
            <w:pPr>
              <w:spacing w:after="0"/>
              <w:rPr>
                <w:sz w:val="6"/>
                <w:szCs w:val="6"/>
                <w:color w:val="auto"/>
              </w:rPr>
            </w:pPr>
          </w:p>
        </w:tc>
        <w:tc>
          <w:tcPr>
            <w:tcW w:w="2600" w:type="dxa"/>
            <w:vAlign w:val="bottom"/>
            <w:gridSpan w:val="19"/>
          </w:tcPr>
          <w:p>
            <w:pPr>
              <w:spacing w:after="0" w:line="76" w:lineRule="exact"/>
              <w:rPr>
                <w:rFonts w:ascii="Times New Roman" w:cs="Times New Roman" w:eastAsia="Times New Roman" w:hAnsi="Times New Roman"/>
                <w:sz w:val="8"/>
                <w:szCs w:val="8"/>
                <w:u w:val="single" w:color="auto"/>
                <w:color w:val="0000FF"/>
              </w:rPr>
            </w:pPr>
            <w:hyperlink r:id="rId290">
              <w:r>
                <w:rPr>
                  <w:rFonts w:ascii="Times New Roman" w:cs="Times New Roman" w:eastAsia="Times New Roman" w:hAnsi="Times New Roman"/>
                  <w:sz w:val="8"/>
                  <w:szCs w:val="8"/>
                  <w:u w:val="single" w:color="auto"/>
                  <w:color w:val="0000FF"/>
                </w:rPr>
                <w:t>Employment Agreement by and between the</w:t>
              </w:r>
            </w:hyperlink>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jc w:val="center"/>
              <w:spacing w:after="0" w:line="76" w:lineRule="exact"/>
              <w:rPr>
                <w:sz w:val="20"/>
                <w:szCs w:val="20"/>
                <w:color w:val="auto"/>
              </w:rPr>
            </w:pPr>
            <w:r>
              <w:rPr>
                <w:rFonts w:ascii="Times New Roman" w:cs="Times New Roman" w:eastAsia="Times New Roman" w:hAnsi="Times New Roman"/>
                <w:sz w:val="8"/>
                <w:szCs w:val="8"/>
                <w:color w:val="auto"/>
              </w:rPr>
              <w:t>10.29</w:t>
            </w:r>
          </w:p>
        </w:tc>
        <w:tc>
          <w:tcPr>
            <w:tcW w:w="500" w:type="dxa"/>
            <w:vAlign w:val="bottom"/>
            <w:tcBorders>
              <w:right w:val="single" w:sz="8" w:color="auto"/>
            </w:tcBorders>
          </w:tcPr>
          <w:p>
            <w:pPr>
              <w:jc w:val="center"/>
              <w:spacing w:after="0" w:line="76" w:lineRule="exact"/>
              <w:rPr>
                <w:sz w:val="20"/>
                <w:szCs w:val="20"/>
                <w:color w:val="auto"/>
              </w:rPr>
            </w:pPr>
            <w:r>
              <w:rPr>
                <w:rFonts w:ascii="Times New Roman" w:cs="Times New Roman" w:eastAsia="Times New Roman" w:hAnsi="Times New Roman"/>
                <w:sz w:val="8"/>
                <w:szCs w:val="8"/>
                <w:color w:val="auto"/>
              </w:rPr>
              <w:t>10-K</w:t>
            </w:r>
          </w:p>
        </w:tc>
        <w:tc>
          <w:tcPr>
            <w:tcW w:w="1260" w:type="dxa"/>
            <w:vAlign w:val="bottom"/>
            <w:tcBorders>
              <w:right w:val="single" w:sz="8" w:color="auto"/>
            </w:tcBorders>
          </w:tcPr>
          <w:p>
            <w:pPr>
              <w:jc w:val="center"/>
              <w:spacing w:after="0" w:line="76" w:lineRule="exact"/>
              <w:rPr>
                <w:sz w:val="20"/>
                <w:szCs w:val="20"/>
                <w:color w:val="auto"/>
              </w:rPr>
            </w:pPr>
            <w:r>
              <w:rPr>
                <w:rFonts w:ascii="Times New Roman" w:cs="Times New Roman" w:eastAsia="Times New Roman" w:hAnsi="Times New Roman"/>
                <w:sz w:val="8"/>
                <w:szCs w:val="8"/>
                <w:color w:val="auto"/>
              </w:rPr>
              <w:t>February 26, 2025</w:t>
            </w:r>
          </w:p>
        </w:tc>
        <w:tc>
          <w:tcPr>
            <w:tcW w:w="860" w:type="dxa"/>
            <w:vAlign w:val="bottom"/>
            <w:tcBorders>
              <w:right w:val="single" w:sz="8" w:color="auto"/>
            </w:tcBorders>
          </w:tcPr>
          <w:p>
            <w:pPr>
              <w:jc w:val="right"/>
              <w:ind w:right="72"/>
              <w:spacing w:after="0" w:line="76" w:lineRule="exact"/>
              <w:rPr>
                <w:sz w:val="20"/>
                <w:szCs w:val="20"/>
                <w:color w:val="auto"/>
              </w:rPr>
            </w:pPr>
            <w:r>
              <w:rPr>
                <w:rFonts w:ascii="Times New Roman" w:cs="Times New Roman" w:eastAsia="Times New Roman" w:hAnsi="Times New Roman"/>
                <w:sz w:val="8"/>
                <w:szCs w:val="8"/>
                <w:color w:val="auto"/>
              </w:rPr>
              <w:t>000-20859</w:t>
            </w:r>
          </w:p>
        </w:tc>
        <w:tc>
          <w:tcPr>
            <w:tcW w:w="84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880" w:type="dxa"/>
            <w:vAlign w:val="bottom"/>
            <w:tcBorders>
              <w:left w:val="single" w:sz="8" w:color="CCCCCC"/>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40" w:type="dxa"/>
            <w:vAlign w:val="bottom"/>
            <w:gridSpan w:val="18"/>
          </w:tcPr>
          <w:p>
            <w:pPr>
              <w:spacing w:after="0" w:line="65" w:lineRule="exact"/>
              <w:rPr>
                <w:rFonts w:ascii="Times New Roman" w:cs="Times New Roman" w:eastAsia="Times New Roman" w:hAnsi="Times New Roman"/>
                <w:sz w:val="7"/>
                <w:szCs w:val="7"/>
                <w:color w:val="0000FF"/>
              </w:rPr>
            </w:pPr>
            <w:hyperlink r:id="rId290">
              <w:r>
                <w:rPr>
                  <w:rFonts w:ascii="Times New Roman" w:cs="Times New Roman" w:eastAsia="Times New Roman" w:hAnsi="Times New Roman"/>
                  <w:sz w:val="7"/>
                  <w:szCs w:val="7"/>
                  <w:color w:val="0000FF"/>
                </w:rPr>
                <w:t>Registrant and Harout Semerjian, effective</w:t>
              </w:r>
            </w:hyperlink>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84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880" w:type="dxa"/>
            <w:vAlign w:val="bottom"/>
            <w:tcBorders>
              <w:left w:val="single" w:sz="8" w:color="CCCCCC"/>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60" w:type="dxa"/>
            <w:vAlign w:val="bottom"/>
            <w:tcBorders>
              <w:top w:val="single" w:sz="8" w:color="0000FF"/>
            </w:tcBorders>
            <w:gridSpan w:val="19"/>
          </w:tcPr>
          <w:p>
            <w:pPr>
              <w:spacing w:after="0" w:line="88" w:lineRule="exact"/>
              <w:rPr>
                <w:rFonts w:ascii="Times New Roman" w:cs="Times New Roman" w:eastAsia="Times New Roman" w:hAnsi="Times New Roman"/>
                <w:sz w:val="10"/>
                <w:szCs w:val="10"/>
                <w:u w:val="single" w:color="auto"/>
                <w:color w:val="0000FF"/>
              </w:rPr>
            </w:pPr>
            <w:hyperlink r:id="rId290">
              <w:r>
                <w:rPr>
                  <w:rFonts w:ascii="Times New Roman" w:cs="Times New Roman" w:eastAsia="Times New Roman" w:hAnsi="Times New Roman"/>
                  <w:sz w:val="10"/>
                  <w:szCs w:val="10"/>
                  <w:u w:val="single" w:color="auto"/>
                  <w:color w:val="0000FF"/>
                </w:rPr>
                <w:t xml:space="preserve">Registrant and </w:t>
              </w:r>
            </w:hyperlink>
            <w:hyperlink r:id="rId291">
              <w:r>
                <w:rPr>
                  <w:rFonts w:ascii="Times New Roman" w:cs="Times New Roman" w:eastAsia="Times New Roman" w:hAnsi="Times New Roman"/>
                  <w:sz w:val="10"/>
                  <w:szCs w:val="10"/>
                  <w:u w:val="single" w:color="auto"/>
                  <w:color w:val="0000FF"/>
                </w:rPr>
                <w:t>Joseph Eid, effective as of</w:t>
              </w:r>
            </w:hyperlink>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84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880" w:type="dxa"/>
            <w:vAlign w:val="bottom"/>
            <w:tcBorders>
              <w:left w:val="single" w:sz="8" w:color="CCCCCC"/>
              <w:right w:val="single" w:sz="8" w:color="auto"/>
            </w:tcBorders>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20" w:type="dxa"/>
            <w:vAlign w:val="bottom"/>
            <w:gridSpan w:val="17"/>
          </w:tcPr>
          <w:p>
            <w:pPr>
              <w:spacing w:after="0" w:line="54" w:lineRule="exact"/>
              <w:rPr>
                <w:rFonts w:ascii="Times New Roman" w:cs="Times New Roman" w:eastAsia="Times New Roman" w:hAnsi="Times New Roman"/>
                <w:sz w:val="6"/>
                <w:szCs w:val="6"/>
                <w:color w:val="0000FF"/>
              </w:rPr>
            </w:pPr>
            <w:hyperlink r:id="rId290">
              <w:r>
                <w:rPr>
                  <w:rFonts w:ascii="Times New Roman" w:cs="Times New Roman" w:eastAsia="Times New Roman" w:hAnsi="Times New Roman"/>
                  <w:sz w:val="6"/>
                  <w:szCs w:val="6"/>
                  <w:color w:val="0000FF"/>
                </w:rPr>
                <w:t>August 7, 2025</w:t>
              </w:r>
            </w:hyperlink>
          </w:p>
        </w:tc>
        <w:tc>
          <w:tcPr>
            <w:tcW w:w="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840" w:type="dxa"/>
            <w:vAlign w:val="bottom"/>
            <w:tcBorders>
              <w:right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880" w:type="dxa"/>
            <w:vAlign w:val="bottom"/>
            <w:tcBorders>
              <w:left w:val="single" w:sz="8" w:color="CCCCCC"/>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top w:val="single" w:sz="8" w:color="0000FF"/>
            </w:tcBorders>
            <w:gridSpan w:val="3"/>
          </w:tcPr>
          <w:p>
            <w:pPr>
              <w:spacing w:after="0" w:line="97" w:lineRule="exact"/>
              <w:rPr>
                <w:rFonts w:ascii="Times New Roman" w:cs="Times New Roman" w:eastAsia="Times New Roman" w:hAnsi="Times New Roman"/>
                <w:sz w:val="11"/>
                <w:szCs w:val="11"/>
                <w:u w:val="single" w:color="auto"/>
                <w:color w:val="0000FF"/>
              </w:rPr>
            </w:pPr>
            <w:hyperlink r:id="rId291">
              <w:r>
                <w:rPr>
                  <w:rFonts w:ascii="Times New Roman" w:cs="Times New Roman" w:eastAsia="Times New Roman" w:hAnsi="Times New Roman"/>
                  <w:sz w:val="11"/>
                  <w:szCs w:val="11"/>
                  <w:u w:val="single" w:color="auto"/>
                  <w:color w:val="0000FF"/>
                </w:rPr>
                <w:t>November 11,</w:t>
              </w:r>
            </w:hyperlink>
          </w:p>
        </w:tc>
        <w:tc>
          <w:tcPr>
            <w:tcW w:w="660" w:type="dxa"/>
            <w:vAlign w:val="bottom"/>
            <w:gridSpan w:val="5"/>
          </w:tcPr>
          <w:p>
            <w:pPr>
              <w:jc w:val="right"/>
              <w:ind w:right="259"/>
              <w:spacing w:after="0" w:line="97" w:lineRule="exact"/>
              <w:rPr>
                <w:rFonts w:ascii="Times New Roman" w:cs="Times New Roman" w:eastAsia="Times New Roman" w:hAnsi="Times New Roman"/>
                <w:sz w:val="11"/>
                <w:szCs w:val="11"/>
                <w:color w:val="0000FF"/>
              </w:rPr>
            </w:pPr>
            <w:hyperlink r:id="rId291">
              <w:r>
                <w:rPr>
                  <w:rFonts w:ascii="Times New Roman" w:cs="Times New Roman" w:eastAsia="Times New Roman" w:hAnsi="Times New Roman"/>
                  <w:sz w:val="11"/>
                  <w:szCs w:val="11"/>
                  <w:u w:val="single" w:color="auto"/>
                  <w:color w:val="0000FF"/>
                </w:rPr>
                <w:t>2024</w:t>
              </w:r>
            </w:hyperlink>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restart"/>
          </w:tcPr>
          <w:p>
            <w:pPr>
              <w:jc w:val="right"/>
              <w:ind w:right="72"/>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80" w:type="dxa"/>
            <w:vAlign w:val="bottom"/>
            <w:tcBorders>
              <w:left w:val="single" w:sz="8" w:color="CCCCCC"/>
              <w:right w:val="single" w:sz="8" w:color="auto"/>
            </w:tcBorders>
          </w:tcPr>
          <w:p>
            <w:pPr>
              <w:spacing w:after="0"/>
              <w:rPr>
                <w:sz w:val="9"/>
                <w:szCs w:val="9"/>
                <w:color w:val="auto"/>
              </w:rPr>
            </w:pPr>
          </w:p>
        </w:tc>
        <w:tc>
          <w:tcPr>
            <w:tcW w:w="640" w:type="dxa"/>
            <w:vAlign w:val="bottom"/>
            <w:tcBorders>
              <w:right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color w:val="auto"/>
              </w:rPr>
              <w:t>10.30</w:t>
            </w:r>
          </w:p>
        </w:tc>
        <w:tc>
          <w:tcPr>
            <w:tcW w:w="20" w:type="dxa"/>
            <w:vAlign w:val="bottom"/>
          </w:tcPr>
          <w:p>
            <w:pPr>
              <w:spacing w:after="0"/>
              <w:rPr>
                <w:sz w:val="9"/>
                <w:szCs w:val="9"/>
                <w:color w:val="auto"/>
              </w:rPr>
            </w:pPr>
          </w:p>
        </w:tc>
        <w:tc>
          <w:tcPr>
            <w:tcW w:w="1280" w:type="dxa"/>
            <w:vAlign w:val="bottom"/>
            <w:tcBorders>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Office Lease Agreement</w:t>
              </w:r>
            </w:hyperlink>
          </w:p>
        </w:tc>
        <w:tc>
          <w:tcPr>
            <w:tcW w:w="1780" w:type="dxa"/>
            <w:vAlign w:val="bottom"/>
            <w:tcBorders>
              <w:bottom w:val="single" w:sz="8" w:color="0000FF"/>
              <w:right w:val="single" w:sz="8" w:color="auto"/>
            </w:tcBorders>
            <w:gridSpan w:val="24"/>
          </w:tcPr>
          <w:p>
            <w:pPr>
              <w:ind w:left="160"/>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by and between Registrant</w:t>
              </w:r>
            </w:hyperlink>
          </w:p>
        </w:tc>
        <w:tc>
          <w:tcPr>
            <w:tcW w:w="740" w:type="dxa"/>
            <w:vAlign w:val="bottom"/>
            <w:tcBorders>
              <w:right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color w:val="auto"/>
              </w:rPr>
              <w:t>10.18</w:t>
            </w:r>
          </w:p>
        </w:tc>
        <w:tc>
          <w:tcPr>
            <w:tcW w:w="500" w:type="dxa"/>
            <w:vAlign w:val="bottom"/>
            <w:tcBorders>
              <w:right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color w:val="auto"/>
              </w:rPr>
              <w:t>10-Q</w:t>
            </w:r>
          </w:p>
        </w:tc>
        <w:tc>
          <w:tcPr>
            <w:tcW w:w="1260" w:type="dxa"/>
            <w:vAlign w:val="bottom"/>
            <w:tcBorders>
              <w:right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color w:val="auto"/>
              </w:rPr>
              <w:t>May 2, 2019</w:t>
            </w:r>
          </w:p>
        </w:tc>
        <w:tc>
          <w:tcPr>
            <w:tcW w:w="8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tcBorders>
              <w:bottom w:val="single" w:sz="8" w:color="0000FF"/>
            </w:tcBorders>
            <w:gridSpan w:val="26"/>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and 3 Sylvan Realty LLC, effective as of April</w:t>
              </w:r>
            </w:hyperlink>
          </w:p>
        </w:tc>
        <w:tc>
          <w:tcPr>
            <w:tcW w:w="220" w:type="dxa"/>
            <w:vAlign w:val="bottom"/>
            <w:tcBorders>
              <w:right w:val="single" w:sz="8" w:color="auto"/>
            </w:tcBorders>
            <w:gridSpan w:val="5"/>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60" w:type="dxa"/>
            <w:vAlign w:val="bottom"/>
            <w:gridSpan w:val="4"/>
          </w:tcPr>
          <w:p>
            <w:pPr>
              <w:ind w:left="160"/>
              <w:spacing w:after="0" w:line="152" w:lineRule="exact"/>
              <w:rPr>
                <w:rFonts w:ascii="Times New Roman" w:cs="Times New Roman" w:eastAsia="Times New Roman" w:hAnsi="Times New Roman"/>
                <w:sz w:val="14"/>
                <w:szCs w:val="14"/>
                <w:color w:val="0000FF"/>
                <w:w w:val="97"/>
              </w:rPr>
            </w:pPr>
            <w:hyperlink r:id="rId292">
              <w:r>
                <w:rPr>
                  <w:rFonts w:ascii="Times New Roman" w:cs="Times New Roman" w:eastAsia="Times New Roman" w:hAnsi="Times New Roman"/>
                  <w:sz w:val="14"/>
                  <w:szCs w:val="14"/>
                  <w:color w:val="0000FF"/>
                  <w:w w:val="97"/>
                </w:rPr>
                <w:t>30, 2019</w:t>
              </w:r>
            </w:hyperlink>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20" w:type="dxa"/>
            <w:vAlign w:val="bottom"/>
          </w:tcPr>
          <w:p>
            <w:pPr>
              <w:spacing w:after="0"/>
              <w:rPr>
                <w:sz w:val="16"/>
                <w:szCs w:val="16"/>
                <w:color w:val="auto"/>
              </w:rPr>
            </w:pPr>
          </w:p>
        </w:tc>
        <w:tc>
          <w:tcPr>
            <w:tcW w:w="274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Offer Letter by and between the Registrant and</w:t>
              </w:r>
            </w:hyperlink>
          </w:p>
        </w:tc>
        <w:tc>
          <w:tcPr>
            <w:tcW w:w="320" w:type="dxa"/>
            <w:vAlign w:val="bottom"/>
            <w:tcBorders>
              <w:right w:val="single" w:sz="8" w:color="auto"/>
            </w:tcBorders>
            <w:gridSpan w:val="8"/>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7, 2025</w:t>
            </w:r>
          </w:p>
        </w:tc>
        <w:tc>
          <w:tcPr>
            <w:tcW w:w="8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tcBorders>
              <w:bottom w:val="single" w:sz="8" w:color="0000FF"/>
            </w:tcBorders>
            <w:gridSpan w:val="24"/>
          </w:tcPr>
          <w:p>
            <w:pPr>
              <w:spacing w:after="0" w:line="152"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Dawn C. Bir, effective as of March 17, 2025*</w:t>
              </w:r>
            </w:hyperlink>
          </w:p>
        </w:tc>
        <w:tc>
          <w:tcPr>
            <w:tcW w:w="300" w:type="dxa"/>
            <w:vAlign w:val="bottom"/>
            <w:tcBorders>
              <w:right w:val="single" w:sz="8" w:color="auto"/>
            </w:tcBorders>
            <w:gridSpan w:val="7"/>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vMerge w:val="restart"/>
          </w:tcPr>
          <w:p>
            <w:pPr>
              <w:jc w:val="right"/>
              <w:ind w:right="72"/>
              <w:spacing w:after="0" w:line="161" w:lineRule="exact"/>
              <w:rPr>
                <w:sz w:val="20"/>
                <w:szCs w:val="20"/>
                <w:color w:val="auto"/>
              </w:rPr>
            </w:pPr>
            <w:r>
              <w:rPr>
                <w:rFonts w:ascii="Times New Roman" w:cs="Times New Roman" w:eastAsia="Times New Roman" w:hAnsi="Times New Roman"/>
                <w:sz w:val="14"/>
                <w:szCs w:val="14"/>
                <w:color w:val="auto"/>
              </w:rPr>
              <w:t>000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20859</w:t>
            </w: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20" w:type="dxa"/>
            <w:vAlign w:val="bottom"/>
          </w:tcPr>
          <w:p>
            <w:pPr>
              <w:spacing w:after="0"/>
              <w:rPr>
                <w:sz w:val="16"/>
                <w:szCs w:val="16"/>
                <w:color w:val="auto"/>
              </w:rPr>
            </w:pPr>
          </w:p>
        </w:tc>
        <w:tc>
          <w:tcPr>
            <w:tcW w:w="3060" w:type="dxa"/>
            <w:vAlign w:val="bottom"/>
            <w:tcBorders>
              <w:bottom w:val="single" w:sz="8" w:color="0000FF"/>
              <w:right w:val="single" w:sz="8" w:color="auto"/>
            </w:tcBorders>
            <w:gridSpan w:val="32"/>
          </w:tcPr>
          <w:p>
            <w:pPr>
              <w:spacing w:after="0"/>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Office Lease Agreement by and between Registrant</w:t>
              </w:r>
            </w:hyperlink>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October 15, 2019</w:t>
            </w:r>
          </w:p>
        </w:tc>
        <w:tc>
          <w:tcPr>
            <w:tcW w:w="860" w:type="dxa"/>
            <w:vAlign w:val="bottom"/>
            <w:tcBorders>
              <w:right w:val="single" w:sz="8" w:color="auto"/>
            </w:tcBorders>
            <w:vMerge w:val="continue"/>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right w:val="single" w:sz="8" w:color="auto"/>
            </w:tcBorders>
            <w:gridSpan w:val="31"/>
          </w:tcPr>
          <w:p>
            <w:pPr>
              <w:spacing w:after="0" w:line="152"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and Hudson Metro Center LLC, effective as of</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0000FF"/>
            </w:tcBorders>
            <w:gridSpan w:val="4"/>
          </w:tcPr>
          <w:p>
            <w:pPr>
              <w:spacing w:after="0" w:line="152" w:lineRule="exact"/>
              <w:rPr>
                <w:rFonts w:ascii="Times New Roman" w:cs="Times New Roman" w:eastAsia="Times New Roman" w:hAnsi="Times New Roman"/>
                <w:sz w:val="14"/>
                <w:szCs w:val="14"/>
                <w:color w:val="0000FF"/>
                <w:w w:val="97"/>
              </w:rPr>
            </w:pPr>
            <w:hyperlink r:id="rId294">
              <w:r>
                <w:rPr>
                  <w:rFonts w:ascii="Times New Roman" w:cs="Times New Roman" w:eastAsia="Times New Roman" w:hAnsi="Times New Roman"/>
                  <w:sz w:val="14"/>
                  <w:szCs w:val="14"/>
                  <w:color w:val="0000FF"/>
                  <w:w w:val="97"/>
                </w:rPr>
                <w:t>October 9, 2019</w:t>
              </w:r>
            </w:hyperlink>
          </w:p>
        </w:tc>
        <w:tc>
          <w:tcPr>
            <w:tcW w:w="2000" w:type="dxa"/>
            <w:vAlign w:val="bottom"/>
            <w:tcBorders>
              <w:right w:val="single" w:sz="8" w:color="auto"/>
            </w:tcBorders>
            <w:gridSpan w:val="27"/>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20" w:type="dxa"/>
            <w:vAlign w:val="bottom"/>
          </w:tcPr>
          <w:p>
            <w:pPr>
              <w:spacing w:after="0"/>
              <w:rPr>
                <w:sz w:val="16"/>
                <w:szCs w:val="16"/>
                <w:color w:val="auto"/>
              </w:rPr>
            </w:pPr>
          </w:p>
        </w:tc>
        <w:tc>
          <w:tcPr>
            <w:tcW w:w="2960" w:type="dxa"/>
            <w:vAlign w:val="bottom"/>
            <w:tcBorders>
              <w:bottom w:val="single" w:sz="8" w:color="0000FF"/>
            </w:tcBorders>
            <w:gridSpan w:val="30"/>
          </w:tcPr>
          <w:p>
            <w:pPr>
              <w:spacing w:after="0"/>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Loan Agreement, dated November 1, 2024, among</w:t>
              </w:r>
            </w:hyperlink>
          </w:p>
        </w:tc>
        <w:tc>
          <w:tcPr>
            <w:tcW w:w="100" w:type="dxa"/>
            <w:vAlign w:val="bottom"/>
            <w:tcBorders>
              <w:right w:val="single" w:sz="8" w:color="auto"/>
            </w:tcBorders>
            <w:gridSpan w:val="2"/>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February 26, 2025</w:t>
            </w:r>
          </w:p>
        </w:tc>
        <w:tc>
          <w:tcPr>
            <w:tcW w:w="8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Borders>
              <w:bottom w:val="single" w:sz="8" w:color="0000FF"/>
            </w:tcBorders>
            <w:gridSpan w:val="23"/>
          </w:tcPr>
          <w:p>
            <w:pPr>
              <w:spacing w:after="0" w:line="152"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Registrant, BioPharma Credit Investments V</w:t>
              </w:r>
            </w:hyperlink>
          </w:p>
        </w:tc>
        <w:tc>
          <w:tcPr>
            <w:tcW w:w="320" w:type="dxa"/>
            <w:vAlign w:val="bottom"/>
            <w:tcBorders>
              <w:right w:val="single" w:sz="8" w:color="auto"/>
            </w:tcBorders>
            <w:gridSpan w:val="8"/>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Borders>
              <w:bottom w:val="single" w:sz="8" w:color="0000FF"/>
            </w:tcBorders>
            <w:gridSpan w:val="23"/>
          </w:tcPr>
          <w:p>
            <w:pPr>
              <w:spacing w:after="0" w:line="152"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(Master) LP and BPCR Limited Partnership^</w:t>
              </w:r>
            </w:hyperlink>
          </w:p>
        </w:tc>
        <w:tc>
          <w:tcPr>
            <w:tcW w:w="320" w:type="dxa"/>
            <w:vAlign w:val="bottom"/>
            <w:tcBorders>
              <w:right w:val="single" w:sz="8" w:color="auto"/>
            </w:tcBorders>
            <w:gridSpan w:val="8"/>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10.34</w:t>
            </w:r>
          </w:p>
        </w:tc>
        <w:tc>
          <w:tcPr>
            <w:tcW w:w="20" w:type="dxa"/>
            <w:vAlign w:val="bottom"/>
          </w:tcPr>
          <w:p>
            <w:pPr>
              <w:spacing w:after="0"/>
              <w:rPr>
                <w:sz w:val="16"/>
                <w:szCs w:val="16"/>
                <w:color w:val="auto"/>
              </w:rPr>
            </w:pPr>
          </w:p>
        </w:tc>
        <w:tc>
          <w:tcPr>
            <w:tcW w:w="274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Revenue Participation Right Purchase and Sale</w:t>
              </w:r>
            </w:hyperlink>
          </w:p>
        </w:tc>
        <w:tc>
          <w:tcPr>
            <w:tcW w:w="320" w:type="dxa"/>
            <w:vAlign w:val="bottom"/>
            <w:tcBorders>
              <w:right w:val="single" w:sz="8" w:color="auto"/>
            </w:tcBorders>
            <w:gridSpan w:val="8"/>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February 26, 2025</w:t>
            </w:r>
          </w:p>
        </w:tc>
        <w:tc>
          <w:tcPr>
            <w:tcW w:w="8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Borders>
              <w:bottom w:val="single" w:sz="8" w:color="0000FF"/>
            </w:tcBorders>
            <w:gridSpan w:val="23"/>
          </w:tcPr>
          <w:p>
            <w:pPr>
              <w:spacing w:after="0" w:line="152"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Agreement, dated November 1, 2024, by and</w:t>
              </w:r>
            </w:hyperlink>
          </w:p>
        </w:tc>
        <w:tc>
          <w:tcPr>
            <w:tcW w:w="320" w:type="dxa"/>
            <w:vAlign w:val="bottom"/>
            <w:tcBorders>
              <w:right w:val="single" w:sz="8" w:color="auto"/>
            </w:tcBorders>
            <w:gridSpan w:val="8"/>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Borders>
              <w:bottom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between Registrant and Royalty Pharma</w:t>
              </w:r>
            </w:hyperlink>
          </w:p>
        </w:tc>
        <w:tc>
          <w:tcPr>
            <w:tcW w:w="580" w:type="dxa"/>
            <w:vAlign w:val="bottom"/>
            <w:tcBorders>
              <w:right w:val="single" w:sz="8" w:color="auto"/>
            </w:tcBorders>
            <w:gridSpan w:val="15"/>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right w:val="single" w:sz="8" w:color="auto"/>
            </w:tcBorders>
            <w:gridSpan w:val="31"/>
          </w:tcPr>
          <w:p>
            <w:pPr>
              <w:spacing w:after="0" w:line="152"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Development Funding, LLC^</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20" w:type="dxa"/>
            <w:vAlign w:val="bottom"/>
          </w:tcPr>
          <w:p>
            <w:pPr>
              <w:spacing w:after="0"/>
              <w:rPr>
                <w:sz w:val="16"/>
                <w:szCs w:val="16"/>
                <w:color w:val="auto"/>
              </w:rPr>
            </w:pPr>
          </w:p>
        </w:tc>
        <w:tc>
          <w:tcPr>
            <w:tcW w:w="25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First Amendment to Loan Agreement, dated</w:t>
            </w:r>
          </w:p>
        </w:tc>
        <w:tc>
          <w:tcPr>
            <w:tcW w:w="480" w:type="dxa"/>
            <w:vAlign w:val="bottom"/>
            <w:tcBorders>
              <w:right w:val="single" w:sz="8" w:color="auto"/>
            </w:tcBorders>
            <w:gridSpan w:val="14"/>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Borders>
              <w:bottom w:val="single" w:sz="8" w:color="0000FF"/>
            </w:tcBorders>
            <w:gridSpan w:val="14"/>
          </w:tcPr>
          <w:p>
            <w:pPr>
              <w:spacing w:after="0" w:line="152" w:lineRule="exact"/>
              <w:rPr>
                <w:sz w:val="20"/>
                <w:szCs w:val="20"/>
                <w:color w:val="auto"/>
              </w:rPr>
            </w:pPr>
            <w:r>
              <w:rPr>
                <w:rFonts w:ascii="Times New Roman" w:cs="Times New Roman" w:eastAsia="Times New Roman" w:hAnsi="Times New Roman"/>
                <w:sz w:val="14"/>
                <w:szCs w:val="14"/>
                <w:color w:val="0000FF"/>
              </w:rPr>
              <w:t>January 5, 2026, among the Registrant,</w:t>
            </w:r>
          </w:p>
        </w:tc>
        <w:tc>
          <w:tcPr>
            <w:tcW w:w="640" w:type="dxa"/>
            <w:vAlign w:val="bottom"/>
            <w:tcBorders>
              <w:right w:val="single" w:sz="8" w:color="auto"/>
            </w:tcBorders>
            <w:gridSpan w:val="17"/>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tcBorders>
              <w:bottom w:val="single" w:sz="8" w:color="0000FF"/>
            </w:tcBorders>
            <w:gridSpan w:val="26"/>
          </w:tcPr>
          <w:p>
            <w:pPr>
              <w:spacing w:after="0" w:line="152" w:lineRule="exact"/>
              <w:rPr>
                <w:sz w:val="20"/>
                <w:szCs w:val="20"/>
                <w:color w:val="auto"/>
              </w:rPr>
            </w:pPr>
            <w:r>
              <w:rPr>
                <w:rFonts w:ascii="Times New Roman" w:cs="Times New Roman" w:eastAsia="Times New Roman" w:hAnsi="Times New Roman"/>
                <w:sz w:val="14"/>
                <w:szCs w:val="14"/>
                <w:color w:val="0000FF"/>
              </w:rPr>
              <w:t>BioPharma Credit Investments V (Master) LO</w:t>
            </w:r>
          </w:p>
        </w:tc>
        <w:tc>
          <w:tcPr>
            <w:tcW w:w="220" w:type="dxa"/>
            <w:vAlign w:val="bottom"/>
            <w:tcBorders>
              <w:right w:val="single" w:sz="8" w:color="auto"/>
            </w:tcBorders>
            <w:gridSpan w:val="5"/>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right w:val="single" w:sz="8" w:color="auto"/>
            </w:tcBorders>
            <w:gridSpan w:val="31"/>
          </w:tcPr>
          <w:p>
            <w:pPr>
              <w:spacing w:after="0" w:line="152" w:lineRule="exact"/>
              <w:rPr>
                <w:sz w:val="20"/>
                <w:szCs w:val="20"/>
                <w:color w:val="auto"/>
              </w:rPr>
            </w:pPr>
            <w:r>
              <w:rPr>
                <w:rFonts w:ascii="Times New Roman" w:cs="Times New Roman" w:eastAsia="Times New Roman" w:hAnsi="Times New Roman"/>
                <w:sz w:val="14"/>
                <w:szCs w:val="14"/>
                <w:color w:val="0000FF"/>
              </w:rPr>
              <w:t>and BPCR Limited Partnership</w:t>
            </w: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10.37</w:t>
            </w:r>
          </w:p>
        </w:tc>
        <w:tc>
          <w:tcPr>
            <w:tcW w:w="20" w:type="dxa"/>
            <w:vAlign w:val="bottom"/>
          </w:tcPr>
          <w:p>
            <w:pPr>
              <w:spacing w:after="0"/>
              <w:rPr>
                <w:sz w:val="16"/>
                <w:szCs w:val="16"/>
                <w:color w:val="auto"/>
              </w:rPr>
            </w:pPr>
          </w:p>
        </w:tc>
        <w:tc>
          <w:tcPr>
            <w:tcW w:w="282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Amended and Restated Employment Agreement</w:t>
              </w:r>
            </w:hyperlink>
          </w:p>
        </w:tc>
        <w:tc>
          <w:tcPr>
            <w:tcW w:w="240" w:type="dxa"/>
            <w:vAlign w:val="bottom"/>
            <w:tcBorders>
              <w:right w:val="single" w:sz="8" w:color="auto"/>
            </w:tcBorders>
            <w:gridSpan w:val="6"/>
          </w:tcPr>
          <w:p>
            <w:pPr>
              <w:spacing w:after="0"/>
              <w:rPr>
                <w:sz w:val="16"/>
                <w:szCs w:val="16"/>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February 26, 2025</w:t>
            </w:r>
          </w:p>
        </w:tc>
        <w:tc>
          <w:tcPr>
            <w:tcW w:w="8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tcBorders>
              <w:bottom w:val="single" w:sz="8" w:color="0000FF"/>
            </w:tcBorders>
            <w:gridSpan w:val="22"/>
          </w:tcPr>
          <w:p>
            <w:pPr>
              <w:spacing w:after="0" w:line="152"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between the Registrant and John A. Scarlett,</w:t>
              </w:r>
            </w:hyperlink>
          </w:p>
        </w:tc>
        <w:tc>
          <w:tcPr>
            <w:tcW w:w="340" w:type="dxa"/>
            <w:vAlign w:val="bottom"/>
            <w:tcBorders>
              <w:right w:val="single" w:sz="8" w:color="auto"/>
            </w:tcBorders>
            <w:gridSpan w:val="9"/>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right w:val="single" w:sz="8" w:color="auto"/>
            </w:tcBorders>
            <w:gridSpan w:val="31"/>
          </w:tcPr>
          <w:p>
            <w:pPr>
              <w:spacing w:after="0" w:line="152"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M.D., effective as of January 31, 2019*</w:t>
              </w:r>
            </w:hyperlink>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10.39</w:t>
            </w:r>
          </w:p>
        </w:tc>
        <w:tc>
          <w:tcPr>
            <w:tcW w:w="20" w:type="dxa"/>
            <w:vAlign w:val="bottom"/>
          </w:tcPr>
          <w:p>
            <w:pPr>
              <w:spacing w:after="0"/>
              <w:rPr>
                <w:sz w:val="16"/>
                <w:szCs w:val="16"/>
                <w:color w:val="auto"/>
              </w:rPr>
            </w:pPr>
          </w:p>
        </w:tc>
        <w:tc>
          <w:tcPr>
            <w:tcW w:w="26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Employment Agreement by and between the</w:t>
            </w:r>
          </w:p>
        </w:tc>
        <w:tc>
          <w:tcPr>
            <w:tcW w:w="460" w:type="dxa"/>
            <w:vAlign w:val="bottom"/>
            <w:tcBorders>
              <w:right w:val="single" w:sz="8" w:color="auto"/>
            </w:tcBorders>
            <w:gridSpan w:val="13"/>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tcBorders>
              <w:bottom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4"/>
                <w:szCs w:val="14"/>
                <w:color w:val="0000FF"/>
              </w:rPr>
              <w:t>Registrant and Ahmed ElNawawi, effective</w:t>
            </w:r>
          </w:p>
        </w:tc>
        <w:tc>
          <w:tcPr>
            <w:tcW w:w="400" w:type="dxa"/>
            <w:vAlign w:val="bottom"/>
            <w:tcBorders>
              <w:right w:val="single" w:sz="8" w:color="auto"/>
            </w:tcBorders>
            <w:gridSpan w:val="10"/>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bottom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FF"/>
                <w:w w:val="98"/>
              </w:rPr>
              <w:t>October 20, 2025</w:t>
            </w:r>
          </w:p>
        </w:tc>
        <w:tc>
          <w:tcPr>
            <w:tcW w:w="1920" w:type="dxa"/>
            <w:vAlign w:val="bottom"/>
            <w:tcBorders>
              <w:right w:val="single" w:sz="8" w:color="auto"/>
            </w:tcBorders>
            <w:gridSpan w:val="25"/>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10.40</w:t>
            </w:r>
          </w:p>
        </w:tc>
        <w:tc>
          <w:tcPr>
            <w:tcW w:w="20" w:type="dxa"/>
            <w:vAlign w:val="bottom"/>
          </w:tcPr>
          <w:p>
            <w:pPr>
              <w:spacing w:after="0"/>
              <w:rPr>
                <w:sz w:val="16"/>
                <w:szCs w:val="16"/>
                <w:color w:val="auto"/>
              </w:rPr>
            </w:pPr>
          </w:p>
        </w:tc>
        <w:tc>
          <w:tcPr>
            <w:tcW w:w="3060" w:type="dxa"/>
            <w:vAlign w:val="bottom"/>
            <w:tcBorders>
              <w:bottom w:val="single" w:sz="8" w:color="0000FF"/>
              <w:right w:val="single" w:sz="8" w:color="auto"/>
            </w:tcBorders>
            <w:gridSpan w:val="32"/>
          </w:tcPr>
          <w:p>
            <w:pPr>
              <w:spacing w:after="0"/>
              <w:rPr>
                <w:sz w:val="20"/>
                <w:szCs w:val="20"/>
                <w:color w:val="auto"/>
              </w:rPr>
            </w:pPr>
            <w:r>
              <w:rPr>
                <w:rFonts w:ascii="Times New Roman" w:cs="Times New Roman" w:eastAsia="Times New Roman" w:hAnsi="Times New Roman"/>
                <w:sz w:val="14"/>
                <w:szCs w:val="14"/>
                <w:color w:val="0000FF"/>
              </w:rPr>
              <w:t>Employment Agreement between the Registrant and</w:t>
            </w:r>
          </w:p>
        </w:tc>
        <w:tc>
          <w:tcPr>
            <w:tcW w:w="7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Faye Feller, effective July 9, 2022</w:t>
            </w:r>
          </w:p>
        </w:tc>
        <w:tc>
          <w:tcPr>
            <w:tcW w:w="1100" w:type="dxa"/>
            <w:vAlign w:val="bottom"/>
            <w:tcBorders>
              <w:right w:val="single" w:sz="8" w:color="auto"/>
            </w:tcBorders>
            <w:gridSpan w:val="20"/>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19.1</w:t>
            </w:r>
          </w:p>
        </w:tc>
        <w:tc>
          <w:tcPr>
            <w:tcW w:w="20" w:type="dxa"/>
            <w:vAlign w:val="bottom"/>
          </w:tcPr>
          <w:p>
            <w:pPr>
              <w:spacing w:after="0"/>
              <w:rPr>
                <w:sz w:val="16"/>
                <w:szCs w:val="16"/>
                <w:color w:val="auto"/>
              </w:rPr>
            </w:pPr>
          </w:p>
        </w:tc>
        <w:tc>
          <w:tcPr>
            <w:tcW w:w="3060" w:type="dxa"/>
            <w:vAlign w:val="bottom"/>
            <w:tcBorders>
              <w:right w:val="single" w:sz="8" w:color="auto"/>
            </w:tcBorders>
            <w:gridSpan w:val="32"/>
          </w:tcPr>
          <w:p>
            <w:pPr>
              <w:spacing w:after="0"/>
              <w:rPr>
                <w:sz w:val="20"/>
                <w:szCs w:val="20"/>
                <w:color w:val="auto"/>
              </w:rPr>
            </w:pPr>
            <w:r>
              <w:rPr>
                <w:rFonts w:ascii="Times New Roman" w:cs="Times New Roman" w:eastAsia="Times New Roman" w:hAnsi="Times New Roman"/>
                <w:sz w:val="14"/>
                <w:szCs w:val="14"/>
                <w:color w:val="0000FF"/>
              </w:rPr>
              <w:t>Insider Trading Policy</w:t>
            </w:r>
          </w:p>
        </w:tc>
        <w:tc>
          <w:tcPr>
            <w:tcW w:w="7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80" w:type="dxa"/>
            <w:vAlign w:val="bottom"/>
            <w:tcBorders>
              <w:left w:val="single" w:sz="8" w:color="CCCCCC"/>
              <w:right w:val="single" w:sz="8" w:color="auto"/>
            </w:tcBorders>
            <w:vMerge w:val="restart"/>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180" w:type="dxa"/>
            <w:vAlign w:val="bottom"/>
            <w:tcBorders>
              <w:top w:val="single" w:sz="8" w:color="0000FF"/>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36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4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880" w:type="dxa"/>
            <w:vAlign w:val="bottom"/>
            <w:tcBorders>
              <w:left w:val="single" w:sz="8" w:color="CCCCCC"/>
              <w:right w:val="single" w:sz="8" w:color="auto"/>
            </w:tcBorders>
            <w:vMerge w:val="continue"/>
          </w:tcPr>
          <w:p>
            <w:pPr>
              <w:spacing w:after="0"/>
              <w:rPr>
                <w:sz w:val="9"/>
                <w:szCs w:val="9"/>
                <w:color w:val="auto"/>
              </w:rPr>
            </w:pPr>
          </w:p>
        </w:tc>
        <w:tc>
          <w:tcPr>
            <w:tcW w:w="64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21.1</w:t>
            </w:r>
          </w:p>
        </w:tc>
        <w:tc>
          <w:tcPr>
            <w:tcW w:w="20" w:type="dxa"/>
            <w:vAlign w:val="bottom"/>
          </w:tcPr>
          <w:p>
            <w:pPr>
              <w:spacing w:after="0"/>
              <w:rPr>
                <w:sz w:val="9"/>
                <w:szCs w:val="9"/>
                <w:color w:val="auto"/>
              </w:rPr>
            </w:pPr>
          </w:p>
        </w:tc>
        <w:tc>
          <w:tcPr>
            <w:tcW w:w="1120" w:type="dxa"/>
            <w:vAlign w:val="bottom"/>
            <w:tcBorders>
              <w:bottom w:val="single" w:sz="8" w:color="0000FF"/>
            </w:tcBorders>
            <w:gridSpan w:val="6"/>
          </w:tcPr>
          <w:p>
            <w:pPr>
              <w:spacing w:after="0" w:line="109" w:lineRule="exact"/>
              <w:rPr>
                <w:sz w:val="20"/>
                <w:szCs w:val="20"/>
                <w:color w:val="auto"/>
              </w:rPr>
            </w:pPr>
            <w:r>
              <w:rPr>
                <w:rFonts w:ascii="Times New Roman" w:cs="Times New Roman" w:eastAsia="Times New Roman" w:hAnsi="Times New Roman"/>
                <w:sz w:val="12"/>
                <w:szCs w:val="12"/>
                <w:color w:val="0000FF"/>
              </w:rPr>
              <w:t>List of Subsidiaries</w:t>
            </w:r>
          </w:p>
        </w:tc>
        <w:tc>
          <w:tcPr>
            <w:tcW w:w="1940" w:type="dxa"/>
            <w:vAlign w:val="bottom"/>
            <w:tcBorders>
              <w:right w:val="single" w:sz="8" w:color="auto"/>
            </w:tcBorders>
            <w:gridSpan w:val="26"/>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20" w:type="dxa"/>
            <w:vAlign w:val="bottom"/>
          </w:tcPr>
          <w:p>
            <w:pPr>
              <w:spacing w:after="0"/>
              <w:rPr>
                <w:sz w:val="16"/>
                <w:szCs w:val="16"/>
                <w:color w:val="auto"/>
              </w:rPr>
            </w:pPr>
          </w:p>
        </w:tc>
        <w:tc>
          <w:tcPr>
            <w:tcW w:w="2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w:t>
            </w:r>
          </w:p>
        </w:tc>
        <w:tc>
          <w:tcPr>
            <w:tcW w:w="600" w:type="dxa"/>
            <w:vAlign w:val="bottom"/>
            <w:tcBorders>
              <w:right w:val="single" w:sz="8" w:color="auto"/>
            </w:tcBorders>
            <w:gridSpan w:val="16"/>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right w:val="single" w:sz="8" w:color="auto"/>
            </w:tcBorders>
            <w:gridSpan w:val="31"/>
          </w:tcPr>
          <w:p>
            <w:pPr>
              <w:spacing w:after="0" w:line="152" w:lineRule="exact"/>
              <w:rPr>
                <w:sz w:val="20"/>
                <w:szCs w:val="20"/>
                <w:color w:val="auto"/>
              </w:rPr>
            </w:pPr>
            <w:r>
              <w:rPr>
                <w:rFonts w:ascii="Times New Roman" w:cs="Times New Roman" w:eastAsia="Times New Roman" w:hAnsi="Times New Roman"/>
                <w:sz w:val="14"/>
                <w:szCs w:val="14"/>
                <w:color w:val="0000FF"/>
              </w:rPr>
              <w:t>Accounting Firm</w:t>
            </w:r>
            <w:r>
              <w:rPr>
                <w:rFonts w:ascii="Times New Roman" w:cs="Times New Roman" w:eastAsia="Times New Roman" w:hAnsi="Times New Roman"/>
                <w:sz w:val="17"/>
                <w:szCs w:val="17"/>
                <w:u w:val="single" w:color="auto"/>
                <w:color w:val="0000FF"/>
                <w:vertAlign w:val="superscript"/>
              </w:rPr>
              <w:t>1</w:t>
            </w: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tcBorders>
              <w:left w:val="single" w:sz="8" w:color="CCCCCC"/>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top w:val="single" w:sz="8" w:color="0000FF"/>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36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4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880" w:type="dxa"/>
            <w:vAlign w:val="bottom"/>
            <w:tcBorders>
              <w:left w:val="single" w:sz="8" w:color="CCCCCC"/>
              <w:right w:val="single" w:sz="8" w:color="auto"/>
            </w:tcBorders>
          </w:tcPr>
          <w:p>
            <w:pPr>
              <w:spacing w:after="0"/>
              <w:rPr>
                <w:sz w:val="9"/>
                <w:szCs w:val="9"/>
                <w:color w:val="auto"/>
              </w:rPr>
            </w:pPr>
          </w:p>
        </w:tc>
        <w:tc>
          <w:tcPr>
            <w:tcW w:w="64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24.1</w:t>
            </w:r>
          </w:p>
        </w:tc>
        <w:tc>
          <w:tcPr>
            <w:tcW w:w="20" w:type="dxa"/>
            <w:vAlign w:val="bottom"/>
          </w:tcPr>
          <w:p>
            <w:pPr>
              <w:spacing w:after="0"/>
              <w:rPr>
                <w:sz w:val="9"/>
                <w:szCs w:val="9"/>
                <w:color w:val="auto"/>
              </w:rPr>
            </w:pPr>
          </w:p>
        </w:tc>
        <w:tc>
          <w:tcPr>
            <w:tcW w:w="3060" w:type="dxa"/>
            <w:vAlign w:val="bottom"/>
            <w:tcBorders>
              <w:right w:val="single" w:sz="8" w:color="auto"/>
            </w:tcBorders>
            <w:gridSpan w:val="32"/>
          </w:tcPr>
          <w:p>
            <w:pPr>
              <w:spacing w:after="0" w:line="109" w:lineRule="exact"/>
              <w:rPr>
                <w:sz w:val="20"/>
                <w:szCs w:val="20"/>
                <w:color w:val="auto"/>
              </w:rPr>
            </w:pPr>
            <w:r>
              <w:rPr>
                <w:rFonts w:ascii="Times New Roman" w:cs="Times New Roman" w:eastAsia="Times New Roman" w:hAnsi="Times New Roman"/>
                <w:sz w:val="12"/>
                <w:szCs w:val="12"/>
                <w:color w:val="0000FF"/>
              </w:rPr>
              <w:t>Power of Attorney (see signature page)</w:t>
            </w:r>
          </w:p>
        </w:tc>
        <w:tc>
          <w:tcPr>
            <w:tcW w:w="74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880" w:type="dxa"/>
            <w:vAlign w:val="bottom"/>
            <w:tcBorders>
              <w:left w:val="single" w:sz="8" w:color="CCCCCC"/>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180" w:type="dxa"/>
            <w:vAlign w:val="bottom"/>
            <w:tcBorders>
              <w:top w:val="single" w:sz="8" w:color="0000FF"/>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36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38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10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4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880" w:type="dxa"/>
            <w:vAlign w:val="bottom"/>
            <w:tcBorders>
              <w:left w:val="single" w:sz="8" w:color="CCCCCC"/>
              <w:right w:val="single" w:sz="8" w:color="auto"/>
            </w:tcBorders>
          </w:tcPr>
          <w:p>
            <w:pPr>
              <w:spacing w:after="0"/>
              <w:rPr>
                <w:sz w:val="9"/>
                <w:szCs w:val="9"/>
                <w:color w:val="auto"/>
              </w:rPr>
            </w:pPr>
          </w:p>
        </w:tc>
        <w:tc>
          <w:tcPr>
            <w:tcW w:w="64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31.1</w:t>
            </w:r>
          </w:p>
        </w:tc>
        <w:tc>
          <w:tcPr>
            <w:tcW w:w="20" w:type="dxa"/>
            <w:vAlign w:val="bottom"/>
          </w:tcPr>
          <w:p>
            <w:pPr>
              <w:spacing w:after="0"/>
              <w:rPr>
                <w:sz w:val="9"/>
                <w:szCs w:val="9"/>
                <w:color w:val="auto"/>
              </w:rPr>
            </w:pPr>
          </w:p>
        </w:tc>
        <w:tc>
          <w:tcPr>
            <w:tcW w:w="3060" w:type="dxa"/>
            <w:vAlign w:val="bottom"/>
            <w:tcBorders>
              <w:right w:val="single" w:sz="8" w:color="auto"/>
            </w:tcBorders>
            <w:gridSpan w:val="32"/>
          </w:tcPr>
          <w:p>
            <w:pPr>
              <w:spacing w:after="0" w:line="109" w:lineRule="exact"/>
              <w:rPr>
                <w:sz w:val="20"/>
                <w:szCs w:val="20"/>
                <w:color w:val="auto"/>
              </w:rPr>
            </w:pPr>
            <w:r>
              <w:rPr>
                <w:rFonts w:ascii="Times New Roman" w:cs="Times New Roman" w:eastAsia="Times New Roman" w:hAnsi="Times New Roman"/>
                <w:sz w:val="12"/>
                <w:szCs w:val="12"/>
                <w:color w:val="0000FF"/>
              </w:rPr>
              <w:t>Certification of Chief Executive Officer pursuant to</w:t>
            </w:r>
          </w:p>
        </w:tc>
        <w:tc>
          <w:tcPr>
            <w:tcW w:w="74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740" w:type="dxa"/>
            <w:vAlign w:val="bottom"/>
            <w:tcBorders>
              <w:top w:val="single" w:sz="8" w:color="0000FF"/>
              <w:bottom w:val="single" w:sz="8" w:color="0000FF"/>
            </w:tcBorders>
            <w:gridSpan w:val="28"/>
          </w:tcPr>
          <w:p>
            <w:pPr>
              <w:spacing w:after="0" w:line="152" w:lineRule="exact"/>
              <w:rPr>
                <w:sz w:val="20"/>
                <w:szCs w:val="20"/>
                <w:color w:val="auto"/>
              </w:rPr>
            </w:pPr>
            <w:r>
              <w:rPr>
                <w:rFonts w:ascii="Times New Roman" w:cs="Times New Roman" w:eastAsia="Times New Roman" w:hAnsi="Times New Roman"/>
                <w:sz w:val="14"/>
                <w:szCs w:val="14"/>
                <w:color w:val="0000FF"/>
              </w:rPr>
              <w:t>Form of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as adopted pursuant to</w:t>
            </w:r>
          </w:p>
        </w:tc>
        <w:tc>
          <w:tcPr>
            <w:tcW w:w="160" w:type="dxa"/>
            <w:vAlign w:val="bottom"/>
            <w:tcBorders>
              <w:top w:val="single" w:sz="8" w:color="0000FF"/>
              <w:right w:val="single" w:sz="8" w:color="auto"/>
            </w:tcBorders>
            <w:gridSpan w:val="3"/>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right w:val="single" w:sz="8" w:color="auto"/>
            </w:tcBorders>
            <w:gridSpan w:val="31"/>
          </w:tcPr>
          <w:p>
            <w:pPr>
              <w:spacing w:after="0" w:line="152" w:lineRule="exact"/>
              <w:rPr>
                <w:sz w:val="20"/>
                <w:szCs w:val="20"/>
                <w:color w:val="auto"/>
              </w:rPr>
            </w:pPr>
            <w:r>
              <w:rPr>
                <w:rFonts w:ascii="Times New Roman" w:cs="Times New Roman" w:eastAsia="Times New Roman" w:hAnsi="Times New Roman"/>
                <w:sz w:val="14"/>
                <w:szCs w:val="14"/>
                <w:color w:val="0000FF"/>
              </w:rPr>
              <w:t>Section 302(a)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 2002</w:t>
            </w: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CCCCCC"/>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gridSpan w:val="12"/>
            <w:shd w:val="clear" w:color="auto" w:fill="0000FF"/>
          </w:tcPr>
          <w:p>
            <w:pPr>
              <w:spacing w:after="0" w:line="20" w:lineRule="exact"/>
              <w:rPr>
                <w:sz w:val="1"/>
                <w:szCs w:val="1"/>
                <w:color w:val="auto"/>
              </w:rPr>
            </w:pPr>
          </w:p>
        </w:tc>
        <w:tc>
          <w:tcPr>
            <w:tcW w:w="240" w:type="dxa"/>
            <w:vAlign w:val="bottom"/>
            <w:gridSpan w:val="7"/>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auto"/>
            </w:tcBorders>
            <w:shd w:val="clear" w:color="auto" w:fill="0000FF"/>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20" w:type="dxa"/>
            <w:vAlign w:val="bottom"/>
          </w:tcPr>
          <w:p>
            <w:pPr>
              <w:spacing w:after="0"/>
              <w:rPr>
                <w:sz w:val="16"/>
                <w:szCs w:val="16"/>
                <w:color w:val="auto"/>
              </w:rPr>
            </w:pPr>
          </w:p>
        </w:tc>
        <w:tc>
          <w:tcPr>
            <w:tcW w:w="3060" w:type="dxa"/>
            <w:vAlign w:val="bottom"/>
            <w:tcBorders>
              <w:right w:val="single" w:sz="8" w:color="auto"/>
            </w:tcBorders>
            <w:gridSpan w:val="3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w:t>
            </w:r>
          </w:p>
        </w:tc>
        <w:tc>
          <w:tcPr>
            <w:tcW w:w="7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740" w:type="dxa"/>
            <w:vAlign w:val="bottom"/>
            <w:tcBorders>
              <w:top w:val="single" w:sz="8" w:color="0000FF"/>
              <w:bottom w:val="single" w:sz="8" w:color="0000FF"/>
            </w:tcBorders>
            <w:gridSpan w:val="28"/>
          </w:tcPr>
          <w:p>
            <w:pPr>
              <w:spacing w:after="0" w:line="152" w:lineRule="exact"/>
              <w:rPr>
                <w:sz w:val="20"/>
                <w:szCs w:val="20"/>
                <w:color w:val="auto"/>
              </w:rPr>
            </w:pPr>
            <w:r>
              <w:rPr>
                <w:rFonts w:ascii="Times New Roman" w:cs="Times New Roman" w:eastAsia="Times New Roman" w:hAnsi="Times New Roman"/>
                <w:sz w:val="14"/>
                <w:szCs w:val="14"/>
                <w:color w:val="0000FF"/>
              </w:rPr>
              <w:t>Form of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as adopted pursuant to</w:t>
            </w: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bottom w:val="single" w:sz="8" w:color="0000FF"/>
              <w:right w:val="single" w:sz="8" w:color="auto"/>
            </w:tcBorders>
            <w:gridSpan w:val="31"/>
          </w:tcPr>
          <w:p>
            <w:pPr>
              <w:spacing w:after="0" w:line="152" w:lineRule="exact"/>
              <w:rPr>
                <w:sz w:val="20"/>
                <w:szCs w:val="20"/>
                <w:color w:val="auto"/>
              </w:rPr>
            </w:pPr>
            <w:r>
              <w:rPr>
                <w:rFonts w:ascii="Times New Roman" w:cs="Times New Roman" w:eastAsia="Times New Roman" w:hAnsi="Times New Roman"/>
                <w:sz w:val="14"/>
                <w:szCs w:val="14"/>
                <w:color w:val="0000FF"/>
              </w:rPr>
              <w:t>Section 302(a)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 2002</w:t>
            </w: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20" w:type="dxa"/>
            <w:vAlign w:val="bottom"/>
          </w:tcPr>
          <w:p>
            <w:pPr>
              <w:spacing w:after="0"/>
              <w:rPr>
                <w:sz w:val="16"/>
                <w:szCs w:val="16"/>
                <w:color w:val="auto"/>
              </w:rPr>
            </w:pPr>
          </w:p>
        </w:tc>
        <w:tc>
          <w:tcPr>
            <w:tcW w:w="3060" w:type="dxa"/>
            <w:vAlign w:val="bottom"/>
            <w:tcBorders>
              <w:bottom w:val="single" w:sz="8" w:color="0000FF"/>
              <w:right w:val="single" w:sz="8" w:color="auto"/>
            </w:tcBorders>
            <w:gridSpan w:val="3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w:t>
            </w:r>
          </w:p>
        </w:tc>
        <w:tc>
          <w:tcPr>
            <w:tcW w:w="7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tcBorders>
              <w:bottom w:val="single" w:sz="8" w:color="0000FF"/>
            </w:tcBorders>
            <w:gridSpan w:val="27"/>
          </w:tcPr>
          <w:p>
            <w:pPr>
              <w:spacing w:after="0" w:line="152" w:lineRule="exact"/>
              <w:rPr>
                <w:sz w:val="20"/>
                <w:szCs w:val="20"/>
                <w:color w:val="auto"/>
              </w:rPr>
            </w:pPr>
            <w:r>
              <w:rPr>
                <w:rFonts w:ascii="Times New Roman" w:cs="Times New Roman" w:eastAsia="Times New Roman" w:hAnsi="Times New Roman"/>
                <w:sz w:val="14"/>
                <w:szCs w:val="14"/>
                <w:color w:val="0000FF"/>
              </w:rPr>
              <w:t>18 U.S.C. Section 1350, as adopted pursuant to</w:t>
            </w:r>
          </w:p>
        </w:tc>
        <w:tc>
          <w:tcPr>
            <w:tcW w:w="180" w:type="dxa"/>
            <w:vAlign w:val="bottom"/>
            <w:tcBorders>
              <w:right w:val="single" w:sz="8" w:color="auto"/>
            </w:tcBorders>
            <w:gridSpan w:val="4"/>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tcBorders>
              <w:bottom w:val="single" w:sz="8" w:color="0000FF"/>
            </w:tcBorders>
            <w:gridSpan w:val="30"/>
          </w:tcPr>
          <w:p>
            <w:pPr>
              <w:spacing w:after="0" w:line="152" w:lineRule="exact"/>
              <w:rPr>
                <w:sz w:val="20"/>
                <w:szCs w:val="20"/>
                <w:color w:val="auto"/>
              </w:rPr>
            </w:pPr>
            <w:r>
              <w:rPr>
                <w:rFonts w:ascii="Times New Roman" w:cs="Times New Roman" w:eastAsia="Times New Roman" w:hAnsi="Times New Roman"/>
                <w:sz w:val="14"/>
                <w:szCs w:val="14"/>
                <w:color w:val="0000FF"/>
              </w:rPr>
              <w:t>Section 906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 2002**</w:t>
            </w:r>
          </w:p>
        </w:tc>
        <w:tc>
          <w:tcPr>
            <w:tcW w:w="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80" w:type="dxa"/>
            <w:vAlign w:val="bottom"/>
            <w:tcBorders>
              <w:left w:val="single" w:sz="8" w:color="CCCCCC"/>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20" w:type="dxa"/>
            <w:vAlign w:val="bottom"/>
          </w:tcPr>
          <w:p>
            <w:pPr>
              <w:spacing w:after="0"/>
              <w:rPr>
                <w:sz w:val="16"/>
                <w:szCs w:val="16"/>
                <w:color w:val="auto"/>
              </w:rPr>
            </w:pPr>
          </w:p>
        </w:tc>
        <w:tc>
          <w:tcPr>
            <w:tcW w:w="29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w:t>
            </w:r>
          </w:p>
        </w:tc>
        <w:tc>
          <w:tcPr>
            <w:tcW w:w="100" w:type="dxa"/>
            <w:vAlign w:val="bottom"/>
            <w:tcBorders>
              <w:right w:val="single" w:sz="8" w:color="auto"/>
            </w:tcBorders>
            <w:gridSpan w:val="2"/>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tcBorders>
              <w:bottom w:val="single" w:sz="8" w:color="0000FF"/>
            </w:tcBorders>
            <w:gridSpan w:val="27"/>
          </w:tcPr>
          <w:p>
            <w:pPr>
              <w:spacing w:after="0" w:line="152" w:lineRule="exact"/>
              <w:rPr>
                <w:sz w:val="20"/>
                <w:szCs w:val="20"/>
                <w:color w:val="auto"/>
              </w:rPr>
            </w:pPr>
            <w:r>
              <w:rPr>
                <w:rFonts w:ascii="Times New Roman" w:cs="Times New Roman" w:eastAsia="Times New Roman" w:hAnsi="Times New Roman"/>
                <w:sz w:val="14"/>
                <w:szCs w:val="14"/>
                <w:color w:val="0000FF"/>
              </w:rPr>
              <w:t>18 U.S.C. Section 1350, as adopted pursuant to</w:t>
            </w:r>
          </w:p>
        </w:tc>
        <w:tc>
          <w:tcPr>
            <w:tcW w:w="180" w:type="dxa"/>
            <w:vAlign w:val="bottom"/>
            <w:tcBorders>
              <w:right w:val="single" w:sz="8" w:color="auto"/>
            </w:tcBorders>
            <w:gridSpan w:val="4"/>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CCCCCC"/>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right w:val="single" w:sz="8" w:color="auto"/>
            </w:tcBorders>
            <w:gridSpan w:val="31"/>
          </w:tcPr>
          <w:p>
            <w:pPr>
              <w:spacing w:after="0" w:line="152" w:lineRule="exact"/>
              <w:rPr>
                <w:sz w:val="20"/>
                <w:szCs w:val="20"/>
                <w:color w:val="auto"/>
              </w:rPr>
            </w:pPr>
            <w:r>
              <w:rPr>
                <w:rFonts w:ascii="Times New Roman" w:cs="Times New Roman" w:eastAsia="Times New Roman" w:hAnsi="Times New Roman"/>
                <w:sz w:val="14"/>
                <w:szCs w:val="14"/>
                <w:color w:val="0000FF"/>
              </w:rPr>
              <w:t>Section 906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 2002**</w:t>
            </w:r>
          </w:p>
        </w:tc>
        <w:tc>
          <w:tcPr>
            <w:tcW w:w="74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8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80" w:type="dxa"/>
            <w:vAlign w:val="bottom"/>
            <w:tcBorders>
              <w:left w:val="single" w:sz="8" w:color="CCCCCC"/>
              <w:right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top w:val="single" w:sz="8" w:color="0000FF"/>
              <w:bottom w:val="single" w:sz="8" w:color="auto"/>
            </w:tcBorders>
          </w:tcPr>
          <w:p>
            <w:pPr>
              <w:spacing w:after="0"/>
              <w:rPr>
                <w:sz w:val="9"/>
                <w:szCs w:val="9"/>
                <w:color w:val="auto"/>
              </w:rPr>
            </w:pPr>
          </w:p>
        </w:tc>
        <w:tc>
          <w:tcPr>
            <w:tcW w:w="300" w:type="dxa"/>
            <w:vAlign w:val="bottom"/>
            <w:tcBorders>
              <w:top w:val="single" w:sz="8" w:color="0000FF"/>
              <w:bottom w:val="single" w:sz="8" w:color="auto"/>
            </w:tcBorders>
          </w:tcPr>
          <w:p>
            <w:pPr>
              <w:spacing w:after="0"/>
              <w:rPr>
                <w:sz w:val="9"/>
                <w:szCs w:val="9"/>
                <w:color w:val="auto"/>
              </w:rPr>
            </w:pPr>
          </w:p>
        </w:tc>
        <w:tc>
          <w:tcPr>
            <w:tcW w:w="360" w:type="dxa"/>
            <w:vAlign w:val="bottom"/>
            <w:tcBorders>
              <w:top w:val="single" w:sz="8" w:color="0000FF"/>
              <w:bottom w:val="single" w:sz="8" w:color="auto"/>
            </w:tcBorders>
          </w:tcPr>
          <w:p>
            <w:pPr>
              <w:spacing w:after="0"/>
              <w:rPr>
                <w:sz w:val="9"/>
                <w:szCs w:val="9"/>
                <w:color w:val="auto"/>
              </w:rPr>
            </w:pPr>
          </w:p>
        </w:tc>
        <w:tc>
          <w:tcPr>
            <w:tcW w:w="60" w:type="dxa"/>
            <w:vAlign w:val="bottom"/>
            <w:tcBorders>
              <w:top w:val="single" w:sz="8" w:color="0000FF"/>
              <w:bottom w:val="single" w:sz="8" w:color="auto"/>
            </w:tcBorders>
          </w:tcPr>
          <w:p>
            <w:pPr>
              <w:spacing w:after="0"/>
              <w:rPr>
                <w:sz w:val="9"/>
                <w:szCs w:val="9"/>
                <w:color w:val="auto"/>
              </w:rPr>
            </w:pPr>
          </w:p>
        </w:tc>
        <w:tc>
          <w:tcPr>
            <w:tcW w:w="6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140" w:type="dxa"/>
            <w:vAlign w:val="bottom"/>
            <w:tcBorders>
              <w:top w:val="single" w:sz="8" w:color="0000FF"/>
              <w:bottom w:val="single" w:sz="8" w:color="auto"/>
            </w:tcBorders>
          </w:tcPr>
          <w:p>
            <w:pPr>
              <w:spacing w:after="0"/>
              <w:rPr>
                <w:sz w:val="9"/>
                <w:szCs w:val="9"/>
                <w:color w:val="auto"/>
              </w:rPr>
            </w:pPr>
          </w:p>
        </w:tc>
        <w:tc>
          <w:tcPr>
            <w:tcW w:w="380" w:type="dxa"/>
            <w:vAlign w:val="bottom"/>
            <w:tcBorders>
              <w:top w:val="single" w:sz="8" w:color="0000FF"/>
              <w:bottom w:val="single" w:sz="8" w:color="auto"/>
            </w:tcBorders>
          </w:tcPr>
          <w:p>
            <w:pPr>
              <w:spacing w:after="0"/>
              <w:rPr>
                <w:sz w:val="9"/>
                <w:szCs w:val="9"/>
                <w:color w:val="auto"/>
              </w:rPr>
            </w:pPr>
          </w:p>
        </w:tc>
        <w:tc>
          <w:tcPr>
            <w:tcW w:w="160" w:type="dxa"/>
            <w:vAlign w:val="bottom"/>
            <w:tcBorders>
              <w:top w:val="single" w:sz="8" w:color="0000FF"/>
              <w:bottom w:val="single" w:sz="8" w:color="auto"/>
            </w:tcBorders>
          </w:tcPr>
          <w:p>
            <w:pPr>
              <w:spacing w:after="0"/>
              <w:rPr>
                <w:sz w:val="9"/>
                <w:szCs w:val="9"/>
                <w:color w:val="auto"/>
              </w:rPr>
            </w:pPr>
          </w:p>
        </w:tc>
        <w:tc>
          <w:tcPr>
            <w:tcW w:w="100" w:type="dxa"/>
            <w:vAlign w:val="bottom"/>
            <w:tcBorders>
              <w:top w:val="single" w:sz="8" w:color="0000FF"/>
              <w:bottom w:val="single" w:sz="8" w:color="auto"/>
            </w:tcBorders>
          </w:tcPr>
          <w:p>
            <w:pPr>
              <w:spacing w:after="0"/>
              <w:rPr>
                <w:sz w:val="9"/>
                <w:szCs w:val="9"/>
                <w:color w:val="auto"/>
              </w:rPr>
            </w:pPr>
          </w:p>
        </w:tc>
        <w:tc>
          <w:tcPr>
            <w:tcW w:w="40" w:type="dxa"/>
            <w:vAlign w:val="bottom"/>
            <w:tcBorders>
              <w:top w:val="single" w:sz="8" w:color="0000FF"/>
              <w:bottom w:val="single" w:sz="8" w:color="auto"/>
            </w:tcBorders>
          </w:tcPr>
          <w:p>
            <w:pPr>
              <w:spacing w:after="0"/>
              <w:rPr>
                <w:sz w:val="9"/>
                <w:szCs w:val="9"/>
                <w:color w:val="auto"/>
              </w:rPr>
            </w:pPr>
          </w:p>
        </w:tc>
        <w:tc>
          <w:tcPr>
            <w:tcW w:w="280" w:type="dxa"/>
            <w:vAlign w:val="bottom"/>
            <w:tcBorders>
              <w:top w:val="single" w:sz="8" w:color="0000FF"/>
              <w:bottom w:val="single" w:sz="8" w:color="auto"/>
            </w:tcBorders>
          </w:tcPr>
          <w:p>
            <w:pPr>
              <w:spacing w:after="0"/>
              <w:rPr>
                <w:sz w:val="9"/>
                <w:szCs w:val="9"/>
                <w:color w:val="auto"/>
              </w:rPr>
            </w:pPr>
          </w:p>
        </w:tc>
        <w:tc>
          <w:tcPr>
            <w:tcW w:w="16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4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10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6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6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40" w:type="dxa"/>
            <w:vAlign w:val="bottom"/>
            <w:tcBorders>
              <w:top w:val="single" w:sz="8" w:color="0000FF"/>
              <w:bottom w:val="single" w:sz="8" w:color="auto"/>
            </w:tcBorders>
          </w:tcPr>
          <w:p>
            <w:pPr>
              <w:spacing w:after="0"/>
              <w:rPr>
                <w:sz w:val="9"/>
                <w:szCs w:val="9"/>
                <w:color w:val="auto"/>
              </w:rPr>
            </w:pPr>
          </w:p>
        </w:tc>
        <w:tc>
          <w:tcPr>
            <w:tcW w:w="20" w:type="dxa"/>
            <w:vAlign w:val="bottom"/>
            <w:tcBorders>
              <w:top w:val="single" w:sz="8" w:color="0000FF"/>
              <w:bottom w:val="single" w:sz="8" w:color="auto"/>
            </w:tcBorders>
          </w:tcPr>
          <w:p>
            <w:pPr>
              <w:spacing w:after="0"/>
              <w:rPr>
                <w:sz w:val="9"/>
                <w:szCs w:val="9"/>
                <w:color w:val="auto"/>
              </w:rPr>
            </w:pPr>
          </w:p>
        </w:tc>
        <w:tc>
          <w:tcPr>
            <w:tcW w:w="60" w:type="dxa"/>
            <w:vAlign w:val="bottom"/>
            <w:tcBorders>
              <w:top w:val="single" w:sz="8" w:color="0000FF"/>
              <w:bottom w:val="single" w:sz="8" w:color="auto"/>
            </w:tcBorders>
          </w:tcPr>
          <w:p>
            <w:pPr>
              <w:spacing w:after="0"/>
              <w:rPr>
                <w:sz w:val="9"/>
                <w:szCs w:val="9"/>
                <w:color w:val="auto"/>
              </w:rPr>
            </w:pPr>
          </w:p>
        </w:tc>
        <w:tc>
          <w:tcPr>
            <w:tcW w:w="40" w:type="dxa"/>
            <w:vAlign w:val="bottom"/>
            <w:tcBorders>
              <w:top w:val="single" w:sz="8" w:color="0000FF"/>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84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CCCCCC"/>
              <w:right w:val="single" w:sz="8" w:color="auto"/>
            </w:tcBorders>
          </w:tcPr>
          <w:p>
            <w:pPr>
              <w:spacing w:after="0"/>
              <w:rPr>
                <w:sz w:val="10"/>
                <w:szCs w:val="10"/>
                <w:color w:val="auto"/>
              </w:rPr>
            </w:pPr>
          </w:p>
        </w:tc>
        <w:tc>
          <w:tcPr>
            <w:tcW w:w="640" w:type="dxa"/>
            <w:vAlign w:val="bottom"/>
            <w:tcBorders>
              <w:right w:val="single" w:sz="8" w:color="auto"/>
            </w:tcBorders>
          </w:tcPr>
          <w:p>
            <w:pPr>
              <w:jc w:val="right"/>
              <w:ind w:right="555"/>
              <w:spacing w:after="0"/>
              <w:rPr>
                <w:sz w:val="20"/>
                <w:szCs w:val="20"/>
                <w:color w:val="auto"/>
              </w:rPr>
            </w:pPr>
            <w:r>
              <w:rPr>
                <w:rFonts w:ascii="Times New Roman" w:cs="Times New Roman" w:eastAsia="Times New Roman" w:hAnsi="Times New Roman"/>
                <w:sz w:val="1"/>
                <w:szCs w:val="1"/>
                <w:color w:val="auto"/>
                <w:w w:val="4294967286"/>
              </w:rPr>
              <w:t>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4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880" w:type="dxa"/>
            <w:vAlign w:val="bottom"/>
            <w:tcBorders>
              <w:left w:val="single" w:sz="8" w:color="CCCCCC"/>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80" w:type="dxa"/>
            <w:vAlign w:val="bottom"/>
            <w:tcBorders>
              <w:left w:val="single" w:sz="8" w:color="CCCCCC"/>
              <w:bottom w:val="single" w:sz="8" w:color="CCCCCC"/>
            </w:tcBorders>
          </w:tcPr>
          <w:p>
            <w:pPr>
              <w:spacing w:after="0"/>
              <w:rPr>
                <w:sz w:val="24"/>
                <w:szCs w:val="24"/>
                <w:color w:val="auto"/>
              </w:rPr>
            </w:pPr>
          </w:p>
        </w:tc>
        <w:tc>
          <w:tcPr>
            <w:tcW w:w="64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160" w:type="dxa"/>
            <w:vAlign w:val="bottom"/>
            <w:tcBorders>
              <w:bottom w:val="single" w:sz="8" w:color="CCCCCC"/>
            </w:tcBorders>
          </w:tcPr>
          <w:p>
            <w:pPr>
              <w:spacing w:after="0"/>
              <w:rPr>
                <w:sz w:val="24"/>
                <w:szCs w:val="24"/>
                <w:color w:val="auto"/>
              </w:rPr>
            </w:pPr>
          </w:p>
        </w:tc>
        <w:tc>
          <w:tcPr>
            <w:tcW w:w="180" w:type="dxa"/>
            <w:vAlign w:val="bottom"/>
            <w:tcBorders>
              <w:bottom w:val="single" w:sz="8" w:color="CCCCCC"/>
            </w:tcBorders>
          </w:tcPr>
          <w:p>
            <w:pPr>
              <w:spacing w:after="0"/>
              <w:rPr>
                <w:sz w:val="24"/>
                <w:szCs w:val="24"/>
                <w:color w:val="auto"/>
              </w:rPr>
            </w:pPr>
          </w:p>
        </w:tc>
        <w:tc>
          <w:tcPr>
            <w:tcW w:w="300" w:type="dxa"/>
            <w:vAlign w:val="bottom"/>
            <w:tcBorders>
              <w:bottom w:val="single" w:sz="8" w:color="CCCCCC"/>
            </w:tcBorders>
          </w:tcPr>
          <w:p>
            <w:pPr>
              <w:spacing w:after="0"/>
              <w:rPr>
                <w:sz w:val="24"/>
                <w:szCs w:val="24"/>
                <w:color w:val="auto"/>
              </w:rPr>
            </w:pPr>
          </w:p>
        </w:tc>
        <w:tc>
          <w:tcPr>
            <w:tcW w:w="36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140" w:type="dxa"/>
            <w:vAlign w:val="bottom"/>
            <w:tcBorders>
              <w:bottom w:val="single" w:sz="8" w:color="CCCCCC"/>
            </w:tcBorders>
          </w:tcPr>
          <w:p>
            <w:pPr>
              <w:spacing w:after="0"/>
              <w:rPr>
                <w:sz w:val="24"/>
                <w:szCs w:val="24"/>
                <w:color w:val="auto"/>
              </w:rPr>
            </w:pPr>
          </w:p>
        </w:tc>
        <w:tc>
          <w:tcPr>
            <w:tcW w:w="380" w:type="dxa"/>
            <w:vAlign w:val="bottom"/>
            <w:tcBorders>
              <w:bottom w:val="single" w:sz="8" w:color="CCCCCC"/>
            </w:tcBorders>
          </w:tcPr>
          <w:p>
            <w:pPr>
              <w:spacing w:after="0"/>
              <w:rPr>
                <w:sz w:val="24"/>
                <w:szCs w:val="24"/>
                <w:color w:val="auto"/>
              </w:rPr>
            </w:pPr>
          </w:p>
        </w:tc>
        <w:tc>
          <w:tcPr>
            <w:tcW w:w="16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80" w:type="dxa"/>
            <w:vAlign w:val="bottom"/>
            <w:tcBorders>
              <w:bottom w:val="single" w:sz="8" w:color="CCCCCC"/>
            </w:tcBorders>
          </w:tcPr>
          <w:p>
            <w:pPr>
              <w:spacing w:after="0"/>
              <w:rPr>
                <w:sz w:val="24"/>
                <w:szCs w:val="24"/>
                <w:color w:val="auto"/>
              </w:rPr>
            </w:pPr>
          </w:p>
        </w:tc>
        <w:tc>
          <w:tcPr>
            <w:tcW w:w="16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740" w:type="dxa"/>
            <w:vAlign w:val="bottom"/>
            <w:tcBorders>
              <w:bottom w:val="single" w:sz="8" w:color="CCCCCC"/>
            </w:tcBorders>
          </w:tcPr>
          <w:p>
            <w:pPr>
              <w:spacing w:after="0"/>
              <w:rPr>
                <w:sz w:val="24"/>
                <w:szCs w:val="24"/>
                <w:color w:val="auto"/>
              </w:rPr>
            </w:pPr>
          </w:p>
        </w:tc>
        <w:tc>
          <w:tcPr>
            <w:tcW w:w="500" w:type="dxa"/>
            <w:vAlign w:val="bottom"/>
            <w:tcBorders>
              <w:bottom w:val="single" w:sz="8" w:color="CCCCCC"/>
            </w:tcBorders>
          </w:tcPr>
          <w:p>
            <w:pPr>
              <w:spacing w:after="0"/>
              <w:rPr>
                <w:sz w:val="24"/>
                <w:szCs w:val="24"/>
                <w:color w:val="auto"/>
              </w:rPr>
            </w:pPr>
          </w:p>
        </w:tc>
        <w:tc>
          <w:tcPr>
            <w:tcW w:w="1260" w:type="dxa"/>
            <w:vAlign w:val="bottom"/>
            <w:tcBorders>
              <w:bottom w:val="single" w:sz="8" w:color="CCCCCC"/>
            </w:tcBorders>
          </w:tcPr>
          <w:p>
            <w:pPr>
              <w:spacing w:after="0"/>
              <w:rPr>
                <w:sz w:val="24"/>
                <w:szCs w:val="24"/>
                <w:color w:val="auto"/>
              </w:rPr>
            </w:pPr>
          </w:p>
        </w:tc>
        <w:tc>
          <w:tcPr>
            <w:tcW w:w="860" w:type="dxa"/>
            <w:vAlign w:val="bottom"/>
            <w:tcBorders>
              <w:bottom w:val="single" w:sz="8" w:color="CCCCCC"/>
            </w:tcBorders>
          </w:tcPr>
          <w:p>
            <w:pPr>
              <w:spacing w:after="0"/>
              <w:rPr>
                <w:sz w:val="24"/>
                <w:szCs w:val="24"/>
                <w:color w:val="auto"/>
              </w:rPr>
            </w:pPr>
          </w:p>
        </w:tc>
        <w:tc>
          <w:tcPr>
            <w:tcW w:w="84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80" w:type="dxa"/>
            <w:vAlign w:val="bottom"/>
            <w:tcBorders>
              <w:bottom w:val="single" w:sz="8" w:color="CCCCCC"/>
            </w:tcBorders>
            <w:gridSpan w:val="5"/>
          </w:tcPr>
          <w:p>
            <w:pPr>
              <w:spacing w:after="0"/>
              <w:rPr>
                <w:sz w:val="8"/>
                <w:szCs w:val="8"/>
                <w:color w:val="auto"/>
              </w:rPr>
            </w:pPr>
          </w:p>
        </w:tc>
        <w:tc>
          <w:tcPr>
            <w:tcW w:w="940" w:type="dxa"/>
            <w:vAlign w:val="bottom"/>
            <w:tcBorders>
              <w:bottom w:val="single" w:sz="8" w:color="CCCCCC"/>
            </w:tcBorders>
            <w:gridSpan w:val="6"/>
          </w:tcPr>
          <w:p>
            <w:pPr>
              <w:spacing w:after="0"/>
              <w:rPr>
                <w:sz w:val="8"/>
                <w:szCs w:val="8"/>
                <w:color w:val="auto"/>
              </w:rPr>
            </w:pPr>
          </w:p>
        </w:tc>
        <w:tc>
          <w:tcPr>
            <w:tcW w:w="380" w:type="dxa"/>
            <w:vAlign w:val="bottom"/>
            <w:tcBorders>
              <w:bottom w:val="single" w:sz="8" w:color="CCCCCC"/>
            </w:tcBorders>
          </w:tcPr>
          <w:p>
            <w:pPr>
              <w:spacing w:after="0"/>
              <w:rPr>
                <w:sz w:val="8"/>
                <w:szCs w:val="8"/>
                <w:color w:val="auto"/>
              </w:rPr>
            </w:pPr>
          </w:p>
        </w:tc>
        <w:tc>
          <w:tcPr>
            <w:tcW w:w="980" w:type="dxa"/>
            <w:vAlign w:val="bottom"/>
            <w:tcBorders>
              <w:bottom w:val="single" w:sz="8" w:color="CCCCCC"/>
            </w:tcBorders>
            <w:gridSpan w:val="12"/>
          </w:tcPr>
          <w:p>
            <w:pPr>
              <w:spacing w:after="0"/>
              <w:rPr>
                <w:sz w:val="8"/>
                <w:szCs w:val="8"/>
                <w:color w:val="auto"/>
              </w:rPr>
            </w:pPr>
          </w:p>
        </w:tc>
        <w:tc>
          <w:tcPr>
            <w:tcW w:w="420" w:type="dxa"/>
            <w:vAlign w:val="bottom"/>
            <w:tcBorders>
              <w:bottom w:val="single" w:sz="8" w:color="CCCCCC"/>
            </w:tcBorders>
            <w:gridSpan w:val="11"/>
          </w:tcPr>
          <w:p>
            <w:pPr>
              <w:spacing w:after="0"/>
              <w:rPr>
                <w:sz w:val="8"/>
                <w:szCs w:val="8"/>
                <w:color w:val="auto"/>
              </w:rPr>
            </w:pPr>
          </w:p>
        </w:tc>
        <w:tc>
          <w:tcPr>
            <w:tcW w:w="740" w:type="dxa"/>
            <w:vAlign w:val="bottom"/>
            <w:tcBorders>
              <w:bottom w:val="single" w:sz="8" w:color="CCCCCC"/>
            </w:tcBorders>
          </w:tcPr>
          <w:p>
            <w:pPr>
              <w:spacing w:after="0"/>
              <w:rPr>
                <w:sz w:val="8"/>
                <w:szCs w:val="8"/>
                <w:color w:val="auto"/>
              </w:rPr>
            </w:pPr>
          </w:p>
        </w:tc>
        <w:tc>
          <w:tcPr>
            <w:tcW w:w="500" w:type="dxa"/>
            <w:vAlign w:val="bottom"/>
            <w:tcBorders>
              <w:bottom w:val="single" w:sz="8" w:color="CCCCCC"/>
            </w:tcBorders>
          </w:tcPr>
          <w:p>
            <w:pPr>
              <w:spacing w:after="0"/>
              <w:rPr>
                <w:sz w:val="8"/>
                <w:szCs w:val="8"/>
                <w:color w:val="auto"/>
              </w:rPr>
            </w:pPr>
          </w:p>
        </w:tc>
        <w:tc>
          <w:tcPr>
            <w:tcW w:w="1260" w:type="dxa"/>
            <w:vAlign w:val="bottom"/>
            <w:tcBorders>
              <w:bottom w:val="single" w:sz="8" w:color="CCCCCC"/>
            </w:tcBorders>
          </w:tcPr>
          <w:p>
            <w:pPr>
              <w:spacing w:after="0"/>
              <w:rPr>
                <w:sz w:val="8"/>
                <w:szCs w:val="8"/>
                <w:color w:val="auto"/>
              </w:rPr>
            </w:pPr>
          </w:p>
        </w:tc>
        <w:tc>
          <w:tcPr>
            <w:tcW w:w="860" w:type="dxa"/>
            <w:vAlign w:val="bottom"/>
            <w:tcBorders>
              <w:bottom w:val="single" w:sz="8" w:color="CCCCCC"/>
            </w:tcBorders>
          </w:tcPr>
          <w:p>
            <w:pPr>
              <w:spacing w:after="0"/>
              <w:rPr>
                <w:sz w:val="8"/>
                <w:szCs w:val="8"/>
                <w:color w:val="auto"/>
              </w:rPr>
            </w:pPr>
          </w:p>
        </w:tc>
        <w:tc>
          <w:tcPr>
            <w:tcW w:w="84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4"/>
                <w:szCs w:val="24"/>
                <w:color w:val="auto"/>
              </w:rPr>
            </w:pP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2720" w:type="dxa"/>
            <w:vAlign w:val="bottom"/>
            <w:gridSpan w:val="30"/>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8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8"/>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12"/>
          </w:tcPr>
          <w:p>
            <w:pPr>
              <w:spacing w:after="0"/>
              <w:rPr>
                <w:sz w:val="24"/>
                <w:szCs w:val="24"/>
                <w:color w:val="auto"/>
              </w:rPr>
            </w:pPr>
          </w:p>
        </w:tc>
        <w:tc>
          <w:tcPr>
            <w:tcW w:w="420" w:type="dxa"/>
            <w:vAlign w:val="bottom"/>
            <w:tcBorders>
              <w:bottom w:val="single" w:sz="8" w:color="auto"/>
            </w:tcBorders>
            <w:gridSpan w:val="11"/>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520" w:type="dxa"/>
            <w:vAlign w:val="bottom"/>
            <w:gridSpan w:val="2"/>
          </w:tcPr>
          <w:p>
            <w:pPr>
              <w:jc w:val="center"/>
              <w:ind w:left="808"/>
              <w:spacing w:after="0"/>
              <w:rPr>
                <w:sz w:val="20"/>
                <w:szCs w:val="20"/>
                <w:color w:val="auto"/>
              </w:rPr>
            </w:pPr>
            <w:r>
              <w:rPr>
                <w:rFonts w:ascii="Times New Roman" w:cs="Times New Roman" w:eastAsia="Times New Roman" w:hAnsi="Times New Roman"/>
                <w:sz w:val="14"/>
                <w:szCs w:val="14"/>
                <w:color w:val="auto"/>
                <w:w w:val="97"/>
              </w:rPr>
              <w:t>97.1</w:t>
            </w:r>
          </w:p>
        </w:tc>
        <w:tc>
          <w:tcPr>
            <w:tcW w:w="20" w:type="dxa"/>
            <w:vAlign w:val="bottom"/>
          </w:tcPr>
          <w:p>
            <w:pPr>
              <w:spacing w:after="0"/>
              <w:rPr>
                <w:sz w:val="16"/>
                <w:szCs w:val="16"/>
                <w:color w:val="auto"/>
              </w:rPr>
            </w:pPr>
          </w:p>
        </w:tc>
        <w:tc>
          <w:tcPr>
            <w:tcW w:w="264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Incentive Compensation Recoupment Policy,</w:t>
              </w:r>
            </w:hyperlink>
          </w:p>
        </w:tc>
        <w:tc>
          <w:tcPr>
            <w:tcW w:w="420" w:type="dxa"/>
            <w:vAlign w:val="bottom"/>
            <w:gridSpan w:val="11"/>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97.1</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28, 2024</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000-20859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gridSpan w:val="31"/>
          </w:tcPr>
          <w:p>
            <w:pPr>
              <w:spacing w:after="0" w:line="152" w:lineRule="exact"/>
              <w:rPr>
                <w:rFonts w:ascii="Times New Roman" w:cs="Times New Roman" w:eastAsia="Times New Roman" w:hAnsi="Times New Roman"/>
                <w:sz w:val="14"/>
                <w:szCs w:val="14"/>
                <w:color w:val="0000FF"/>
              </w:rPr>
            </w:pPr>
            <w:hyperlink r:id="rId298">
              <w:r>
                <w:rPr>
                  <w:rFonts w:ascii="Times New Roman" w:cs="Times New Roman" w:eastAsia="Times New Roman" w:hAnsi="Times New Roman"/>
                  <w:sz w:val="14"/>
                  <w:szCs w:val="14"/>
                  <w:color w:val="0000FF"/>
                </w:rPr>
                <w:t>effective October 2, 2023*</w:t>
              </w:r>
            </w:hyperlink>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-7112000</wp:posOffset>
            </wp:positionV>
            <wp:extent cx="5584190" cy="10515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5584190" cy="10515600"/>
                    </a:xfrm>
                    <a:prstGeom prst="rect">
                      <a:avLst/>
                    </a:prstGeom>
                    <a:noFill/>
                  </pic:spPr>
                </pic:pic>
              </a:graphicData>
            </a:graphic>
          </wp:anchor>
        </w:drawing>
      </w:r>
    </w:p>
    <w:p>
      <w:pPr>
        <w:spacing w:after="0" w:line="8" w:lineRule="exact"/>
        <w:rPr>
          <w:sz w:val="20"/>
          <w:szCs w:val="20"/>
          <w:color w:val="auto"/>
        </w:rPr>
      </w:pPr>
    </w:p>
    <w:p>
      <w:pPr>
        <w:ind w:left="1780" w:right="4379" w:hanging="584"/>
        <w:spacing w:after="0" w:line="174" w:lineRule="exact"/>
        <w:tabs>
          <w:tab w:leader="none" w:pos="1651"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the Registrant’s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the year ended December 31, 2025, formatted in Inline Extensible Business Reporting Language (iXBRL) include: (i) Consolidated Balance Sheets as of December 31, 2025 and 2024 (ii) Consolidated Statements of Operations, Consolidated Comprehensive Loss, Stockholders’ Equity and Cash Flows for each of the three years in the period ended December 31, 2025, and (iii) Notes to Consolidated Financial Statements</w:t>
      </w:r>
    </w:p>
    <w:p>
      <w:pPr>
        <w:spacing w:after="0" w:line="29" w:lineRule="exact"/>
        <w:rPr>
          <w:sz w:val="20"/>
          <w:szCs w:val="20"/>
          <w:color w:val="auto"/>
        </w:rPr>
      </w:pPr>
    </w:p>
    <w:p>
      <w:pPr>
        <w:ind w:left="1780" w:right="4419" w:hanging="584"/>
        <w:spacing w:after="0" w:line="292" w:lineRule="auto"/>
        <w:tabs>
          <w:tab w:leader="none" w:pos="1651"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02" w:lineRule="exact"/>
        <w:rPr>
          <w:rFonts w:ascii="Times New Roman" w:cs="Times New Roman" w:eastAsia="Times New Roman" w:hAnsi="Times New Roman"/>
          <w:sz w:val="14"/>
          <w:szCs w:val="14"/>
          <w:color w:val="auto"/>
        </w:rPr>
      </w:pPr>
    </w:p>
    <w:p>
      <w:pPr>
        <w:ind w:left="1220" w:right="1019" w:hanging="260"/>
        <w:spacing w:after="0" w:line="274" w:lineRule="auto"/>
        <w:tabs>
          <w:tab w:leader="none" w:pos="12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omitted as the Registrant has determined that (i) the omitted information is not material and (ii) the omitted information is of the type that the Registrant customarily and actually treats as private or confidential.</w:t>
      </w:r>
    </w:p>
    <w:p>
      <w:pPr>
        <w:spacing w:after="0" w:line="50" w:lineRule="exact"/>
        <w:rPr>
          <w:sz w:val="20"/>
          <w:szCs w:val="20"/>
          <w:color w:val="auto"/>
        </w:rPr>
      </w:pPr>
    </w:p>
    <w:p>
      <w:pPr>
        <w:ind w:left="1220" w:hanging="260"/>
        <w:spacing w:after="0"/>
        <w:tabs>
          <w:tab w:leader="none" w:pos="12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compensation plan or arrangement.</w:t>
      </w:r>
    </w:p>
    <w:p>
      <w:pPr>
        <w:spacing w:after="0" w:line="97" w:lineRule="exact"/>
        <w:rPr>
          <w:sz w:val="20"/>
          <w:szCs w:val="20"/>
          <w:color w:val="auto"/>
        </w:rPr>
      </w:pPr>
    </w:p>
    <w:p>
      <w:pPr>
        <w:ind w:left="1220" w:right="979" w:hanging="260"/>
        <w:spacing w:after="0" w:line="268" w:lineRule="auto"/>
        <w:tabs>
          <w:tab w:leader="none" w:pos="12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Exhibits 32.1 and 32.2 that accompany this Report,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pacing w:after="0" w:line="109" w:lineRule="exact"/>
        <w:rPr>
          <w:sz w:val="20"/>
          <w:szCs w:val="20"/>
          <w:color w:val="auto"/>
        </w:rPr>
      </w:pPr>
    </w:p>
    <w:p>
      <w:pPr>
        <w:jc w:val="center"/>
        <w:ind w:right="4879"/>
        <w:spacing w:after="0" w:line="161" w:lineRule="exact"/>
        <w:rPr>
          <w:sz w:val="20"/>
          <w:szCs w:val="20"/>
          <w:color w:val="auto"/>
        </w:rPr>
      </w:pPr>
      <w:r>
        <w:rPr>
          <w:rFonts w:ascii="Times New Roman" w:cs="Times New Roman" w:eastAsia="Times New Roman" w:hAnsi="Times New Roman"/>
          <w:sz w:val="14"/>
          <w:szCs w:val="14"/>
          <w:b w:val="1"/>
          <w:bCs w:val="1"/>
          <w:color w:val="auto"/>
        </w:rPr>
        <w:t>ITEM 16. FORM 10</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K SUMMARY</w:t>
      </w:r>
    </w:p>
    <w:p>
      <w:pPr>
        <w:spacing w:after="0" w:line="21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None.</w:t>
      </w:r>
    </w:p>
    <w:p>
      <w:pPr>
        <w:sectPr>
          <w:pgSz w:w="11900" w:h="16838" w:orient="portrait"/>
          <w:cols w:equalWidth="0" w:num="1">
            <w:col w:w="9019"/>
          </w:cols>
          <w:pgMar w:left="1440" w:top="120" w:right="1440" w:bottom="255"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982345</wp:posOffset>
            </wp:positionH>
            <wp:positionV relativeFrom="page">
              <wp:posOffset>88900</wp:posOffset>
            </wp:positionV>
            <wp:extent cx="5584190" cy="102254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5584190" cy="1022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960" w:right="1059" w:firstLine="902"/>
        <w:spacing w:after="0" w:line="29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GERON CORPORATION</w:t>
      </w:r>
    </w:p>
    <w:p>
      <w:pPr>
        <w:spacing w:after="0" w:line="183" w:lineRule="exact"/>
        <w:rPr>
          <w:sz w:val="20"/>
          <w:szCs w:val="20"/>
          <w:color w:val="auto"/>
        </w:rPr>
      </w:pPr>
    </w:p>
    <w:p>
      <w:pPr>
        <w:ind w:left="1000"/>
        <w:spacing w:after="0"/>
        <w:tabs>
          <w:tab w:leader="none" w:pos="4640" w:val="left"/>
          <w:tab w:leader="none" w:pos="5880" w:val="left"/>
        </w:tabs>
        <w:rPr>
          <w:sz w:val="20"/>
          <w:szCs w:val="20"/>
          <w:color w:val="auto"/>
        </w:rPr>
      </w:pPr>
      <w:r>
        <w:rPr>
          <w:rFonts w:ascii="Times New Roman" w:cs="Times New Roman" w:eastAsia="Times New Roman" w:hAnsi="Times New Roman"/>
          <w:sz w:val="14"/>
          <w:szCs w:val="14"/>
          <w:color w:val="auto"/>
        </w:rPr>
        <w:t>Date: March 2,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Michelle Robertson</w:t>
      </w:r>
    </w:p>
    <w:p>
      <w:pPr>
        <w:spacing w:after="0" w:line="54"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4"/>
          <w:szCs w:val="14"/>
          <w:color w:val="auto"/>
        </w:rPr>
        <w:t>MICHELLE ROBERTSON</w:t>
      </w:r>
    </w:p>
    <w:p>
      <w:pPr>
        <w:spacing w:after="0" w:line="25"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4"/>
          <w:szCs w:val="14"/>
          <w:i w:val="1"/>
          <w:iCs w:val="1"/>
          <w:color w:val="auto"/>
        </w:rPr>
        <w:t>Executive Vice President, Finance,</w:t>
      </w:r>
    </w:p>
    <w:p>
      <w:pPr>
        <w:spacing w:after="0" w:line="11"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4"/>
          <w:szCs w:val="14"/>
          <w:i w:val="1"/>
          <w:iCs w:val="1"/>
          <w:color w:val="auto"/>
        </w:rPr>
        <w:t>Chief Financial Officer and Treasurer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5" w:lineRule="exact"/>
        <w:rPr>
          <w:sz w:val="20"/>
          <w:szCs w:val="20"/>
          <w:color w:val="auto"/>
        </w:rPr>
      </w:pPr>
    </w:p>
    <w:p>
      <w:pPr>
        <w:ind w:left="960" w:right="1079" w:firstLine="902"/>
        <w:spacing w:after="0" w:line="178" w:lineRule="exact"/>
        <w:rPr>
          <w:sz w:val="20"/>
          <w:szCs w:val="20"/>
          <w:color w:val="auto"/>
        </w:rPr>
      </w:pPr>
      <w:r>
        <w:rPr>
          <w:rFonts w:ascii="Times New Roman" w:cs="Times New Roman" w:eastAsia="Times New Roman" w:hAnsi="Times New Roman"/>
          <w:sz w:val="14"/>
          <w:szCs w:val="14"/>
          <w:color w:val="auto"/>
        </w:rPr>
        <w:t>KNOW BY ALL PERSONS BY THESE PRESENTS, that each person whose signature appears below constitutes and appoints, jointly and severally, Harout Semerjian and Michelle Robertson, and each one of them, attorneys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fact for the undersigned, each with the power of substitution, for the undersigned in any and all capacities, to sign any and all amendments to this Report, and to file the same, with exhibits thereto and other documents in connection therewith, with the Securities and Exchange Commission, hereby ratifying and confirming all that each of said attorneys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fact, or his or her substitutes, may do or cause to be done by virtue hereof.</w:t>
      </w:r>
    </w:p>
    <w:p>
      <w:pPr>
        <w:spacing w:after="0" w:line="136" w:lineRule="exact"/>
        <w:rPr>
          <w:sz w:val="20"/>
          <w:szCs w:val="20"/>
          <w:color w:val="auto"/>
        </w:rPr>
      </w:pPr>
    </w:p>
    <w:p>
      <w:pPr>
        <w:ind w:left="960" w:right="1299" w:firstLine="902"/>
        <w:spacing w:after="0" w:line="292" w:lineRule="auto"/>
        <w:rPr>
          <w:sz w:val="20"/>
          <w:szCs w:val="20"/>
          <w:color w:val="auto"/>
        </w:rPr>
      </w:pPr>
      <w:r>
        <w:rPr>
          <w:rFonts w:ascii="Times New Roman" w:cs="Times New Roman" w:eastAsia="Times New Roman" w:hAnsi="Times New Roman"/>
          <w:sz w:val="14"/>
          <w:szCs w:val="14"/>
          <w:color w:val="auto"/>
        </w:rPr>
        <w:t>IN WITNESS WHEREOF, each of the undersigned has executed this Power of Attorney as of the date indicated opposite his/her name.</w:t>
      </w:r>
    </w:p>
    <w:p>
      <w:pPr>
        <w:spacing w:after="0" w:line="124" w:lineRule="exact"/>
        <w:rPr>
          <w:sz w:val="20"/>
          <w:szCs w:val="20"/>
          <w:color w:val="auto"/>
        </w:rPr>
      </w:pPr>
    </w:p>
    <w:p>
      <w:pPr>
        <w:ind w:left="960" w:right="1059" w:firstLine="902"/>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40" w:type="dxa"/>
            <w:vAlign w:val="bottom"/>
          </w:tcPr>
          <w:p>
            <w:pPr>
              <w:spacing w:after="0"/>
              <w:rPr>
                <w:sz w:val="12"/>
                <w:szCs w:val="12"/>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40" w:type="dxa"/>
            <w:vAlign w:val="bottom"/>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313"/>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0"/>
                <w:szCs w:val="10"/>
                <w:color w:val="auto"/>
              </w:rPr>
              <w:t>HAROUT SEMERJIAN</w:t>
            </w:r>
          </w:p>
        </w:tc>
        <w:tc>
          <w:tcPr>
            <w:tcW w:w="40" w:type="dxa"/>
            <w:vAlign w:val="bottom"/>
          </w:tcPr>
          <w:p>
            <w:pPr>
              <w:spacing w:after="0"/>
              <w:rPr>
                <w:sz w:val="24"/>
                <w:szCs w:val="24"/>
                <w:color w:val="auto"/>
              </w:rPr>
            </w:pP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President, Chief Executive Officer and</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2, 2026</w:t>
            </w:r>
          </w:p>
        </w:tc>
        <w:tc>
          <w:tcPr>
            <w:tcW w:w="0" w:type="dxa"/>
            <w:vAlign w:val="bottom"/>
          </w:tcPr>
          <w:p>
            <w:pPr>
              <w:spacing w:after="0"/>
              <w:rPr>
                <w:sz w:val="1"/>
                <w:szCs w:val="1"/>
                <w:color w:val="auto"/>
              </w:rPr>
            </w:pPr>
          </w:p>
        </w:tc>
      </w:tr>
      <w:tr>
        <w:trPr>
          <w:trHeight w:val="86"/>
        </w:trPr>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HAROUT SEMERJIAN</w:t>
            </w:r>
          </w:p>
        </w:tc>
        <w:tc>
          <w:tcPr>
            <w:tcW w:w="40" w:type="dxa"/>
            <w:vAlign w:val="bottom"/>
          </w:tcPr>
          <w:p>
            <w:pPr>
              <w:spacing w:after="0"/>
              <w:rPr>
                <w:sz w:val="7"/>
                <w:szCs w:val="7"/>
                <w:color w:val="auto"/>
              </w:rPr>
            </w:pPr>
          </w:p>
        </w:tc>
        <w:tc>
          <w:tcPr>
            <w:tcW w:w="3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316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M</w:t>
            </w:r>
            <w:r>
              <w:rPr>
                <w:rFonts w:ascii="Times New Roman" w:cs="Times New Roman" w:eastAsia="Times New Roman" w:hAnsi="Times New Roman"/>
                <w:sz w:val="10"/>
                <w:szCs w:val="10"/>
                <w:color w:val="auto"/>
              </w:rPr>
              <w:t>ICHELLE</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10"/>
                <w:szCs w:val="10"/>
                <w:color w:val="auto"/>
              </w:rPr>
              <w:t>OBERTSON</w:t>
            </w:r>
          </w:p>
        </w:tc>
        <w:tc>
          <w:tcPr>
            <w:tcW w:w="40" w:type="dxa"/>
            <w:vAlign w:val="bottom"/>
          </w:tcPr>
          <w:p>
            <w:pPr>
              <w:spacing w:after="0"/>
              <w:rPr>
                <w:sz w:val="24"/>
                <w:szCs w:val="24"/>
                <w:color w:val="auto"/>
              </w:rPr>
            </w:pPr>
          </w:p>
        </w:tc>
        <w:tc>
          <w:tcPr>
            <w:tcW w:w="3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Executive Vice President, Finance, Chief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2, 2026</w:t>
            </w:r>
          </w:p>
        </w:tc>
        <w:tc>
          <w:tcPr>
            <w:tcW w:w="0" w:type="dxa"/>
            <w:vAlign w:val="bottom"/>
          </w:tcPr>
          <w:p>
            <w:pPr>
              <w:spacing w:after="0"/>
              <w:rPr>
                <w:sz w:val="1"/>
                <w:szCs w:val="1"/>
                <w:color w:val="auto"/>
              </w:rPr>
            </w:pPr>
          </w:p>
        </w:tc>
      </w:tr>
      <w:tr>
        <w:trPr>
          <w:trHeight w:val="138"/>
        </w:trPr>
        <w:tc>
          <w:tcPr>
            <w:tcW w:w="268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316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4"/>
                <w:szCs w:val="14"/>
                <w:color w:val="auto"/>
              </w:rPr>
              <w:t>Financial Officer and Treasurer (Principal</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MICHELLE ROBERTSON</w:t>
            </w:r>
          </w:p>
        </w:tc>
        <w:tc>
          <w:tcPr>
            <w:tcW w:w="40" w:type="dxa"/>
            <w:vAlign w:val="bottom"/>
          </w:tcPr>
          <w:p>
            <w:pPr>
              <w:spacing w:after="0"/>
              <w:rPr>
                <w:sz w:val="17"/>
                <w:szCs w:val="17"/>
                <w:color w:val="auto"/>
              </w:rPr>
            </w:pPr>
          </w:p>
        </w:tc>
        <w:tc>
          <w:tcPr>
            <w:tcW w:w="3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Financial and Accounting Officer)</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1"/>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w:t>
            </w:r>
            <w:r>
              <w:rPr>
                <w:rFonts w:ascii="Times New Roman" w:cs="Times New Roman" w:eastAsia="Times New Roman" w:hAnsi="Times New Roman"/>
                <w:sz w:val="10"/>
                <w:szCs w:val="10"/>
                <w:color w:val="auto"/>
              </w:rPr>
              <w:t>AWN</w:t>
            </w:r>
            <w:r>
              <w:rPr>
                <w:rFonts w:ascii="Times New Roman" w:cs="Times New Roman" w:eastAsia="Times New Roman" w:hAnsi="Times New Roman"/>
                <w:sz w:val="14"/>
                <w:szCs w:val="14"/>
                <w:color w:val="auto"/>
              </w:rPr>
              <w:t xml:space="preserve"> C. B</w:t>
            </w:r>
            <w:r>
              <w:rPr>
                <w:rFonts w:ascii="Times New Roman" w:cs="Times New Roman" w:eastAsia="Times New Roman" w:hAnsi="Times New Roman"/>
                <w:sz w:val="10"/>
                <w:szCs w:val="10"/>
                <w:color w:val="auto"/>
              </w:rPr>
              <w:t>IR</w:t>
            </w:r>
          </w:p>
        </w:tc>
        <w:tc>
          <w:tcPr>
            <w:tcW w:w="40" w:type="dxa"/>
            <w:vAlign w:val="bottom"/>
          </w:tcPr>
          <w:p>
            <w:pPr>
              <w:spacing w:after="0"/>
              <w:rPr>
                <w:sz w:val="24"/>
                <w:szCs w:val="24"/>
                <w:color w:val="auto"/>
              </w:rPr>
            </w:pPr>
          </w:p>
        </w:tc>
        <w:tc>
          <w:tcPr>
            <w:tcW w:w="3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 2026</w:t>
            </w:r>
          </w:p>
        </w:tc>
        <w:tc>
          <w:tcPr>
            <w:tcW w:w="0" w:type="dxa"/>
            <w:vAlign w:val="bottom"/>
          </w:tcPr>
          <w:p>
            <w:pPr>
              <w:spacing w:after="0"/>
              <w:rPr>
                <w:sz w:val="1"/>
                <w:szCs w:val="1"/>
                <w:color w:val="auto"/>
              </w:rPr>
            </w:pPr>
          </w:p>
        </w:tc>
      </w:tr>
      <w:tr>
        <w:trPr>
          <w:trHeight w:val="205"/>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DAWN C. BIR</w:t>
            </w:r>
          </w:p>
        </w:tc>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 xml:space="preserve">/s/ V. B </w:t>
            </w:r>
            <w:r>
              <w:rPr>
                <w:rFonts w:ascii="Times New Roman" w:cs="Times New Roman" w:eastAsia="Times New Roman" w:hAnsi="Times New Roman"/>
                <w:sz w:val="10"/>
                <w:szCs w:val="10"/>
                <w:color w:val="auto"/>
                <w:w w:val="95"/>
              </w:rPr>
              <w:t>RYAN</w:t>
            </w:r>
            <w:r>
              <w:rPr>
                <w:rFonts w:ascii="Times New Roman" w:cs="Times New Roman" w:eastAsia="Times New Roman" w:hAnsi="Times New Roman"/>
                <w:sz w:val="14"/>
                <w:szCs w:val="14"/>
                <w:color w:val="auto"/>
                <w:w w:val="95"/>
              </w:rPr>
              <w:t xml:space="preserve"> L</w:t>
            </w:r>
            <w:r>
              <w:rPr>
                <w:rFonts w:ascii="Times New Roman" w:cs="Times New Roman" w:eastAsia="Times New Roman" w:hAnsi="Times New Roman"/>
                <w:sz w:val="10"/>
                <w:szCs w:val="10"/>
                <w:color w:val="auto"/>
                <w:w w:val="95"/>
              </w:rPr>
              <w:t>AWLIS</w:t>
            </w:r>
          </w:p>
        </w:tc>
        <w:tc>
          <w:tcPr>
            <w:tcW w:w="40" w:type="dxa"/>
            <w:vAlign w:val="bottom"/>
          </w:tcPr>
          <w:p>
            <w:pPr>
              <w:spacing w:after="0"/>
              <w:rPr>
                <w:sz w:val="24"/>
                <w:szCs w:val="24"/>
                <w:color w:val="auto"/>
              </w:rPr>
            </w:pPr>
          </w:p>
        </w:tc>
        <w:tc>
          <w:tcPr>
            <w:tcW w:w="3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 2026</w:t>
            </w:r>
          </w:p>
        </w:tc>
        <w:tc>
          <w:tcPr>
            <w:tcW w:w="0" w:type="dxa"/>
            <w:vAlign w:val="bottom"/>
          </w:tcPr>
          <w:p>
            <w:pPr>
              <w:spacing w:after="0"/>
              <w:rPr>
                <w:sz w:val="1"/>
                <w:szCs w:val="1"/>
                <w:color w:val="auto"/>
              </w:rPr>
            </w:pPr>
          </w:p>
        </w:tc>
      </w:tr>
      <w:tr>
        <w:trPr>
          <w:trHeight w:val="205"/>
        </w:trPr>
        <w:tc>
          <w:tcPr>
            <w:tcW w:w="26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V. BRYAN LAWLIS</w:t>
            </w:r>
          </w:p>
        </w:tc>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w:t>
            </w:r>
            <w:r>
              <w:rPr>
                <w:rFonts w:ascii="Times New Roman" w:cs="Times New Roman" w:eastAsia="Times New Roman" w:hAnsi="Times New Roman"/>
                <w:sz w:val="10"/>
                <w:szCs w:val="10"/>
                <w:color w:val="auto"/>
              </w:rPr>
              <w:t>OHN</w:t>
            </w:r>
            <w:r>
              <w:rPr>
                <w:rFonts w:ascii="Times New Roman" w:cs="Times New Roman" w:eastAsia="Times New Roman" w:hAnsi="Times New Roman"/>
                <w:sz w:val="14"/>
                <w:szCs w:val="14"/>
                <w:color w:val="auto"/>
              </w:rPr>
              <w:t xml:space="preserve"> M</w:t>
            </w:r>
            <w:r>
              <w:rPr>
                <w:rFonts w:ascii="Times New Roman" w:cs="Times New Roman" w:eastAsia="Times New Roman" w:hAnsi="Times New Roman"/>
                <w:sz w:val="10"/>
                <w:szCs w:val="10"/>
                <w:color w:val="auto"/>
              </w:rPr>
              <w:t>CDONALD</w:t>
            </w:r>
          </w:p>
        </w:tc>
        <w:tc>
          <w:tcPr>
            <w:tcW w:w="40" w:type="dxa"/>
            <w:vAlign w:val="bottom"/>
          </w:tcPr>
          <w:p>
            <w:pPr>
              <w:spacing w:after="0"/>
              <w:rPr>
                <w:sz w:val="24"/>
                <w:szCs w:val="24"/>
                <w:color w:val="auto"/>
              </w:rPr>
            </w:pPr>
          </w:p>
        </w:tc>
        <w:tc>
          <w:tcPr>
            <w:tcW w:w="3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 2026</w:t>
            </w:r>
          </w:p>
        </w:tc>
        <w:tc>
          <w:tcPr>
            <w:tcW w:w="0" w:type="dxa"/>
            <w:vAlign w:val="bottom"/>
          </w:tcPr>
          <w:p>
            <w:pPr>
              <w:spacing w:after="0"/>
              <w:rPr>
                <w:sz w:val="1"/>
                <w:szCs w:val="1"/>
                <w:color w:val="auto"/>
              </w:rPr>
            </w:pPr>
          </w:p>
        </w:tc>
      </w:tr>
      <w:tr>
        <w:trPr>
          <w:trHeight w:val="205"/>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F. McDONALD</w:t>
            </w:r>
          </w:p>
        </w:tc>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w:t>
            </w:r>
            <w:r>
              <w:rPr>
                <w:rFonts w:ascii="Times New Roman" w:cs="Times New Roman" w:eastAsia="Times New Roman" w:hAnsi="Times New Roman"/>
                <w:sz w:val="10"/>
                <w:szCs w:val="10"/>
                <w:color w:val="auto"/>
              </w:rPr>
              <w:t>USAN</w:t>
            </w:r>
            <w:r>
              <w:rPr>
                <w:rFonts w:ascii="Times New Roman" w:cs="Times New Roman" w:eastAsia="Times New Roman" w:hAnsi="Times New Roman"/>
                <w:sz w:val="14"/>
                <w:szCs w:val="14"/>
                <w:color w:val="auto"/>
              </w:rPr>
              <w:t xml:space="preserve"> M</w:t>
            </w:r>
            <w:r>
              <w:rPr>
                <w:rFonts w:ascii="Times New Roman" w:cs="Times New Roman" w:eastAsia="Times New Roman" w:hAnsi="Times New Roman"/>
                <w:sz w:val="10"/>
                <w:szCs w:val="10"/>
                <w:color w:val="auto"/>
              </w:rPr>
              <w:t>OLINEAUX</w:t>
            </w:r>
          </w:p>
        </w:tc>
        <w:tc>
          <w:tcPr>
            <w:tcW w:w="40" w:type="dxa"/>
            <w:vAlign w:val="bottom"/>
          </w:tcPr>
          <w:p>
            <w:pPr>
              <w:spacing w:after="0"/>
              <w:rPr>
                <w:sz w:val="24"/>
                <w:szCs w:val="24"/>
                <w:color w:val="auto"/>
              </w:rPr>
            </w:pPr>
          </w:p>
        </w:tc>
        <w:tc>
          <w:tcPr>
            <w:tcW w:w="3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 2026</w:t>
            </w:r>
          </w:p>
        </w:tc>
        <w:tc>
          <w:tcPr>
            <w:tcW w:w="0" w:type="dxa"/>
            <w:vAlign w:val="bottom"/>
          </w:tcPr>
          <w:p>
            <w:pPr>
              <w:spacing w:after="0"/>
              <w:rPr>
                <w:sz w:val="1"/>
                <w:szCs w:val="1"/>
                <w:color w:val="auto"/>
              </w:rPr>
            </w:pPr>
          </w:p>
        </w:tc>
      </w:tr>
      <w:tr>
        <w:trPr>
          <w:trHeight w:val="205"/>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SUSAN M. MOLINEAUX</w:t>
            </w:r>
          </w:p>
        </w:tc>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w:t>
            </w:r>
            <w:r>
              <w:rPr>
                <w:rFonts w:ascii="Times New Roman" w:cs="Times New Roman" w:eastAsia="Times New Roman" w:hAnsi="Times New Roman"/>
                <w:sz w:val="10"/>
                <w:szCs w:val="10"/>
                <w:color w:val="auto"/>
              </w:rPr>
              <w:t>LIZABETH</w:t>
            </w:r>
            <w:r>
              <w:rPr>
                <w:rFonts w:ascii="Times New Roman" w:cs="Times New Roman" w:eastAsia="Times New Roman" w:hAnsi="Times New Roman"/>
                <w:sz w:val="14"/>
                <w:szCs w:val="14"/>
                <w:color w:val="auto"/>
              </w:rPr>
              <w:t xml:space="preserve"> G. O’F</w:t>
            </w:r>
            <w:r>
              <w:rPr>
                <w:rFonts w:ascii="Times New Roman" w:cs="Times New Roman" w:eastAsia="Times New Roman" w:hAnsi="Times New Roman"/>
                <w:sz w:val="10"/>
                <w:szCs w:val="10"/>
                <w:color w:val="auto"/>
              </w:rPr>
              <w:t>ARRELL</w:t>
            </w:r>
          </w:p>
        </w:tc>
        <w:tc>
          <w:tcPr>
            <w:tcW w:w="40" w:type="dxa"/>
            <w:vAlign w:val="bottom"/>
          </w:tcPr>
          <w:p>
            <w:pPr>
              <w:spacing w:after="0"/>
              <w:rPr>
                <w:sz w:val="24"/>
                <w:szCs w:val="24"/>
                <w:color w:val="auto"/>
              </w:rPr>
            </w:pPr>
          </w:p>
        </w:tc>
        <w:tc>
          <w:tcPr>
            <w:tcW w:w="3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Chair of the Board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 2026</w:t>
            </w:r>
          </w:p>
        </w:tc>
        <w:tc>
          <w:tcPr>
            <w:tcW w:w="0" w:type="dxa"/>
            <w:vAlign w:val="bottom"/>
          </w:tcPr>
          <w:p>
            <w:pPr>
              <w:spacing w:after="0"/>
              <w:rPr>
                <w:sz w:val="1"/>
                <w:szCs w:val="1"/>
                <w:color w:val="auto"/>
              </w:rPr>
            </w:pPr>
          </w:p>
        </w:tc>
      </w:tr>
      <w:tr>
        <w:trPr>
          <w:trHeight w:val="205"/>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ELIZABETH G. O’FARRELL</w:t>
            </w:r>
          </w:p>
        </w:tc>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w:t>
            </w:r>
            <w:r>
              <w:rPr>
                <w:rFonts w:ascii="Times New Roman" w:cs="Times New Roman" w:eastAsia="Times New Roman" w:hAnsi="Times New Roman"/>
                <w:sz w:val="10"/>
                <w:szCs w:val="10"/>
                <w:color w:val="auto"/>
              </w:rPr>
              <w:t>OBERT</w:t>
            </w:r>
            <w:r>
              <w:rPr>
                <w:rFonts w:ascii="Times New Roman" w:cs="Times New Roman" w:eastAsia="Times New Roman" w:hAnsi="Times New Roman"/>
                <w:sz w:val="14"/>
                <w:szCs w:val="14"/>
                <w:color w:val="auto"/>
              </w:rPr>
              <w:t xml:space="preserve"> J. S</w:t>
            </w:r>
            <w:r>
              <w:rPr>
                <w:rFonts w:ascii="Times New Roman" w:cs="Times New Roman" w:eastAsia="Times New Roman" w:hAnsi="Times New Roman"/>
                <w:sz w:val="10"/>
                <w:szCs w:val="10"/>
                <w:color w:val="auto"/>
              </w:rPr>
              <w:t>PIEGEL</w:t>
            </w:r>
          </w:p>
        </w:tc>
        <w:tc>
          <w:tcPr>
            <w:tcW w:w="40" w:type="dxa"/>
            <w:vAlign w:val="bottom"/>
          </w:tcPr>
          <w:p>
            <w:pPr>
              <w:spacing w:after="0"/>
              <w:rPr>
                <w:sz w:val="24"/>
                <w:szCs w:val="24"/>
                <w:color w:val="auto"/>
              </w:rPr>
            </w:pPr>
          </w:p>
        </w:tc>
        <w:tc>
          <w:tcPr>
            <w:tcW w:w="3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 2026</w:t>
            </w:r>
          </w:p>
        </w:tc>
        <w:tc>
          <w:tcPr>
            <w:tcW w:w="0" w:type="dxa"/>
            <w:vAlign w:val="bottom"/>
          </w:tcPr>
          <w:p>
            <w:pPr>
              <w:spacing w:after="0"/>
              <w:rPr>
                <w:sz w:val="1"/>
                <w:szCs w:val="1"/>
                <w:color w:val="auto"/>
              </w:rPr>
            </w:pPr>
          </w:p>
        </w:tc>
      </w:tr>
      <w:tr>
        <w:trPr>
          <w:trHeight w:val="205"/>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ROBERT J. SPIEGEL</w:t>
            </w:r>
          </w:p>
        </w:tc>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789" w:gutter="0" w:footer="0" w:header="0"/>
        </w:sectPr>
      </w:pPr>
    </w:p>
    <w:bookmarkStart w:id="103" w:name="page104"/>
    <w:bookmarkEnd w:id="103"/>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right"/>
        <w:ind w:right="839"/>
        <w:spacing w:after="0"/>
        <w:rPr>
          <w:sz w:val="20"/>
          <w:szCs w:val="20"/>
          <w:color w:val="auto"/>
        </w:rPr>
      </w:pPr>
      <w:r>
        <w:rPr>
          <w:rFonts w:ascii="Times New Roman" w:cs="Times New Roman" w:eastAsia="Times New Roman" w:hAnsi="Times New Roman"/>
          <w:sz w:val="16"/>
          <w:szCs w:val="16"/>
          <w:color w:val="auto"/>
        </w:rPr>
        <w:t>Exhibit 10.21</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NON-EMPLOYEE DIRECTOR COMPENSATION POLICY</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ORIGINALLY ADOPTED BY THE BOARD OF DIRECTORS: MARCH 10, 2014</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AMENDED BY THE BOARD OF DIRECTORS: FEBRUARY 12, 2015, MAY 6, 2015,</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FEBRUARY 11, 2016, JANUARY 31, 2018, MAY 15, 2018, OCTOBER 1, 2018,</w:t>
      </w:r>
    </w:p>
    <w:p>
      <w:pPr>
        <w:spacing w:after="0" w:line="9" w:lineRule="exact"/>
        <w:rPr>
          <w:sz w:val="20"/>
          <w:szCs w:val="20"/>
          <w:color w:val="auto"/>
        </w:rPr>
      </w:pPr>
    </w:p>
    <w:p>
      <w:pPr>
        <w:jc w:val="center"/>
        <w:ind w:left="840" w:right="879"/>
        <w:spacing w:after="0" w:line="272" w:lineRule="auto"/>
        <w:rPr>
          <w:sz w:val="20"/>
          <w:szCs w:val="20"/>
          <w:color w:val="auto"/>
        </w:rPr>
      </w:pPr>
      <w:r>
        <w:rPr>
          <w:rFonts w:ascii="Times New Roman" w:cs="Times New Roman" w:eastAsia="Times New Roman" w:hAnsi="Times New Roman"/>
          <w:sz w:val="14"/>
          <w:szCs w:val="14"/>
          <w:b w:val="1"/>
          <w:bCs w:val="1"/>
          <w:color w:val="auto"/>
        </w:rPr>
        <w:t>JANUARY 30, 2019, FEBRUARY 12, 2020, FEBRUARY 16, 2022, MARCH 7, 2022, FEBRUARY 14, 2024, MARCH 6, 2025, MAY 4, 2025 AND FEBRUARY 17, 2026</w:t>
      </w:r>
    </w:p>
    <w:p>
      <w:pPr>
        <w:spacing w:after="0" w:line="154" w:lineRule="exact"/>
        <w:rPr>
          <w:sz w:val="20"/>
          <w:szCs w:val="20"/>
          <w:color w:val="auto"/>
        </w:rPr>
      </w:pPr>
    </w:p>
    <w:p>
      <w:pPr>
        <w:ind w:left="900" w:right="1079" w:firstLine="309"/>
        <w:spacing w:after="0" w:line="263" w:lineRule="auto"/>
        <w:rPr>
          <w:sz w:val="20"/>
          <w:szCs w:val="20"/>
          <w:color w:val="auto"/>
        </w:rPr>
      </w:pPr>
      <w:r>
        <w:rPr>
          <w:rFonts w:ascii="Times New Roman" w:cs="Times New Roman" w:eastAsia="Times New Roman" w:hAnsi="Times New Roman"/>
          <w:sz w:val="14"/>
          <w:szCs w:val="14"/>
          <w:color w:val="auto"/>
        </w:rPr>
        <w:t>Each member of the board of directors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of Geron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who is a Non-Employee Director (as defined in the Geron Corporation 2018 Equity Incentive Plan (the “</w:t>
      </w:r>
      <w:r>
        <w:rPr>
          <w:rFonts w:ascii="Times New Roman" w:cs="Times New Roman" w:eastAsia="Times New Roman" w:hAnsi="Times New Roman"/>
          <w:sz w:val="14"/>
          <w:szCs w:val="14"/>
          <w:b w:val="1"/>
          <w:bCs w:val="1"/>
          <w:i w:val="1"/>
          <w:iCs w:val="1"/>
          <w:color w:val="auto"/>
        </w:rPr>
        <w:t>2018 Plan</w:t>
      </w:r>
      <w:r>
        <w:rPr>
          <w:rFonts w:ascii="Times New Roman" w:cs="Times New Roman" w:eastAsia="Times New Roman" w:hAnsi="Times New Roman"/>
          <w:sz w:val="14"/>
          <w:szCs w:val="14"/>
          <w:color w:val="auto"/>
        </w:rPr>
        <w:t>”)) shall be eligible to receive cash and equity compensation as set forth in this Geron Corporation Non-Employee Director Compensation Policy (this “</w:t>
      </w:r>
      <w:r>
        <w:rPr>
          <w:rFonts w:ascii="Times New Roman" w:cs="Times New Roman" w:eastAsia="Times New Roman" w:hAnsi="Times New Roman"/>
          <w:sz w:val="14"/>
          <w:szCs w:val="14"/>
          <w:b w:val="1"/>
          <w:bCs w:val="1"/>
          <w:i w:val="1"/>
          <w:iCs w:val="1"/>
          <w:color w:val="auto"/>
        </w:rPr>
        <w:t>Policy</w:t>
      </w:r>
      <w:r>
        <w:rPr>
          <w:rFonts w:ascii="Times New Roman" w:cs="Times New Roman" w:eastAsia="Times New Roman" w:hAnsi="Times New Roman"/>
          <w:sz w:val="14"/>
          <w:szCs w:val="14"/>
          <w:color w:val="auto"/>
        </w:rPr>
        <w:t>”). The cash and equity compensation described in this Policy shall be paid or granted, as applicable, automatically and without further action of the Board to each Non-Employee Director who is eligible to receive such cash or equity compensation, unless such Non-Employee Director declines the receipt of such cash or equity compensation by written notice to the Company.</w:t>
      </w:r>
    </w:p>
    <w:p>
      <w:pPr>
        <w:spacing w:after="0" w:line="154" w:lineRule="exact"/>
        <w:rPr>
          <w:sz w:val="20"/>
          <w:szCs w:val="20"/>
          <w:color w:val="auto"/>
        </w:rPr>
      </w:pPr>
    </w:p>
    <w:p>
      <w:pPr>
        <w:ind w:left="900" w:right="959" w:firstLine="309"/>
        <w:spacing w:after="0" w:line="265" w:lineRule="auto"/>
        <w:rPr>
          <w:sz w:val="20"/>
          <w:szCs w:val="20"/>
          <w:color w:val="auto"/>
        </w:rPr>
      </w:pPr>
      <w:r>
        <w:rPr>
          <w:rFonts w:ascii="Times New Roman" w:cs="Times New Roman" w:eastAsia="Times New Roman" w:hAnsi="Times New Roman"/>
          <w:sz w:val="14"/>
          <w:szCs w:val="14"/>
          <w:color w:val="auto"/>
        </w:rPr>
        <w:t>This Policy, as amended, is effective as of January 1, 2026, and shall remain in effect until it is revised or rescinded by further action of the Board. Capitalized terms not explicitly defined in this Policy but defined in the 2018 Plan shall have the same definitions as in the 2018 Plan, except when specific reference is made to the Directors’ Market Value Stock Purchase Plan (the “</w:t>
      </w:r>
      <w:r>
        <w:rPr>
          <w:rFonts w:ascii="Times New Roman" w:cs="Times New Roman" w:eastAsia="Times New Roman" w:hAnsi="Times New Roman"/>
          <w:sz w:val="14"/>
          <w:szCs w:val="14"/>
          <w:b w:val="1"/>
          <w:bCs w:val="1"/>
          <w:i w:val="1"/>
          <w:iCs w:val="1"/>
          <w:color w:val="auto"/>
        </w:rPr>
        <w:t>Market Value Stock Plan</w:t>
      </w:r>
      <w:r>
        <w:rPr>
          <w:rFonts w:ascii="Times New Roman" w:cs="Times New Roman" w:eastAsia="Times New Roman" w:hAnsi="Times New Roman"/>
          <w:sz w:val="14"/>
          <w:szCs w:val="14"/>
          <w:color w:val="auto"/>
        </w:rPr>
        <w:t>”), in which case such terms shall have the definitions set forth in the Market Value Stock Plan.</w:t>
      </w:r>
    </w:p>
    <w:p>
      <w:pPr>
        <w:spacing w:after="0" w:line="162" w:lineRule="exact"/>
        <w:rPr>
          <w:sz w:val="20"/>
          <w:szCs w:val="20"/>
          <w:color w:val="auto"/>
        </w:rPr>
      </w:pPr>
    </w:p>
    <w:p>
      <w:pPr>
        <w:ind w:left="1040" w:hanging="141"/>
        <w:spacing w:after="0"/>
        <w:tabs>
          <w:tab w:leader="none" w:pos="104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CASH COMPENSATION.</w:t>
      </w:r>
    </w:p>
    <w:p>
      <w:pPr>
        <w:spacing w:after="0" w:line="193" w:lineRule="exact"/>
        <w:rPr>
          <w:rFonts w:ascii="Times New Roman" w:cs="Times New Roman" w:eastAsia="Times New Roman" w:hAnsi="Times New Roman"/>
          <w:sz w:val="14"/>
          <w:szCs w:val="14"/>
          <w:b w:val="1"/>
          <w:bCs w:val="1"/>
          <w:color w:val="auto"/>
        </w:rPr>
      </w:pPr>
    </w:p>
    <w:p>
      <w:pPr>
        <w:jc w:val="both"/>
        <w:ind w:left="900" w:right="1079" w:firstLine="308"/>
        <w:spacing w:after="0" w:line="275" w:lineRule="auto"/>
        <w:tabs>
          <w:tab w:leader="none" w:pos="1845" w:val="left"/>
        </w:tabs>
        <w:numPr>
          <w:ilvl w:val="1"/>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Annual Retainers. </w:t>
      </w:r>
      <w:r>
        <w:rPr>
          <w:rFonts w:ascii="Times New Roman" w:cs="Times New Roman" w:eastAsia="Times New Roman" w:hAnsi="Times New Roman"/>
          <w:sz w:val="14"/>
          <w:szCs w:val="14"/>
          <w:color w:val="auto"/>
        </w:rPr>
        <w:t>Each Non-Employee Director shall be eligible to receive the following annual retainers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service as (i) an individual, member and/or chairperson of the Board and (ii) an individual, member or chairperson of a committee of the Board (“</w:t>
      </w:r>
      <w:r>
        <w:rPr>
          <w:rFonts w:ascii="Times New Roman" w:cs="Times New Roman" w:eastAsia="Times New Roman" w:hAnsi="Times New Roman"/>
          <w:sz w:val="14"/>
          <w:szCs w:val="14"/>
          <w:b w:val="1"/>
          <w:bCs w:val="1"/>
          <w:i w:val="1"/>
          <w:iCs w:val="1"/>
          <w:color w:val="auto"/>
        </w:rPr>
        <w:t>Committee</w:t>
      </w:r>
      <w:r>
        <w:rPr>
          <w:rFonts w:ascii="Times New Roman" w:cs="Times New Roman" w:eastAsia="Times New Roman" w:hAnsi="Times New Roman"/>
          <w:sz w:val="14"/>
          <w:szCs w:val="14"/>
          <w:color w:val="auto"/>
        </w:rPr>
        <w:t>”) set forth below, as applicable.</w:t>
      </w:r>
    </w:p>
    <w:p>
      <w:pPr>
        <w:spacing w:after="0" w:line="184" w:lineRule="exact"/>
        <w:rPr>
          <w:sz w:val="20"/>
          <w:szCs w:val="20"/>
          <w:color w:val="auto"/>
        </w:rPr>
      </w:pPr>
    </w:p>
    <w:tbl>
      <w:tblPr>
        <w:tblLayout w:type="fixed"/>
        <w:tblInd w:w="990" w:type="dxa"/>
        <w:tblCellMar>
          <w:top w:w="0" w:type="dxa"/>
          <w:left w:w="0" w:type="dxa"/>
          <w:bottom w:w="0" w:type="dxa"/>
          <w:right w:w="0" w:type="dxa"/>
        </w:tblCellMar>
      </w:tblPr>
      <w:tr>
        <w:trPr>
          <w:trHeight w:val="177"/>
        </w:trPr>
        <w:tc>
          <w:tcPr>
            <w:tcW w:w="3300" w:type="dxa"/>
            <w:vAlign w:val="bottom"/>
            <w:tcBorders>
              <w:top w:val="single" w:sz="8" w:color="010101"/>
              <w:left w:val="single" w:sz="8" w:color="010101"/>
              <w:right w:val="single" w:sz="8" w:color="010101"/>
            </w:tcBorders>
          </w:tcPr>
          <w:p>
            <w:pPr>
              <w:spacing w:after="0"/>
              <w:rPr>
                <w:sz w:val="15"/>
                <w:szCs w:val="15"/>
                <w:color w:val="auto"/>
              </w:rPr>
            </w:pPr>
          </w:p>
        </w:tc>
        <w:tc>
          <w:tcPr>
            <w:tcW w:w="2760" w:type="dxa"/>
            <w:vAlign w:val="bottom"/>
            <w:tcBorders>
              <w:top w:val="single" w:sz="8" w:color="010101"/>
              <w:right w:val="single" w:sz="8" w:color="010101"/>
            </w:tcBorders>
          </w:tcPr>
          <w:p>
            <w:pPr>
              <w:spacing w:after="0"/>
              <w:rPr>
                <w:sz w:val="15"/>
                <w:szCs w:val="15"/>
                <w:color w:val="auto"/>
              </w:rPr>
            </w:pPr>
          </w:p>
        </w:tc>
        <w:tc>
          <w:tcPr>
            <w:tcW w:w="104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(Per</w:t>
            </w:r>
          </w:p>
        </w:tc>
      </w:tr>
      <w:tr>
        <w:trPr>
          <w:trHeight w:val="167"/>
        </w:trPr>
        <w:tc>
          <w:tcPr>
            <w:tcW w:w="3300" w:type="dxa"/>
            <w:vAlign w:val="bottom"/>
            <w:tcBorders>
              <w:left w:val="single" w:sz="8" w:color="010101"/>
              <w:bottom w:val="single" w:sz="8" w:color="010101"/>
              <w:right w:val="single" w:sz="8" w:color="010101"/>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Board or Committee</w:t>
            </w: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Retainer*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w:t>
            </w:r>
          </w:p>
        </w:tc>
      </w:tr>
      <w:tr>
        <w:trPr>
          <w:trHeight w:val="163"/>
        </w:trPr>
        <w:tc>
          <w:tcPr>
            <w:tcW w:w="3300" w:type="dxa"/>
            <w:vAlign w:val="bottom"/>
            <w:tcBorders>
              <w:left w:val="single" w:sz="8" w:color="010101"/>
              <w:right w:val="single" w:sz="8" w:color="010101"/>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6"/>
              </w:rPr>
              <w:t>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$40,000</w:t>
            </w:r>
          </w:p>
        </w:tc>
      </w:tr>
      <w:tr>
        <w:trPr>
          <w:trHeight w:val="163"/>
        </w:trPr>
        <w:tc>
          <w:tcPr>
            <w:tcW w:w="3300" w:type="dxa"/>
            <w:vAlign w:val="bottom"/>
            <w:tcBorders>
              <w:left w:val="single" w:sz="8" w:color="010101"/>
              <w:right w:val="single" w:sz="8" w:color="010101"/>
            </w:tcBorders>
          </w:tcPr>
          <w:p>
            <w:pPr>
              <w:spacing w:after="0"/>
              <w:rPr>
                <w:sz w:val="14"/>
                <w:szCs w:val="14"/>
                <w:color w:val="auto"/>
              </w:rPr>
            </w:pP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Lead Independent Director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$30,000</w:t>
            </w:r>
          </w:p>
        </w:tc>
      </w:tr>
      <w:tr>
        <w:trPr>
          <w:trHeight w:val="163"/>
        </w:trPr>
        <w:tc>
          <w:tcPr>
            <w:tcW w:w="3300" w:type="dxa"/>
            <w:vAlign w:val="bottom"/>
            <w:tcBorders>
              <w:left w:val="single" w:sz="8" w:color="010101"/>
              <w:bottom w:val="single" w:sz="8" w:color="010101"/>
              <w:right w:val="single" w:sz="8" w:color="010101"/>
            </w:tcBorders>
          </w:tcPr>
          <w:p>
            <w:pPr>
              <w:spacing w:after="0"/>
              <w:rPr>
                <w:sz w:val="14"/>
                <w:szCs w:val="14"/>
                <w:color w:val="auto"/>
              </w:rPr>
            </w:pP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Member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$50,000</w:t>
            </w:r>
          </w:p>
        </w:tc>
      </w:tr>
      <w:tr>
        <w:trPr>
          <w:trHeight w:val="163"/>
        </w:trPr>
        <w:tc>
          <w:tcPr>
            <w:tcW w:w="3300" w:type="dxa"/>
            <w:vAlign w:val="bottom"/>
            <w:tcBorders>
              <w:left w:val="single" w:sz="8" w:color="010101"/>
              <w:right w:val="single" w:sz="8" w:color="010101"/>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6"/>
              </w:rPr>
              <w:t>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$25,000</w:t>
            </w:r>
          </w:p>
        </w:tc>
      </w:tr>
      <w:tr>
        <w:trPr>
          <w:trHeight w:val="163"/>
        </w:trPr>
        <w:tc>
          <w:tcPr>
            <w:tcW w:w="3300" w:type="dxa"/>
            <w:vAlign w:val="bottom"/>
            <w:tcBorders>
              <w:left w:val="single" w:sz="8" w:color="010101"/>
              <w:bottom w:val="single" w:sz="8" w:color="010101"/>
              <w:right w:val="single" w:sz="8" w:color="010101"/>
            </w:tcBorders>
          </w:tcPr>
          <w:p>
            <w:pPr>
              <w:spacing w:after="0"/>
              <w:rPr>
                <w:sz w:val="14"/>
                <w:szCs w:val="14"/>
                <w:color w:val="auto"/>
              </w:rPr>
            </w:pP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9"/>
              </w:rPr>
              <w:t>Member (Non-Chair)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$12,500</w:t>
            </w:r>
          </w:p>
        </w:tc>
      </w:tr>
      <w:tr>
        <w:trPr>
          <w:trHeight w:val="163"/>
        </w:trPr>
        <w:tc>
          <w:tcPr>
            <w:tcW w:w="3300" w:type="dxa"/>
            <w:vAlign w:val="bottom"/>
            <w:tcBorders>
              <w:left w:val="single" w:sz="8" w:color="010101"/>
              <w:right w:val="single" w:sz="8" w:color="010101"/>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6"/>
              </w:rPr>
              <w:t>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$15,000</w:t>
            </w:r>
          </w:p>
        </w:tc>
      </w:tr>
      <w:tr>
        <w:trPr>
          <w:trHeight w:val="163"/>
        </w:trPr>
        <w:tc>
          <w:tcPr>
            <w:tcW w:w="3300" w:type="dxa"/>
            <w:vAlign w:val="bottom"/>
            <w:tcBorders>
              <w:left w:val="single" w:sz="8" w:color="010101"/>
              <w:bottom w:val="single" w:sz="8" w:color="010101"/>
              <w:right w:val="single" w:sz="8" w:color="010101"/>
            </w:tcBorders>
          </w:tcPr>
          <w:p>
            <w:pPr>
              <w:spacing w:after="0"/>
              <w:rPr>
                <w:sz w:val="14"/>
                <w:szCs w:val="14"/>
                <w:color w:val="auto"/>
              </w:rPr>
            </w:pP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9"/>
              </w:rPr>
              <w:t>Member (Non-Chair)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8"/>
              </w:rPr>
              <w:t>$7,500</w:t>
            </w:r>
          </w:p>
        </w:tc>
      </w:tr>
      <w:tr>
        <w:trPr>
          <w:trHeight w:val="163"/>
        </w:trPr>
        <w:tc>
          <w:tcPr>
            <w:tcW w:w="3300" w:type="dxa"/>
            <w:vAlign w:val="bottom"/>
            <w:tcBorders>
              <w:left w:val="single" w:sz="8" w:color="010101"/>
              <w:right w:val="single" w:sz="8" w:color="010101"/>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6"/>
              </w:rPr>
              <w:t>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$10,000</w:t>
            </w:r>
          </w:p>
        </w:tc>
      </w:tr>
      <w:tr>
        <w:trPr>
          <w:trHeight w:val="163"/>
        </w:trPr>
        <w:tc>
          <w:tcPr>
            <w:tcW w:w="3300" w:type="dxa"/>
            <w:vAlign w:val="bottom"/>
            <w:tcBorders>
              <w:left w:val="single" w:sz="8" w:color="010101"/>
              <w:bottom w:val="single" w:sz="8" w:color="010101"/>
              <w:right w:val="single" w:sz="8" w:color="010101"/>
            </w:tcBorders>
          </w:tcPr>
          <w:p>
            <w:pPr>
              <w:spacing w:after="0"/>
              <w:rPr>
                <w:sz w:val="14"/>
                <w:szCs w:val="14"/>
                <w:color w:val="auto"/>
              </w:rPr>
            </w:pP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9"/>
              </w:rPr>
              <w:t>Member (Non-Chair)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8"/>
              </w:rPr>
              <w:t>$5,000</w:t>
            </w:r>
          </w:p>
        </w:tc>
      </w:tr>
      <w:tr>
        <w:trPr>
          <w:trHeight w:val="163"/>
        </w:trPr>
        <w:tc>
          <w:tcPr>
            <w:tcW w:w="3300" w:type="dxa"/>
            <w:vAlign w:val="bottom"/>
            <w:tcBorders>
              <w:left w:val="single" w:sz="8" w:color="010101"/>
              <w:right w:val="single" w:sz="8" w:color="010101"/>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Strategic Committee</w:t>
            </w: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6"/>
              </w:rPr>
              <w:t>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rPr>
              <w:t>$15,000</w:t>
            </w:r>
          </w:p>
        </w:tc>
      </w:tr>
      <w:tr>
        <w:trPr>
          <w:trHeight w:val="173"/>
        </w:trPr>
        <w:tc>
          <w:tcPr>
            <w:tcW w:w="3300" w:type="dxa"/>
            <w:vAlign w:val="bottom"/>
            <w:tcBorders>
              <w:left w:val="single" w:sz="8" w:color="010101"/>
              <w:bottom w:val="single" w:sz="8" w:color="010101"/>
              <w:right w:val="single" w:sz="8" w:color="010101"/>
            </w:tcBorders>
          </w:tcPr>
          <w:p>
            <w:pPr>
              <w:spacing w:after="0"/>
              <w:rPr>
                <w:sz w:val="15"/>
                <w:szCs w:val="15"/>
                <w:color w:val="auto"/>
              </w:rPr>
            </w:pPr>
          </w:p>
        </w:tc>
        <w:tc>
          <w:tcPr>
            <w:tcW w:w="276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9"/>
              </w:rPr>
              <w:t>Member (Non-Chair)</w:t>
            </w:r>
          </w:p>
        </w:tc>
        <w:tc>
          <w:tcPr>
            <w:tcW w:w="10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4"/>
                <w:szCs w:val="14"/>
                <w:color w:val="auto"/>
                <w:w w:val="98"/>
              </w:rPr>
              <w:t>$7,500</w:t>
            </w:r>
          </w:p>
        </w:tc>
      </w:tr>
    </w:tbl>
    <w:p>
      <w:pPr>
        <w:spacing w:after="0" w:line="200" w:lineRule="exact"/>
        <w:rPr>
          <w:sz w:val="20"/>
          <w:szCs w:val="20"/>
          <w:color w:val="auto"/>
        </w:rPr>
      </w:pPr>
    </w:p>
    <w:p>
      <w:pPr>
        <w:ind w:left="1440" w:right="1619" w:hanging="476"/>
        <w:spacing w:after="0" w:line="268" w:lineRule="auto"/>
        <w:tabs>
          <w:tab w:leader="none" w:pos="14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Lead Independent Director and the chairperson of the Board are eligible to receive a retainer for service as the Lead Independent Director or chairperson, as applicable, and an additional retainer for service as a member of the Board. The chairperson of each Committee is eligible to receive a retainer for service as the chairperson, but not an additional retainer for service as a member of the Committee.</w:t>
      </w:r>
    </w:p>
    <w:p>
      <w:pPr>
        <w:spacing w:after="0" w:line="162" w:lineRule="exact"/>
        <w:rPr>
          <w:sz w:val="20"/>
          <w:szCs w:val="20"/>
          <w:color w:val="auto"/>
        </w:rPr>
      </w:pPr>
    </w:p>
    <w:p>
      <w:pPr>
        <w:ind w:left="900" w:right="1059" w:firstLine="309"/>
        <w:spacing w:after="0" w:line="265" w:lineRule="auto"/>
        <w:rPr>
          <w:sz w:val="20"/>
          <w:szCs w:val="20"/>
          <w:color w:val="auto"/>
        </w:rPr>
      </w:pPr>
      <w:r>
        <w:rPr>
          <w:rFonts w:ascii="Times New Roman" w:cs="Times New Roman" w:eastAsia="Times New Roman" w:hAnsi="Times New Roman"/>
          <w:sz w:val="14"/>
          <w:szCs w:val="14"/>
          <w:color w:val="auto"/>
        </w:rPr>
        <w:t>The annual retainers shall be paid in arrears in four equal quarterly installments, earned upon the completion of service in each calendar quarter. Notwithstanding the foregoing, each person who is elected or appointed to be a Non-Employee Director or who is appointed to serve on one of the Committees set forth above or as the Lead Independent Director or chairperson of the Board or one of the Committees set forth above, in each case other than on the first day of a calendar quarter, shall be eligible to receive a pro rata amount of the annual retainers described above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Exhibit 10.21</w:t>
      </w:r>
    </w:p>
    <w:p>
      <w:pPr>
        <w:spacing w:after="0" w:line="154" w:lineRule="exact"/>
        <w:rPr>
          <w:sz w:val="20"/>
          <w:szCs w:val="20"/>
          <w:color w:val="auto"/>
        </w:rPr>
      </w:pPr>
    </w:p>
    <w:p>
      <w:pPr>
        <w:jc w:val="both"/>
        <w:ind w:left="900" w:right="1099"/>
        <w:spacing w:after="0" w:line="274" w:lineRule="auto"/>
        <w:rPr>
          <w:sz w:val="20"/>
          <w:szCs w:val="20"/>
          <w:color w:val="auto"/>
        </w:rPr>
      </w:pPr>
      <w:r>
        <w:rPr>
          <w:rFonts w:ascii="Times New Roman" w:cs="Times New Roman" w:eastAsia="Times New Roman" w:hAnsi="Times New Roman"/>
          <w:sz w:val="14"/>
          <w:szCs w:val="14"/>
          <w:color w:val="auto"/>
        </w:rPr>
        <w:t>calendar quarter in which such person becomes a Non-Employee Director, a member of one of the Committees, or the Lead Independent Director or chairperson of the Board or one of the Committees, as applicable, which pro rata amount reflects a reduction for each day during the calendar quarter prior to the date of such election or appointment.</w:t>
      </w:r>
    </w:p>
    <w:p>
      <w:pPr>
        <w:spacing w:after="0" w:line="147" w:lineRule="exact"/>
        <w:rPr>
          <w:sz w:val="20"/>
          <w:szCs w:val="20"/>
          <w:color w:val="auto"/>
        </w:rPr>
      </w:pPr>
    </w:p>
    <w:p>
      <w:pPr>
        <w:ind w:left="900" w:right="959" w:firstLine="309"/>
        <w:spacing w:after="0" w:line="263" w:lineRule="auto"/>
        <w:rPr>
          <w:sz w:val="20"/>
          <w:szCs w:val="20"/>
          <w:color w:val="auto"/>
        </w:rPr>
      </w:pPr>
      <w:r>
        <w:rPr>
          <w:rFonts w:ascii="Times New Roman" w:cs="Times New Roman" w:eastAsia="Times New Roman" w:hAnsi="Times New Roman"/>
          <w:sz w:val="14"/>
          <w:szCs w:val="14"/>
          <w:color w:val="auto"/>
        </w:rPr>
        <w:t xml:space="preserve">The annual retainers shall be paid on a pro-rata basis in arrears after the end of each quarter in the form of cash, or alternatively, subject to each Non-Employee Director’s written election pursuant to the requirements set forth in the following paragraph, in the form of fully vested shares of Common Stock on the same date as the cash retainer would otherwise have been paid (the </w:t>
      </w:r>
      <w:r>
        <w:rPr>
          <w:rFonts w:ascii="Times New Roman" w:cs="Times New Roman" w:eastAsia="Times New Roman" w:hAnsi="Times New Roman"/>
          <w:sz w:val="14"/>
          <w:szCs w:val="14"/>
          <w:b w:val="1"/>
          <w:bCs w:val="1"/>
          <w:i w:val="1"/>
          <w:iCs w:val="1"/>
          <w:color w:val="auto"/>
        </w:rPr>
        <w:t>Payment Date</w:t>
      </w:r>
      <w:r>
        <w:rPr>
          <w:rFonts w:ascii="Times New Roman" w:cs="Times New Roman" w:eastAsia="Times New Roman" w:hAnsi="Times New Roman"/>
          <w:sz w:val="14"/>
          <w:szCs w:val="14"/>
          <w:color w:val="auto"/>
        </w:rPr>
        <w:t>”). Such shares of Common Stock shall be issued under the Market Value Stock Plan based on the Market Value (as defined in the Market Value Stock Plan) as of the Payment Date for retainers paid for service in and after 2019.</w:t>
      </w:r>
    </w:p>
    <w:p>
      <w:pPr>
        <w:spacing w:after="0" w:line="144" w:lineRule="exact"/>
        <w:rPr>
          <w:sz w:val="20"/>
          <w:szCs w:val="20"/>
          <w:color w:val="auto"/>
        </w:rPr>
      </w:pPr>
    </w:p>
    <w:p>
      <w:pPr>
        <w:ind w:left="900" w:right="879" w:firstLine="309"/>
        <w:spacing w:after="0" w:line="258" w:lineRule="auto"/>
        <w:rPr>
          <w:sz w:val="20"/>
          <w:szCs w:val="20"/>
          <w:color w:val="auto"/>
        </w:rPr>
      </w:pPr>
      <w:r>
        <w:rPr>
          <w:rFonts w:ascii="Times New Roman" w:cs="Times New Roman" w:eastAsia="Times New Roman" w:hAnsi="Times New Roman"/>
          <w:sz w:val="14"/>
          <w:szCs w:val="14"/>
          <w:color w:val="auto"/>
        </w:rPr>
        <w:t>Subject to the following sentence, all written elections must be submitted (A) with respect to continuing Non-Employee Directors, prior to January 1 of each calendar year in which the Non-Employee Director is electing to receive fully vested shares of Common Stock in lieu of all or a portion of the cash retainer that would otherwise be paid, or (B) with respect to any person who first becomes a Non-Employee Director in any calendar year, in the first month of the next quarter following the quarter in which he or she first became a Non-Employee Director (such elections, the “</w:t>
      </w:r>
      <w:r>
        <w:rPr>
          <w:rFonts w:ascii="Times New Roman" w:cs="Times New Roman" w:eastAsia="Times New Roman" w:hAnsi="Times New Roman"/>
          <w:sz w:val="14"/>
          <w:szCs w:val="14"/>
          <w:b w:val="1"/>
          <w:bCs w:val="1"/>
          <w:i w:val="1"/>
          <w:iCs w:val="1"/>
          <w:color w:val="auto"/>
        </w:rPr>
        <w:t>Annual Elections</w:t>
      </w:r>
      <w:r>
        <w:rPr>
          <w:rFonts w:ascii="Times New Roman" w:cs="Times New Roman" w:eastAsia="Times New Roman" w:hAnsi="Times New Roman"/>
          <w:sz w:val="14"/>
          <w:szCs w:val="14"/>
          <w:color w:val="auto"/>
        </w:rPr>
        <w:t>”), and all Annual Elections must also be submitted during an “open window period” in accordance with the Company’s then-effective Insider Trading Compliance Program or any other policy on trading in Company securities and when the Non-Employee Director submitting the Annual Election is not otherwise aware of any material, nonpublic information with respect to the Company or any of its securities (collectively, each, an “</w:t>
      </w:r>
      <w:r>
        <w:rPr>
          <w:rFonts w:ascii="Times New Roman" w:cs="Times New Roman" w:eastAsia="Times New Roman" w:hAnsi="Times New Roman"/>
          <w:sz w:val="14"/>
          <w:szCs w:val="14"/>
          <w:b w:val="1"/>
          <w:bCs w:val="1"/>
          <w:i w:val="1"/>
          <w:iCs w:val="1"/>
          <w:color w:val="auto"/>
        </w:rPr>
        <w:t>Open Window</w:t>
      </w:r>
      <w:r>
        <w:rPr>
          <w:rFonts w:ascii="Times New Roman" w:cs="Times New Roman" w:eastAsia="Times New Roman" w:hAnsi="Times New Roman"/>
          <w:sz w:val="14"/>
          <w:szCs w:val="14"/>
          <w:color w:val="auto"/>
        </w:rPr>
        <w:t>”). If a Non-Employee Director is unable to submit an Annual Election within the applicable timeframe set forth in the preceding sentence due to the fact that there were no Open Windows within such applicable timeframe during which an Annual Election could be submitted, then the Annual Election for that calendar year shall be due no later than the tenth business day following the commencement of the next Open Window (provided that an Annual Election is actually submitted during such next Open Window). If, as a result of the preceding sentence, an Annual Election for any calendar year is submitted after the date that is thirty days prior to the end of the next</w:t>
      </w:r>
    </w:p>
    <w:p>
      <w:pPr>
        <w:sectPr>
          <w:pgSz w:w="11900" w:h="16935" w:orient="portrait"/>
          <w:cols w:equalWidth="0" w:num="1">
            <w:col w:w="9019"/>
          </w:cols>
          <w:pgMar w:left="1440" w:top="615" w:right="1440" w:bottom="0" w:gutter="0" w:footer="0" w:header="0"/>
        </w:sectPr>
      </w:pPr>
    </w:p>
    <w:bookmarkStart w:id="104" w:name="page105"/>
    <w:bookmarkEnd w:id="104"/>
    <w:p>
      <w:pPr>
        <w:jc w:val="both"/>
        <w:ind w:left="900" w:right="899"/>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quarter, then such Annual Election shall be applicable only to the quarters ending after the end of such next quarter. Subject to the preceding sentence, an Annual Election to be paid in Common Stock shall be applied to each quarter’s payment during the calendar year of such Annual Election.</w:t>
      </w:r>
    </w:p>
    <w:p>
      <w:pPr>
        <w:spacing w:after="0" w:line="155" w:lineRule="exact"/>
        <w:rPr>
          <w:sz w:val="20"/>
          <w:szCs w:val="20"/>
          <w:color w:val="auto"/>
        </w:rPr>
      </w:pPr>
    </w:p>
    <w:p>
      <w:pPr>
        <w:ind w:left="900" w:right="1019" w:firstLine="308"/>
        <w:spacing w:after="0" w:line="275" w:lineRule="auto"/>
        <w:tabs>
          <w:tab w:leader="none" w:pos="1845"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4"/>
          <w:szCs w:val="14"/>
          <w:color w:val="auto"/>
        </w:rPr>
        <w:t>Each Non-Employee Director shall be eligible for reimbursement from the Company for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reasonable out-of-pocket expenses incurred by the Non-Employee Director in connection with his or her attendance at Board and Committee meetings.</w:t>
      </w:r>
    </w:p>
    <w:p>
      <w:pPr>
        <w:spacing w:after="0" w:line="157" w:lineRule="exact"/>
        <w:rPr>
          <w:sz w:val="20"/>
          <w:szCs w:val="20"/>
          <w:color w:val="auto"/>
        </w:rPr>
      </w:pPr>
    </w:p>
    <w:p>
      <w:pPr>
        <w:ind w:left="900" w:right="1019" w:firstLine="309"/>
        <w:spacing w:after="0" w:line="261" w:lineRule="auto"/>
        <w:rPr>
          <w:sz w:val="20"/>
          <w:szCs w:val="20"/>
          <w:color w:val="auto"/>
        </w:rPr>
      </w:pPr>
      <w:r>
        <w:rPr>
          <w:rFonts w:ascii="Times New Roman" w:cs="Times New Roman" w:eastAsia="Times New Roman" w:hAnsi="Times New Roman"/>
          <w:sz w:val="14"/>
          <w:szCs w:val="14"/>
          <w:color w:val="auto"/>
        </w:rPr>
        <w:t>To the extent that any taxable reimbursements are provided to a Non-Employee Director, they shall be provided in accordance with Section 409A of the Internal Revenue Code of 1986, as amended, and the Treasury Regulations and other guidance thereunder and any state law of similar effect, including, but not limited to, the following provisions: (i) the amount of any such expenses eligible for reimbursement during the Non-Employee Director’s taxable year may not affect the expenses eligible for reimbursement in any other taxable year; (ii) the reimbursement of an eligible expense must be made no later than the last day of the Non-Employee Director’s taxable year that immediately follows the taxable year in which the expense was incurred; and (iii) the right to any reimbursement may not be subject to liquidation or exchange for another benefit.</w:t>
      </w:r>
    </w:p>
    <w:p>
      <w:pPr>
        <w:spacing w:after="0" w:line="165" w:lineRule="exact"/>
        <w:rPr>
          <w:sz w:val="20"/>
          <w:szCs w:val="20"/>
          <w:color w:val="auto"/>
        </w:rPr>
      </w:pPr>
    </w:p>
    <w:p>
      <w:pPr>
        <w:ind w:left="900" w:right="1219" w:hanging="1"/>
        <w:spacing w:after="0" w:line="275" w:lineRule="auto"/>
        <w:tabs>
          <w:tab w:leader="none" w:pos="1330"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EQUITY COMPENSATION. </w:t>
      </w:r>
      <w:r>
        <w:rPr>
          <w:rFonts w:ascii="Times New Roman" w:cs="Times New Roman" w:eastAsia="Times New Roman" w:hAnsi="Times New Roman"/>
          <w:sz w:val="14"/>
          <w:szCs w:val="14"/>
          <w:color w:val="auto"/>
        </w:rPr>
        <w:t>The options described in this Policy will be granted under the 2018 Plan and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be subject to the terms and conditions of (i) this Policy, (ii) the 2018 Plan and (ii) the forms of Option </w:t>
      </w:r>
      <w:r>
        <w:rPr>
          <w:rFonts w:ascii="Times New Roman" w:cs="Times New Roman" w:eastAsia="Times New Roman" w:hAnsi="Times New Roman"/>
          <w:sz w:val="14"/>
          <w:szCs w:val="14"/>
          <w:b w:val="1"/>
          <w:bCs w:val="1"/>
          <w:i w:val="1"/>
          <w:iCs w:val="1"/>
          <w:color w:val="auto"/>
        </w:rPr>
        <w:t>Agreements</w:t>
      </w:r>
      <w:r>
        <w:rPr>
          <w:rFonts w:ascii="Times New Roman" w:cs="Times New Roman" w:eastAsia="Times New Roman" w:hAnsi="Times New Roman"/>
          <w:sz w:val="14"/>
          <w:szCs w:val="14"/>
          <w:color w:val="auto"/>
        </w:rPr>
        <w:t xml:space="preserve"> approved by the Board for the grant of options to Non-Employee Directors under the 2018 Plan.</w:t>
      </w:r>
    </w:p>
    <w:p>
      <w:pPr>
        <w:spacing w:after="0" w:line="144" w:lineRule="exact"/>
        <w:rPr>
          <w:rFonts w:ascii="Times New Roman" w:cs="Times New Roman" w:eastAsia="Times New Roman" w:hAnsi="Times New Roman"/>
          <w:sz w:val="14"/>
          <w:szCs w:val="14"/>
          <w:b w:val="1"/>
          <w:bCs w:val="1"/>
          <w:color w:val="auto"/>
        </w:rPr>
      </w:pPr>
    </w:p>
    <w:p>
      <w:pPr>
        <w:ind w:left="900" w:right="1059" w:firstLine="308"/>
        <w:spacing w:after="0" w:line="266" w:lineRule="auto"/>
        <w:tabs>
          <w:tab w:leader="none" w:pos="1845" w:val="left"/>
        </w:tabs>
        <w:numPr>
          <w:ilvl w:val="1"/>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Initial Grants. </w:t>
      </w:r>
      <w:r>
        <w:rPr>
          <w:rFonts w:ascii="Times New Roman" w:cs="Times New Roman" w:eastAsia="Times New Roman" w:hAnsi="Times New Roman"/>
          <w:sz w:val="14"/>
          <w:szCs w:val="14"/>
          <w:color w:val="auto"/>
        </w:rPr>
        <w:t>Each person who first becomes a Non-Employee Director, whether through election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stockholders of the Company or appointment by the Board to fill a vacancy, automatically shall be granted a Nonstatutory Stock Option to purchase 270,000 shares of Common Stock (a “First Director Option”) on the date of his or her initial election or appointment to be a Non-Employee Director. For the avoidance of doubt, an executive chairman of the Board shall not be eligible to receive a First Director Option pursuant to this Section 2(a).</w:t>
      </w:r>
    </w:p>
    <w:p>
      <w:pPr>
        <w:spacing w:after="0" w:line="171" w:lineRule="exact"/>
        <w:rPr>
          <w:rFonts w:ascii="Times New Roman" w:cs="Times New Roman" w:eastAsia="Times New Roman" w:hAnsi="Times New Roman"/>
          <w:sz w:val="14"/>
          <w:szCs w:val="14"/>
          <w:b w:val="1"/>
          <w:bCs w:val="1"/>
          <w:color w:val="auto"/>
        </w:rPr>
      </w:pPr>
    </w:p>
    <w:p>
      <w:pPr>
        <w:ind w:left="900" w:right="1279" w:firstLine="305"/>
        <w:spacing w:after="0" w:line="275" w:lineRule="auto"/>
        <w:tabs>
          <w:tab w:leader="none" w:pos="1849" w:val="left"/>
        </w:tabs>
        <w:numPr>
          <w:ilvl w:val="1"/>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Annual Grants. </w:t>
      </w:r>
      <w:r>
        <w:rPr>
          <w:rFonts w:ascii="Times New Roman" w:cs="Times New Roman" w:eastAsia="Times New Roman" w:hAnsi="Times New Roman"/>
          <w:sz w:val="14"/>
          <w:szCs w:val="14"/>
          <w:color w:val="auto"/>
        </w:rPr>
        <w:t>On the date of each annual meeting of the Company’s stockholder each person who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then a Non-Employee Director and shall be continuing as a Non-Employee Director following the date of such annual meeting (other than any Non-Employee Director receiving a First Director Option on the date of such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6"/>
          <w:szCs w:val="16"/>
          <w:color w:val="auto"/>
        </w:rPr>
        <w:t>Exhibit 10.21</w:t>
      </w:r>
    </w:p>
    <w:p>
      <w:pPr>
        <w:spacing w:after="0" w:line="142" w:lineRule="exact"/>
        <w:rPr>
          <w:sz w:val="20"/>
          <w:szCs w:val="20"/>
          <w:color w:val="auto"/>
        </w:rPr>
      </w:pPr>
    </w:p>
    <w:p>
      <w:pPr>
        <w:ind w:left="900" w:right="1279"/>
        <w:spacing w:after="0" w:line="274" w:lineRule="auto"/>
        <w:rPr>
          <w:sz w:val="20"/>
          <w:szCs w:val="20"/>
          <w:color w:val="auto"/>
        </w:rPr>
      </w:pPr>
      <w:r>
        <w:rPr>
          <w:rFonts w:ascii="Times New Roman" w:cs="Times New Roman" w:eastAsia="Times New Roman" w:hAnsi="Times New Roman"/>
          <w:sz w:val="14"/>
          <w:szCs w:val="14"/>
          <w:color w:val="auto"/>
        </w:rPr>
        <w:t>automatically shall be granted (i) a Nonstatutory Stock Option to purchase 220,000 shares of Common Stock (a “Subsequent Director Option”). For the avoidance of doubt, an executive chairman of the Board shall not be eligible to receive a Subsequent Director Option pursuant to this Section 2(b).</w:t>
      </w:r>
    </w:p>
    <w:p>
      <w:pPr>
        <w:spacing w:after="0" w:line="134" w:lineRule="exact"/>
        <w:rPr>
          <w:sz w:val="20"/>
          <w:szCs w:val="20"/>
          <w:color w:val="auto"/>
        </w:rPr>
      </w:pPr>
    </w:p>
    <w:p>
      <w:pPr>
        <w:ind w:left="1400" w:hanging="192"/>
        <w:spacing w:after="0"/>
        <w:tabs>
          <w:tab w:leader="none" w:pos="1400" w:val="left"/>
        </w:tabs>
        <w:numPr>
          <w:ilvl w:val="1"/>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Terms of Options.</w:t>
      </w:r>
    </w:p>
    <w:p>
      <w:pPr>
        <w:spacing w:after="0" w:line="216" w:lineRule="exact"/>
        <w:rPr>
          <w:rFonts w:ascii="Times New Roman" w:cs="Times New Roman" w:eastAsia="Times New Roman" w:hAnsi="Times New Roman"/>
          <w:sz w:val="14"/>
          <w:szCs w:val="14"/>
          <w:b w:val="1"/>
          <w:bCs w:val="1"/>
          <w:color w:val="auto"/>
        </w:rPr>
      </w:pPr>
    </w:p>
    <w:p>
      <w:pPr>
        <w:ind w:left="820" w:right="1679" w:firstLine="509"/>
        <w:spacing w:after="0" w:line="256" w:lineRule="auto"/>
        <w:tabs>
          <w:tab w:leader="none" w:pos="1851" w:val="left"/>
        </w:tabs>
        <w:numPr>
          <w:ilvl w:val="2"/>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The exercise price of each First Director Option and Subsequent Director Option shall be equal to 100% of the Fair Market Value of the Common Stock subject to such option (as determined in accordance with the 2018 Plan) on the date such option is granted.</w:t>
      </w:r>
    </w:p>
    <w:p>
      <w:pPr>
        <w:spacing w:after="0" w:line="158" w:lineRule="exact"/>
        <w:rPr>
          <w:rFonts w:ascii="Times New Roman" w:cs="Times New Roman" w:eastAsia="Times New Roman" w:hAnsi="Times New Roman"/>
          <w:sz w:val="16"/>
          <w:szCs w:val="16"/>
          <w:b w:val="1"/>
          <w:bCs w:val="1"/>
          <w:color w:val="auto"/>
        </w:rPr>
      </w:pPr>
    </w:p>
    <w:p>
      <w:pPr>
        <w:ind w:left="1920" w:hanging="591"/>
        <w:spacing w:after="0"/>
        <w:tabs>
          <w:tab w:leader="none" w:pos="1920" w:val="left"/>
        </w:tabs>
        <w:numPr>
          <w:ilvl w:val="2"/>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xml:space="preserve"> . Each First Director Option and Subsequent Director Option shall vest and become exercisable as</w:t>
      </w:r>
    </w:p>
    <w:p>
      <w:pPr>
        <w:spacing w:after="0" w:line="24" w:lineRule="exact"/>
        <w:rPr>
          <w:rFonts w:ascii="Times New Roman" w:cs="Times New Roman" w:eastAsia="Times New Roman" w:hAnsi="Times New Roman"/>
          <w:sz w:val="14"/>
          <w:szCs w:val="14"/>
          <w:b w:val="1"/>
          <w:bCs w:val="1"/>
          <w:color w:val="auto"/>
        </w:rPr>
      </w:pPr>
    </w:p>
    <w:p>
      <w:pPr>
        <w:ind w:left="9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follows:</w:t>
      </w:r>
    </w:p>
    <w:p>
      <w:pPr>
        <w:spacing w:after="0" w:line="190" w:lineRule="exact"/>
        <w:rPr>
          <w:rFonts w:ascii="Times New Roman" w:cs="Times New Roman" w:eastAsia="Times New Roman" w:hAnsi="Times New Roman"/>
          <w:sz w:val="14"/>
          <w:szCs w:val="14"/>
          <w:b w:val="1"/>
          <w:bCs w:val="1"/>
          <w:color w:val="auto"/>
        </w:rPr>
      </w:pPr>
    </w:p>
    <w:p>
      <w:pPr>
        <w:jc w:val="both"/>
        <w:ind w:left="900" w:right="1019" w:firstLine="935"/>
        <w:spacing w:after="0" w:line="274" w:lineRule="auto"/>
        <w:tabs>
          <w:tab w:leader="none" w:pos="2361" w:val="left"/>
        </w:tabs>
        <w:numPr>
          <w:ilvl w:val="3"/>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Each First Director Option shall vest and become exercisable in installments cumulatively as to 33 1/3% of the shares of Common Stock subject to such option on each of the first, second and third anniversaries of the date of grant of such option, subject to the Non-Employee Director’s Continuous Service through such dates.</w:t>
      </w:r>
    </w:p>
    <w:p>
      <w:pPr>
        <w:spacing w:after="0" w:line="146" w:lineRule="exact"/>
        <w:rPr>
          <w:rFonts w:ascii="Times New Roman" w:cs="Times New Roman" w:eastAsia="Times New Roman" w:hAnsi="Times New Roman"/>
          <w:sz w:val="14"/>
          <w:szCs w:val="14"/>
          <w:b w:val="1"/>
          <w:bCs w:val="1"/>
          <w:color w:val="auto"/>
        </w:rPr>
      </w:pPr>
    </w:p>
    <w:p>
      <w:pPr>
        <w:ind w:left="900" w:right="919" w:firstLine="935"/>
        <w:spacing w:after="0" w:line="261" w:lineRule="auto"/>
        <w:tabs>
          <w:tab w:leader="none" w:pos="2361" w:val="left"/>
        </w:tabs>
        <w:numPr>
          <w:ilvl w:val="3"/>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Each Subsequent Director Option shall vest and become exercisable as to 100% of the shares of Common Stock subject to such option on the earlier of the (i) date of the next annual meeting of the Company’s stockholders (the “Next Annual Meeting”) or (ii) first anniversary of the grant date of such option, subject to the Non-Employee Director’s Continuous Service through such dates. For the sake of clarity, if a Non-Employee Director either</w:t>
      </w:r>
    </w:p>
    <w:p>
      <w:pPr>
        <w:ind w:left="900" w:right="999" w:hanging="1"/>
        <w:spacing w:after="0" w:line="260" w:lineRule="auto"/>
        <w:tabs>
          <w:tab w:leader="none" w:pos="1103"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stand for reelection at the Next Annual Meeting and is a member of the class of directors whose term expires at the Next Annual Meeting or (y) otherwise resigns from the Board effective at or on the date of the Next Annual Meeting and, in either case, the Non-Employee Director’s Continuous Service terminates at or on the date of the Next Annual Meeting, then such Non-Employee Director’s Continuous Service shall be deemed to have continued through the date of the Next Annual Meeting for purposes of this Policy.</w:t>
      </w:r>
    </w:p>
    <w:p>
      <w:pPr>
        <w:spacing w:after="0" w:line="145" w:lineRule="exact"/>
        <w:rPr>
          <w:rFonts w:ascii="Times New Roman" w:cs="Times New Roman" w:eastAsia="Times New Roman" w:hAnsi="Times New Roman"/>
          <w:sz w:val="14"/>
          <w:szCs w:val="14"/>
          <w:color w:val="auto"/>
        </w:rPr>
      </w:pPr>
    </w:p>
    <w:p>
      <w:pPr>
        <w:ind w:left="900" w:right="959" w:firstLine="935"/>
        <w:spacing w:after="0" w:line="268" w:lineRule="auto"/>
        <w:tabs>
          <w:tab w:leader="none" w:pos="2361" w:val="left"/>
        </w:tabs>
        <w:numPr>
          <w:ilvl w:val="3"/>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Sections 2(c)(</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(A) and 2(c)(i)(B) above, the vesting of a First Director Option and Subsequent Director Option shall be subject to (i) full acceleration in the event of a Change in Control and (ii) partial acceleration in the event of the Non-Employee Director’s termination of Continuous Service by reason of the Non-Employee Director’s Disability or death pursuant to, and in accordance with, the 2018 Plan and each Option Agreement.</w:t>
      </w:r>
    </w:p>
    <w:p>
      <w:pPr>
        <w:spacing w:after="0" w:line="149" w:lineRule="exact"/>
        <w:rPr>
          <w:sz w:val="20"/>
          <w:szCs w:val="20"/>
          <w:color w:val="auto"/>
        </w:rPr>
      </w:pPr>
    </w:p>
    <w:p>
      <w:pPr>
        <w:ind w:left="900" w:right="1119" w:hanging="1"/>
        <w:spacing w:after="0" w:line="279" w:lineRule="auto"/>
        <w:tabs>
          <w:tab w:leader="none" w:pos="1365"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 xml:space="preserve">NON-EMPLOYEE DIRECTOR COMPENSATION LIMIT. </w:t>
      </w:r>
      <w:r>
        <w:rPr>
          <w:rFonts w:ascii="Times New Roman" w:cs="Times New Roman" w:eastAsia="Times New Roman" w:hAnsi="Times New Roman"/>
          <w:sz w:val="14"/>
          <w:szCs w:val="14"/>
          <w:color w:val="auto"/>
        </w:rPr>
        <w:t>Notwithstanding the foregoing, the aggregate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value of all compensation granted or paid, as applicable, to any individual for service as a Non-Employee Director shall in no event exceed the limits set forth in Section IV(c) of the 2018 Plan.</w:t>
      </w:r>
    </w:p>
    <w:p>
      <w:pPr>
        <w:sectPr>
          <w:pgSz w:w="11900" w:h="16838" w:orient="portrait"/>
          <w:cols w:equalWidth="0" w:num="1">
            <w:col w:w="9019"/>
          </w:cols>
          <w:pgMar w:left="1440" w:top="146" w:right="1440" w:bottom="1440" w:gutter="0" w:footer="0" w:header="0"/>
        </w:sectPr>
      </w:pPr>
    </w:p>
    <w:bookmarkStart w:id="105" w:name="page106"/>
    <w:bookmarkEnd w:id="105"/>
    <w:p>
      <w:pPr>
        <w:spacing w:after="0" w:line="279" w:lineRule="auto"/>
        <w:tabs>
          <w:tab w:leader="none" w:pos="13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391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7160260" cy="739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FIRST AMENDMENT</w:t>
      </w:r>
    </w:p>
    <w:p>
      <w:pPr>
        <w:spacing w:after="0" w:line="202" w:lineRule="exact"/>
        <w:rPr>
          <w:sz w:val="20"/>
          <w:szCs w:val="20"/>
          <w:color w:val="auto"/>
        </w:rPr>
      </w:pPr>
    </w:p>
    <w:p>
      <w:pPr>
        <w:jc w:val="both"/>
        <w:ind w:firstLine="515"/>
        <w:spacing w:after="0" w:line="263" w:lineRule="auto"/>
        <w:rPr>
          <w:sz w:val="20"/>
          <w:szCs w:val="20"/>
          <w:color w:val="auto"/>
        </w:rPr>
      </w:pPr>
      <w:r>
        <w:rPr>
          <w:rFonts w:ascii="Times New Roman" w:cs="Times New Roman" w:eastAsia="Times New Roman" w:hAnsi="Times New Roman"/>
          <w:sz w:val="17"/>
          <w:szCs w:val="17"/>
          <w:color w:val="auto"/>
        </w:rPr>
        <w:t>This First Amendment to Loan Agreement (this “</w:t>
      </w:r>
      <w:r>
        <w:rPr>
          <w:rFonts w:ascii="Times New Roman" w:cs="Times New Roman" w:eastAsia="Times New Roman" w:hAnsi="Times New Roman"/>
          <w:sz w:val="17"/>
          <w:szCs w:val="17"/>
          <w:b w:val="1"/>
          <w:bCs w:val="1"/>
          <w:color w:val="auto"/>
        </w:rPr>
        <w:t>First Amendment</w:t>
      </w:r>
      <w:r>
        <w:rPr>
          <w:rFonts w:ascii="Times New Roman" w:cs="Times New Roman" w:eastAsia="Times New Roman" w:hAnsi="Times New Roman"/>
          <w:sz w:val="17"/>
          <w:szCs w:val="17"/>
          <w:color w:val="auto"/>
        </w:rPr>
        <w:t>”), dated as of January 5, 2026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entered into by and among GERON CORPORATION, a Delaware corporation (as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and a Credit Party), BIOPHARMA CREDIT PLC, a public limited company incorporated under the laws of England and Wales (as the “</w:t>
      </w:r>
      <w:r>
        <w:rPr>
          <w:rFonts w:ascii="Times New Roman" w:cs="Times New Roman" w:eastAsia="Times New Roman" w:hAnsi="Times New Roman"/>
          <w:sz w:val="17"/>
          <w:szCs w:val="17"/>
          <w:b w:val="1"/>
          <w:bCs w:val="1"/>
          <w:color w:val="auto"/>
        </w:rPr>
        <w:t>Collateral Agent</w:t>
      </w:r>
      <w:r>
        <w:rPr>
          <w:rFonts w:ascii="Times New Roman" w:cs="Times New Roman" w:eastAsia="Times New Roman" w:hAnsi="Times New Roman"/>
          <w:sz w:val="17"/>
          <w:szCs w:val="17"/>
          <w:color w:val="auto"/>
        </w:rPr>
        <w:t>”), BPCR LIMITED PARTNERSHIP, a limited partnership formed in England and successor-in-interest to BioPharma Credit PLC (as a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and BIOPHARMA CREDIT INVESTMENTS V (MASTER) LP, a Cayman Islands exempted limited partnership (as a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RECITALS</w:t>
      </w:r>
    </w:p>
    <w:p>
      <w:pPr>
        <w:spacing w:after="0" w:line="180" w:lineRule="exact"/>
        <w:rPr>
          <w:sz w:val="20"/>
          <w:szCs w:val="20"/>
          <w:color w:val="auto"/>
        </w:rPr>
      </w:pPr>
    </w:p>
    <w:p>
      <w:pPr>
        <w:jc w:val="both"/>
        <w:ind w:firstLine="515"/>
        <w:spacing w:after="0" w:line="297" w:lineRule="auto"/>
        <w:rPr>
          <w:sz w:val="20"/>
          <w:szCs w:val="20"/>
          <w:color w:val="auto"/>
        </w:rPr>
      </w:pPr>
      <w:r>
        <w:rPr>
          <w:rFonts w:ascii="Times New Roman" w:cs="Times New Roman" w:eastAsia="Times New Roman" w:hAnsi="Times New Roman"/>
          <w:sz w:val="17"/>
          <w:szCs w:val="17"/>
          <w:color w:val="auto"/>
        </w:rPr>
        <w:t>WHEREAS, Borrower, Guarantors from time-to-time party thereto, the Collateral Agent and the Lenders have entered into that certain Loan Agreement, dated as of November 1, 2024 (the “</w:t>
      </w:r>
      <w:r>
        <w:rPr>
          <w:rFonts w:ascii="Times New Roman" w:cs="Times New Roman" w:eastAsia="Times New Roman" w:hAnsi="Times New Roman"/>
          <w:sz w:val="17"/>
          <w:szCs w:val="17"/>
          <w:b w:val="1"/>
          <w:bCs w:val="1"/>
          <w:color w:val="auto"/>
        </w:rPr>
        <w:t>Loan Agreement</w:t>
      </w:r>
      <w:r>
        <w:rPr>
          <w:rFonts w:ascii="Times New Roman" w:cs="Times New Roman" w:eastAsia="Times New Roman" w:hAnsi="Times New Roman"/>
          <w:sz w:val="17"/>
          <w:szCs w:val="17"/>
          <w:color w:val="auto"/>
        </w:rPr>
        <w:t>”); and</w:t>
      </w:r>
    </w:p>
    <w:p>
      <w:pPr>
        <w:spacing w:after="0" w:line="107" w:lineRule="exact"/>
        <w:rPr>
          <w:sz w:val="20"/>
          <w:szCs w:val="20"/>
          <w:color w:val="auto"/>
        </w:rPr>
      </w:pPr>
    </w:p>
    <w:p>
      <w:pPr>
        <w:jc w:val="both"/>
        <w:ind w:firstLine="515"/>
        <w:spacing w:after="0" w:line="284" w:lineRule="auto"/>
        <w:rPr>
          <w:sz w:val="20"/>
          <w:szCs w:val="20"/>
          <w:color w:val="auto"/>
        </w:rPr>
      </w:pPr>
      <w:r>
        <w:rPr>
          <w:rFonts w:ascii="Times New Roman" w:cs="Times New Roman" w:eastAsia="Times New Roman" w:hAnsi="Times New Roman"/>
          <w:sz w:val="17"/>
          <w:szCs w:val="17"/>
          <w:color w:val="auto"/>
        </w:rPr>
        <w:t>WHEREAS, in accordance with Section 11.5 of the Loan Agreement, Borrower, Collateral Agent and Lenders desire to amend the Loan Agreement to modify certain terms and conditions, in each case on the terms and conditions set forth herein.</w:t>
      </w:r>
    </w:p>
    <w:p>
      <w:pPr>
        <w:spacing w:after="0" w:line="11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u w:val="single" w:color="auto"/>
          <w:color w:val="auto"/>
        </w:rPr>
        <w:t>AGREEMENT</w:t>
      </w:r>
    </w:p>
    <w:p>
      <w:pPr>
        <w:spacing w:after="0" w:line="180" w:lineRule="exact"/>
        <w:rPr>
          <w:sz w:val="20"/>
          <w:szCs w:val="20"/>
          <w:color w:val="auto"/>
        </w:rPr>
      </w:pPr>
    </w:p>
    <w:p>
      <w:pPr>
        <w:jc w:val="both"/>
        <w:ind w:firstLine="515"/>
        <w:spacing w:after="0" w:line="284" w:lineRule="auto"/>
        <w:rPr>
          <w:sz w:val="20"/>
          <w:szCs w:val="20"/>
          <w:color w:val="auto"/>
        </w:rPr>
      </w:pPr>
      <w:r>
        <w:rPr>
          <w:rFonts w:ascii="Times New Roman" w:cs="Times New Roman" w:eastAsia="Times New Roman" w:hAnsi="Times New Roman"/>
          <w:sz w:val="17"/>
          <w:szCs w:val="17"/>
          <w:color w:val="auto"/>
        </w:rPr>
        <w:t>NOW, THEREFORE, in consideration of the foregoing recitals and other good and valuable consideration, the receipt and adequacy of which is hereby acknowledged, and intending to be legally bound by this First Amendment, the undersigned hereby agrees and declares as follows:</w:t>
      </w:r>
    </w:p>
    <w:p>
      <w:pPr>
        <w:spacing w:after="0" w:line="128"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Definitions; Interpretation</w:t>
      </w:r>
      <w:r>
        <w:rPr>
          <w:rFonts w:ascii="Times New Roman" w:cs="Times New Roman" w:eastAsia="Times New Roman" w:hAnsi="Times New Roman"/>
          <w:sz w:val="17"/>
          <w:szCs w:val="17"/>
          <w:color w:val="auto"/>
        </w:rPr>
        <w:t>. All capitalized terms used in this First Amendment (including in the recitals hereof) and not otherwise defined herein shall have the meanings assigned to them in the Loan Agreement. The rules of interpretation set forth in the first paragraph of Section 13.1 of the Loan Agreement shall be applicable to this First Amendment and are incorporated herein by this reference.</w:t>
      </w:r>
    </w:p>
    <w:p>
      <w:pPr>
        <w:spacing w:after="0" w:line="132"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u w:val="single" w:color="auto"/>
          <w:color w:val="auto"/>
        </w:rPr>
        <w:t>Amendments to the Loan Agreement</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firstLine="521"/>
        <w:spacing w:after="0" w:line="297" w:lineRule="auto"/>
        <w:tabs>
          <w:tab w:leader="none" w:pos="102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Section 3.6 of the Loan Agreement and replacing it as follows:</w:t>
      </w:r>
    </w:p>
    <w:p>
      <w:pPr>
        <w:spacing w:after="0" w:line="103" w:lineRule="exact"/>
        <w:rPr>
          <w:sz w:val="20"/>
          <w:szCs w:val="20"/>
          <w:color w:val="auto"/>
        </w:rPr>
      </w:pPr>
    </w:p>
    <w:p>
      <w:pPr>
        <w:jc w:val="both"/>
        <w:ind w:left="5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Procedures for Borrowing</w:t>
      </w:r>
      <w:r>
        <w:rPr>
          <w:rFonts w:ascii="Times New Roman" w:cs="Times New Roman" w:eastAsia="Times New Roman" w:hAnsi="Times New Roman"/>
          <w:sz w:val="17"/>
          <w:szCs w:val="17"/>
          <w:color w:val="auto"/>
        </w:rPr>
        <w:t>. Subject to the prior satisfaction of all other applicable conditions to the making of each Term Loan set forth in this Agreement, to obtain any Term Loan, Borrower shall deliver to the Collateral Agent and Lenders by electronic mail or facsimile a completed Advance Request Form (but for the funds flow to be attached thereto) for such Term Loan executed by a Responsible Officer of Borrower (which notice shall be irrevocable on and after the date on which such notice is given and Borrower shall be bound to make a borrowing in accordance therewith), in which case each Lender agrees to advance its Applicable Percentage of such Term Loan to Borrower</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1280"/>
          </w:cols>
          <w:pgMar w:left="300" w:top="125" w:right="319" w:bottom="1440" w:gutter="0" w:footer="0" w:header="0"/>
        </w:sectPr>
      </w:pPr>
    </w:p>
    <w:bookmarkStart w:id="107" w:name="page108"/>
    <w:bookmarkEnd w:id="107"/>
    <w:p>
      <w:pPr>
        <w:jc w:val="both"/>
        <w:ind w:left="520"/>
        <w:spacing w:after="0" w:line="258" w:lineRule="auto"/>
        <w:rPr>
          <w:sz w:val="20"/>
          <w:szCs w:val="20"/>
          <w:color w:val="auto"/>
        </w:rPr>
      </w:pPr>
      <w:r>
        <w:rPr>
          <w:rFonts w:ascii="Times New Roman" w:cs="Times New Roman" w:eastAsia="Times New Roman" w:hAnsi="Times New Roman"/>
          <w:sz w:val="17"/>
          <w:szCs w:val="17"/>
          <w:color w:val="auto"/>
        </w:rPr>
        <w:t xml:space="preserve">on the Tranche A Closing Date, Tranche B Closing Date or Tranche C Closing Date, as applicable, by wire transfer of same day funds in Dollars, to such account(s) in the United States as may be designated in writing to the Collateral Agent by Borrower at least two (2) Business Days prior to the Tranche A Closing Date, Tranche B Closing Date or Tranche C Closing Date,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with respect to the Tranche B Loan, Borrower shall deliver to the Collateral Agent and Lenders by electronic mail or facsimile, at its option should it wish to obtain the Tranche B Loan, such completed Advance Request Form no later than July 30, 2026;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with respect to the Tranche C Loan, Borrower shall deliver to the Collateral Agent and Lenders by electronic mail or facsimile, at its option should it wish to obtain the Tranche C Loan, such completed Advance Request Form no earlier than the date on which the Tranche C Net Sales Trigger has occurred and no later than July 30, 2026.”</w:t>
      </w:r>
    </w:p>
    <w:p>
      <w:pPr>
        <w:spacing w:after="0" w:line="140" w:lineRule="exact"/>
        <w:rPr>
          <w:sz w:val="20"/>
          <w:szCs w:val="20"/>
          <w:color w:val="auto"/>
        </w:rPr>
      </w:pPr>
    </w:p>
    <w:p>
      <w:pPr>
        <w:ind w:firstLine="521"/>
        <w:spacing w:after="0" w:line="297" w:lineRule="auto"/>
        <w:tabs>
          <w:tab w:leader="none" w:pos="102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the definition of “Tranche B Closing Date” in Section 13.1 of the Loan Agreement and replacing it as follows:</w:t>
      </w:r>
    </w:p>
    <w:p>
      <w:pPr>
        <w:spacing w:after="0" w:line="103" w:lineRule="exact"/>
        <w:rPr>
          <w:sz w:val="20"/>
          <w:szCs w:val="20"/>
          <w:color w:val="auto"/>
        </w:rPr>
      </w:pPr>
    </w:p>
    <w:p>
      <w:pPr>
        <w:jc w:val="both"/>
        <w:ind w:firstLine="51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Tranche B Closing Date</w:t>
      </w:r>
      <w:r>
        <w:rPr>
          <w:rFonts w:ascii="Times New Roman" w:cs="Times New Roman" w:eastAsia="Times New Roman" w:hAnsi="Times New Roman"/>
          <w:sz w:val="17"/>
          <w:szCs w:val="17"/>
          <w:color w:val="auto"/>
        </w:rPr>
        <w:t xml:space="preserve">” means the date on which the Tranche B Loan is advanced by Lenders, which, as indicated in the Advance Request Form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for the Tranche B Loan and subject to the satisfaction of the conditions precedent to the Tranche B Loan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shall be sixty (60) days (or such shorter period as may be agreed to by Lenders) following the delivery by Borrower to the Collateral Agent of the completed Advance Request Form for the Tranche B Loan and, in no event, later than September 30, 2026.”</w:t>
      </w:r>
    </w:p>
    <w:p>
      <w:pPr>
        <w:spacing w:after="0" w:line="157" w:lineRule="exact"/>
        <w:rPr>
          <w:sz w:val="20"/>
          <w:szCs w:val="20"/>
          <w:color w:val="auto"/>
        </w:rPr>
      </w:pPr>
    </w:p>
    <w:p>
      <w:pPr>
        <w:ind w:firstLine="521"/>
        <w:spacing w:after="0" w:line="297" w:lineRule="auto"/>
        <w:tabs>
          <w:tab w:leader="none" w:pos="102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the definition of “Tranche B Commitment” in Section 13.1 of the Loan Agreement and replacing it as follows:</w:t>
      </w:r>
    </w:p>
    <w:p>
      <w:pPr>
        <w:spacing w:after="0" w:line="103" w:lineRule="exact"/>
        <w:rPr>
          <w:sz w:val="20"/>
          <w:szCs w:val="20"/>
          <w:color w:val="auto"/>
        </w:rPr>
      </w:pPr>
    </w:p>
    <w:p>
      <w:pPr>
        <w:jc w:val="both"/>
        <w:ind w:firstLine="51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Tranche B Commitment</w:t>
      </w:r>
      <w:r>
        <w:rPr>
          <w:rFonts w:ascii="Times New Roman" w:cs="Times New Roman" w:eastAsia="Times New Roman" w:hAnsi="Times New Roman"/>
          <w:sz w:val="17"/>
          <w:szCs w:val="17"/>
          <w:color w:val="auto"/>
        </w:rPr>
        <w:t xml:space="preserve">” means, with respect to any Lender, the commitment of such Lender to make the Credit Extensions relating to the Tranche B Loan on the Tranche B Closing Date in the aggregate principal amount set forth opposite such Lender’s name on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attached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parties hereto agree that such commitment, and any obligations of such Lender hereunder with respect thereto, shall terminate automatically without any further action by any party hereto and be of no further force and effect if the Tranche B Closing Date does not occur on or before September 30, 2026 (at such time in either case, for purposes of this Agreement, such Lender’s Tranche B Commitment equals zero).”</w:t>
      </w:r>
    </w:p>
    <w:p>
      <w:pPr>
        <w:spacing w:after="0" w:line="136" w:lineRule="exact"/>
        <w:rPr>
          <w:sz w:val="20"/>
          <w:szCs w:val="20"/>
          <w:color w:val="auto"/>
        </w:rPr>
      </w:pPr>
    </w:p>
    <w:p>
      <w:pPr>
        <w:ind w:firstLine="521"/>
        <w:spacing w:after="0" w:line="284" w:lineRule="auto"/>
        <w:tabs>
          <w:tab w:leader="none" w:pos="102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the definition of “Tranche B Loan Amount” in Section 13.1 of the Loan Agreement and replacing it as follows:</w:t>
      </w:r>
    </w:p>
    <w:p>
      <w:pPr>
        <w:spacing w:after="0" w:line="113" w:lineRule="exact"/>
        <w:rPr>
          <w:sz w:val="20"/>
          <w:szCs w:val="20"/>
          <w:color w:val="auto"/>
        </w:rPr>
      </w:pPr>
    </w:p>
    <w:p>
      <w:pPr>
        <w:jc w:val="both"/>
        <w:ind w:firstLine="515"/>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Tranche B Loan Amount</w:t>
      </w:r>
      <w:r>
        <w:rPr>
          <w:rFonts w:ascii="Times New Roman" w:cs="Times New Roman" w:eastAsia="Times New Roman" w:hAnsi="Times New Roman"/>
          <w:sz w:val="17"/>
          <w:szCs w:val="17"/>
          <w:color w:val="auto"/>
        </w:rPr>
        <w:t xml:space="preserve">” means an original principal amount equal to Seventy-Five Million Dollars ($75,000,000.00);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Tranche B Closing Date does not occur on or before September 30, 2026, then the Tranche B Loan Amount, from and after such time for purposes of this Agreement, equals zero.”</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1280"/>
          </w:cols>
          <w:pgMar w:left="300" w:top="1160" w:right="319" w:bottom="1440" w:gutter="0" w:footer="0" w:header="0"/>
        </w:sectPr>
      </w:pPr>
    </w:p>
    <w:bookmarkStart w:id="108" w:name="page109"/>
    <w:bookmarkEnd w:id="108"/>
    <w:p>
      <w:pPr>
        <w:ind w:firstLine="521"/>
        <w:spacing w:after="0" w:line="284" w:lineRule="auto"/>
        <w:tabs>
          <w:tab w:leader="none" w:pos="102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the definition of “Tranche C Closing Date” in Section 13.1 of the Loan Agreement and replacing it as follows:</w:t>
      </w:r>
    </w:p>
    <w:p>
      <w:pPr>
        <w:spacing w:after="0" w:line="113" w:lineRule="exact"/>
        <w:rPr>
          <w:sz w:val="20"/>
          <w:szCs w:val="20"/>
          <w:color w:val="auto"/>
        </w:rPr>
      </w:pPr>
    </w:p>
    <w:p>
      <w:pPr>
        <w:jc w:val="both"/>
        <w:ind w:firstLine="51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Tranche C Closing Date</w:t>
      </w:r>
      <w:r>
        <w:rPr>
          <w:rFonts w:ascii="Times New Roman" w:cs="Times New Roman" w:eastAsia="Times New Roman" w:hAnsi="Times New Roman"/>
          <w:sz w:val="17"/>
          <w:szCs w:val="17"/>
          <w:color w:val="auto"/>
        </w:rPr>
        <w:t xml:space="preserve">” means the date on which the Tranche C Loan is advanced by Lenders, which, as indicated in the Advance Request Form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for the Tranche C Loan and subject to the satisfaction of the conditions precedent to the Tranche C Loan set forth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shall be sixty (60) days (or such shorter period as may be agreed to by Lenders) following the delivery by Borrower to the Collateral Agent of a completed Advance Request Form for the Tranche C Loan and, in no event, earlier than the date that is sixty (60) days (or such shorter period as may be agreed to by Lenders) after the occurrence of the Tranche C Net Sales Trigger or later than September 30, 2026.”</w:t>
      </w:r>
    </w:p>
    <w:p>
      <w:pPr>
        <w:spacing w:after="0" w:line="136" w:lineRule="exact"/>
        <w:rPr>
          <w:sz w:val="20"/>
          <w:szCs w:val="20"/>
          <w:color w:val="auto"/>
        </w:rPr>
      </w:pPr>
    </w:p>
    <w:p>
      <w:pPr>
        <w:ind w:firstLine="521"/>
        <w:spacing w:after="0" w:line="297" w:lineRule="auto"/>
        <w:tabs>
          <w:tab w:leader="none" w:pos="103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the definition of “Tranche C Commitment” in Section 13.1 of the Loan Agreement and replacing it as follows:</w:t>
      </w:r>
    </w:p>
    <w:p>
      <w:pPr>
        <w:spacing w:after="0" w:line="103" w:lineRule="exact"/>
        <w:rPr>
          <w:sz w:val="20"/>
          <w:szCs w:val="20"/>
          <w:color w:val="auto"/>
        </w:rPr>
      </w:pPr>
    </w:p>
    <w:p>
      <w:pPr>
        <w:jc w:val="both"/>
        <w:ind w:firstLine="51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Tranche C Commitment</w:t>
      </w:r>
      <w:r>
        <w:rPr>
          <w:rFonts w:ascii="Times New Roman" w:cs="Times New Roman" w:eastAsia="Times New Roman" w:hAnsi="Times New Roman"/>
          <w:sz w:val="17"/>
          <w:szCs w:val="17"/>
          <w:color w:val="auto"/>
        </w:rPr>
        <w:t xml:space="preserve">” means, with respect to any Lender, the commitment of such Lender to make the Credit Extensions relating to the Tranche C Loan on the Tranche C Closing Date in the aggregate principal amount set forth opposite such Lender’s name on Exhibit D attached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parties hereto agree that such commitment, and any obligations of such Lender hereunder with respect thereto, shall terminate automatically without any further action by any party hereto and be of no further force and effect if the Tranche C Closing Date does not occur on or before September 30, 2026 (at such time in either of which case, for purposes of this Agreement, such Lender’s Tranche C Commitment equals zero).”</w:t>
      </w:r>
    </w:p>
    <w:p>
      <w:pPr>
        <w:spacing w:after="0" w:line="148" w:lineRule="exact"/>
        <w:rPr>
          <w:sz w:val="20"/>
          <w:szCs w:val="20"/>
          <w:color w:val="auto"/>
        </w:rPr>
      </w:pPr>
    </w:p>
    <w:p>
      <w:pPr>
        <w:ind w:firstLine="521"/>
        <w:spacing w:after="0" w:line="284" w:lineRule="auto"/>
        <w:tabs>
          <w:tab w:leader="none" w:pos="102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the definition of “Tranche C Loan Amount” in Section 13.1 of the Loan Agreement and replacing it as follows:</w:t>
      </w:r>
    </w:p>
    <w:p>
      <w:pPr>
        <w:spacing w:after="0" w:line="113" w:lineRule="exact"/>
        <w:rPr>
          <w:sz w:val="20"/>
          <w:szCs w:val="20"/>
          <w:color w:val="auto"/>
        </w:rPr>
      </w:pPr>
    </w:p>
    <w:p>
      <w:pPr>
        <w:jc w:val="both"/>
        <w:ind w:firstLine="515"/>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Tranche C Loan Amount</w:t>
      </w:r>
      <w:r>
        <w:rPr>
          <w:rFonts w:ascii="Times New Roman" w:cs="Times New Roman" w:eastAsia="Times New Roman" w:hAnsi="Times New Roman"/>
          <w:sz w:val="17"/>
          <w:szCs w:val="17"/>
          <w:color w:val="auto"/>
        </w:rPr>
        <w:t xml:space="preserve">” means an original principal amount requested by Borrower of Fifty Million Dollars ($50,000,000.00);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Tranche C Net Sales Trigger does not occur on or before November 30, 2025 or the Tranche C Closing Date does not occur on or before September 30, 2026, then in either such case the Tranche C Loan Amount, from and after such time for purposes of this Agreement, equals zero.”</w:t>
      </w:r>
    </w:p>
    <w:p>
      <w:pPr>
        <w:spacing w:after="0" w:line="141" w:lineRule="exact"/>
        <w:rPr>
          <w:sz w:val="20"/>
          <w:szCs w:val="20"/>
          <w:color w:val="auto"/>
        </w:rPr>
      </w:pPr>
    </w:p>
    <w:p>
      <w:pPr>
        <w:ind w:firstLine="521"/>
        <w:spacing w:after="0" w:line="284" w:lineRule="auto"/>
        <w:tabs>
          <w:tab w:leader="none" w:pos="102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Section 2.2(e)(i) of the Loan Agreement and replacing it as follows:</w:t>
      </w:r>
    </w:p>
    <w:p>
      <w:pPr>
        <w:spacing w:after="0" w:line="117"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7"/>
          <w:szCs w:val="17"/>
          <w:color w:val="auto"/>
        </w:rPr>
        <w:t xml:space="preserve">“Any prepayment of the Tranche A Loan by Borrower (A) pursuant to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or (B) as a result of the acceleration of the maturity of the Term Loans pursuant to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in each case occurring prior to May 1, 2027 shall, in any such case, be accompanied by payment of an amount equal to the Tranche A Makewhole Amount.”</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1280"/>
          </w:cols>
          <w:pgMar w:left="300" w:top="1160" w:right="319" w:bottom="1440" w:gutter="0" w:footer="0" w:header="0"/>
        </w:sectPr>
      </w:pPr>
    </w:p>
    <w:bookmarkStart w:id="109" w:name="page110"/>
    <w:bookmarkEnd w:id="109"/>
    <w:p>
      <w:pPr>
        <w:ind w:firstLine="521"/>
        <w:spacing w:after="0" w:line="284" w:lineRule="auto"/>
        <w:tabs>
          <w:tab w:leader="none" w:pos="102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the definition of “Tranche A Makewhole Amount” in Section 13.1 of the Loan Agreement and replacing it as follows:</w:t>
      </w:r>
    </w:p>
    <w:p>
      <w:pPr>
        <w:spacing w:after="0" w:line="113" w:lineRule="exact"/>
        <w:rPr>
          <w:sz w:val="20"/>
          <w:szCs w:val="20"/>
          <w:color w:val="auto"/>
        </w:rPr>
      </w:pPr>
    </w:p>
    <w:p>
      <w:pPr>
        <w:jc w:val="both"/>
        <w:ind w:firstLine="51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Tranche A Makewhole Amount</w:t>
      </w:r>
      <w:r>
        <w:rPr>
          <w:rFonts w:ascii="Times New Roman" w:cs="Times New Roman" w:eastAsia="Times New Roman" w:hAnsi="Times New Roman"/>
          <w:sz w:val="17"/>
          <w:szCs w:val="17"/>
          <w:color w:val="auto"/>
        </w:rPr>
        <w:t xml:space="preserve">” means, as of the date of any prepayment of the Tranche A Loan occurring prior to May 1, 2027,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2.2(c)</w:t>
      </w:r>
      <w:r>
        <w:rPr>
          <w:rFonts w:ascii="Times New Roman" w:cs="Times New Roman" w:eastAsia="Times New Roman" w:hAnsi="Times New Roman"/>
          <w:sz w:val="17"/>
          <w:szCs w:val="17"/>
          <w:color w:val="auto"/>
        </w:rPr>
        <w:t xml:space="preserve"> or as a result of the acceleration of the maturity of the Term Loans pursuant to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an amount equal to the sum of all interest that would have accrued and been payable from such date of prepayment through May 1, 2027 on the amount of principal prepaid. For purposes of calculating the Tranche A Makewhole Amount: (a) the date of determination shall be such date of prepayment, using the interest rate as in effect on such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for purposes of any such prepayment pursuant to </w:t>
      </w:r>
      <w:r>
        <w:rPr>
          <w:rFonts w:ascii="Times New Roman" w:cs="Times New Roman" w:eastAsia="Times New Roman" w:hAnsi="Times New Roman"/>
          <w:sz w:val="17"/>
          <w:szCs w:val="17"/>
          <w:u w:val="single" w:color="auto"/>
          <w:color w:val="auto"/>
        </w:rPr>
        <w:t>Section 2.2(c)(ii)</w:t>
      </w:r>
      <w:r>
        <w:rPr>
          <w:rFonts w:ascii="Times New Roman" w:cs="Times New Roman" w:eastAsia="Times New Roman" w:hAnsi="Times New Roman"/>
          <w:sz w:val="17"/>
          <w:szCs w:val="17"/>
          <w:color w:val="auto"/>
        </w:rPr>
        <w:t>, the date of determination shall be the date on which the Change in Control is consummated; and (b) the Default Rate shall not apply to any interest that would have accrued and been payable from and after such date of determination.”</w:t>
      </w:r>
    </w:p>
    <w:p>
      <w:pPr>
        <w:spacing w:after="0" w:line="151" w:lineRule="exact"/>
        <w:rPr>
          <w:sz w:val="20"/>
          <w:szCs w:val="20"/>
          <w:color w:val="auto"/>
        </w:rPr>
      </w:pPr>
    </w:p>
    <w:p>
      <w:pPr>
        <w:ind w:firstLine="521"/>
        <w:spacing w:after="0" w:line="284" w:lineRule="auto"/>
        <w:tabs>
          <w:tab w:leader="none" w:pos="1021"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as of the Effective Date, the Loan Agreement shall be amended by deleting in its entirety the notice details of the Collateral Agent in Section 9 of the Loan Agreement and replacing them as follows:</w:t>
      </w:r>
    </w:p>
    <w:p>
      <w:pPr>
        <w:spacing w:after="0" w:line="11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“BioPharma Credit PLC</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c/o MUFG Corporate Governance Limited</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51 Lime Street</w:t>
      </w:r>
    </w:p>
    <w:p>
      <w:pPr>
        <w:ind w:left="2580"/>
        <w:spacing w:after="0" w:line="211" w:lineRule="auto"/>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London, United Kingdom</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EC3M 7DQ</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Attn: Company Secretary</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Email: biopharmacreditplc@cm.mpms.mufg.com</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with a copy to (which shall not constitute notice) to:</w:t>
      </w:r>
    </w:p>
    <w:p>
      <w:pPr>
        <w:spacing w:after="0" w:line="19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BioPharma Credit PLC</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c/o Pharmakon Advisors, LP</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110 East 59th Street, # 2800</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Attn: Pedro Gonzalez de Cosio</w:t>
      </w:r>
    </w:p>
    <w:p>
      <w:pPr>
        <w:spacing w:after="0" w:line="1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Phone: +1 (212) 883-2296</w:t>
      </w:r>
    </w:p>
    <w:p>
      <w:pPr>
        <w:spacing w:after="0" w:line="1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Fax: +1 (917) 210-4048</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Email: pharmakon@pharmakonadvisors.com</w:t>
      </w:r>
    </w:p>
    <w:p>
      <w:pPr>
        <w:spacing w:after="0" w:line="1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and</w:t>
      </w:r>
    </w:p>
    <w:p>
      <w:pPr>
        <w:spacing w:after="0" w:line="18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Akin Gump Strauss Hauer &amp; Feld LLP</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One Bryant Park</w:t>
      </w:r>
    </w:p>
    <w:p>
      <w:pPr>
        <w:spacing w:after="0" w:line="1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New York, NY 10036-6745</w:t>
      </w:r>
    </w:p>
    <w:p>
      <w:pPr>
        <w:spacing w:after="0" w:line="1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Attn: Geoffrey E. Secol</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Phone: +1 (212) 872-8081</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Email: gsecol@akingump.com”</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1280"/>
          </w:cols>
          <w:pgMar w:left="300" w:top="1160" w:right="319" w:bottom="1440" w:gutter="0" w:footer="0" w:header="0"/>
        </w:sectPr>
      </w:pPr>
    </w:p>
    <w:bookmarkStart w:id="110" w:name="page111"/>
    <w:bookmarkEnd w:id="110"/>
    <w:p>
      <w:pPr>
        <w:ind w:left="-20" w:firstLine="521"/>
        <w:spacing w:after="0" w:line="284" w:lineRule="auto"/>
        <w:tabs>
          <w:tab w:leader="none" w:pos="100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 Agreement shall be amended by deleting in their entirety the notice details of BPCR Limited Partnership in Exhibit D of the Loan Agreement and replacing them as follows:</w:t>
      </w:r>
    </w:p>
    <w:p>
      <w:pPr>
        <w:spacing w:after="0" w:line="1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“BPCR LIMITED PARTNERSHIP</w:t>
      </w:r>
    </w:p>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c/o MUFG Corporate Governance Limited</w:t>
      </w:r>
    </w:p>
    <w:p>
      <w:pPr>
        <w:spacing w:after="0" w:line="1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51 Lime Street</w:t>
      </w:r>
    </w:p>
    <w:p>
      <w:pPr>
        <w:ind w:left="2560"/>
        <w:spacing w:after="0" w:line="203" w:lineRule="auto"/>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London, United Kingdom</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EC3M 7DQ</w:t>
      </w:r>
    </w:p>
    <w:p>
      <w:pPr>
        <w:spacing w:after="0" w:line="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Attn: Company Secretary</w:t>
      </w:r>
    </w:p>
    <w:p>
      <w:pPr>
        <w:spacing w:after="0" w:line="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Email: biopharmacreditplc@cm.mpms.mufg.com</w:t>
      </w:r>
    </w:p>
    <w:p>
      <w:pPr>
        <w:spacing w:after="0" w:line="18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with copies (which shall not constitute notice) to:</w:t>
      </w:r>
    </w:p>
    <w:p>
      <w:pPr>
        <w:spacing w:after="0" w:line="18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PHARMAKON ADVISORS, LP</w:t>
      </w:r>
    </w:p>
    <w:p>
      <w:pPr>
        <w:spacing w:after="0" w:line="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110 East 59th Street, #2800</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Attn: Pedro Gonzalez de Cosio</w:t>
      </w:r>
    </w:p>
    <w:p>
      <w:pPr>
        <w:spacing w:after="0" w:line="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Tel: +1 (212) 883-2296</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Fax: +1 (917) 210-4048</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Email: pharmakon@pharmakonadvisors.com</w:t>
      </w:r>
    </w:p>
    <w:p>
      <w:pPr>
        <w:spacing w:after="0" w:line="16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and</w:t>
      </w:r>
    </w:p>
    <w:p>
      <w:pPr>
        <w:spacing w:after="0" w:line="19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AKIN GUMP STRAUSS HAUER &amp; FELD LLP</w:t>
      </w:r>
    </w:p>
    <w:p>
      <w:pPr>
        <w:spacing w:after="0" w:line="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One Bryant Park</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New York, NY 10036-6745</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Attn: Geoffrey E. Secol</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Tel: +1 (212) 872-8081</w:t>
      </w:r>
    </w:p>
    <w:p>
      <w:pPr>
        <w:spacing w:after="0" w:line="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Email: gsecol@akingump.com”</w:t>
      </w:r>
    </w:p>
    <w:p>
      <w:pPr>
        <w:spacing w:after="0" w:line="172" w:lineRule="exact"/>
        <w:rPr>
          <w:sz w:val="20"/>
          <w:szCs w:val="20"/>
          <w:color w:val="auto"/>
        </w:rPr>
      </w:pPr>
    </w:p>
    <w:p>
      <w:pPr>
        <w:ind w:left="50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3.</w:t>
      </w:r>
      <w:r>
        <w:rPr>
          <w:sz w:val="20"/>
          <w:szCs w:val="20"/>
          <w:color w:val="auto"/>
        </w:rPr>
        <w:tab/>
      </w:r>
      <w:r>
        <w:rPr>
          <w:rFonts w:ascii="Times New Roman" w:cs="Times New Roman" w:eastAsia="Times New Roman" w:hAnsi="Times New Roman"/>
          <w:sz w:val="17"/>
          <w:szCs w:val="17"/>
          <w:u w:val="single" w:color="auto"/>
          <w:color w:val="auto"/>
        </w:rPr>
        <w:t>Representations and Warranties; Reaffirmation</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left="1000" w:hanging="499"/>
        <w:spacing w:after="0"/>
        <w:tabs>
          <w:tab w:leader="none" w:pos="10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hereby represents and warrants to each Lender and the Collateral Agent as follows:</w:t>
      </w:r>
    </w:p>
    <w:p>
      <w:pPr>
        <w:spacing w:after="0" w:line="180" w:lineRule="exact"/>
        <w:rPr>
          <w:sz w:val="20"/>
          <w:szCs w:val="20"/>
          <w:color w:val="auto"/>
        </w:rPr>
      </w:pPr>
    </w:p>
    <w:p>
      <w:pPr>
        <w:ind w:left="840" w:hanging="339"/>
        <w:spacing w:after="0"/>
        <w:tabs>
          <w:tab w:leader="none" w:pos="8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has all requisite power and authority to enter into this First Amendment and to carry out the transactions contemplated hereby.</w:t>
      </w:r>
    </w:p>
    <w:p>
      <w:pPr>
        <w:spacing w:after="0" w:line="180" w:lineRule="exact"/>
        <w:rPr>
          <w:rFonts w:ascii="Times New Roman" w:cs="Times New Roman" w:eastAsia="Times New Roman" w:hAnsi="Times New Roman"/>
          <w:sz w:val="17"/>
          <w:szCs w:val="17"/>
          <w:color w:val="auto"/>
        </w:rPr>
      </w:pPr>
    </w:p>
    <w:p>
      <w:pPr>
        <w:jc w:val="both"/>
        <w:ind w:left="-20" w:firstLine="521"/>
        <w:spacing w:after="0" w:line="274" w:lineRule="auto"/>
        <w:tabs>
          <w:tab w:leader="none" w:pos="89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First Amendment has been duly executed and delivered by Borrower and is the legally valid and binding obligation of such Person, enforceable against such Person in accordance with its respective terms, except as such enforceability may be limited by bankruptcy, insolvency, reorganization, moratorium or similar laws relating to or limiting creditors’ rights generally or by general principles of equity.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1260"/>
          </w:cols>
          <w:pgMar w:left="320" w:top="1160" w:right="319" w:bottom="1440" w:gutter="0" w:footer="0" w:header="0"/>
        </w:sectPr>
      </w:pPr>
    </w:p>
    <w:bookmarkStart w:id="111" w:name="page112"/>
    <w:bookmarkEnd w:id="111"/>
    <w:p>
      <w:pPr>
        <w:jc w:val="both"/>
        <w:ind w:firstLine="521"/>
        <w:spacing w:after="0" w:line="255" w:lineRule="auto"/>
        <w:tabs>
          <w:tab w:leader="none" w:pos="9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Borrower of this First Amendment have been duly authorized and do not and will not: (A) contravene the terms of such Person’s Operating Documents; (B) violate any Requirements of Law, except to the extent that such violation could not, individually or in the aggregate, reasonably be expected to result in a Material Adverse Change; (C) conflict with or result in any breach or contravention of, or require any payment to be made under any provision of any security issued by such Person or of any agreement, instrument or other undertaking to which such Person is a party or affecting such Person or the assets or properties of such Person or any of its Subsidiaries or any order, writ, judgment, injunction, decree, determination or award of any Governmental Authority by which such Person or any of its properties or assets are subject, except to the extent that such conflict, breach, contravention or payment could not, individually or in the aggregate, reasonably be expected to result in a Material Adverse Change; (D) require any Governmental Approval, or other action by, or notice to, or filing with, any Governmental Authority (except such Governmental Approvals or other actions, notices and filings which have been duly obtained, taken, given or made on or before the Effective Date and are in full force and effect), except for those approvals, consents, exemptions, authorizations or other actions, notices or filings, the failure of which to obtain or make could not, individually or in the aggregate, reasonably be expected to result in a Material Adverse Change; (E) require any approval, consent, exemption or authorization, or other action by, or notice to, or filing with, any Person other than a Governmental Authority, including such Person’s stockholders, members or partners, (except such approvals, consents, exemptions, authorizations, actions, notices and filings which have been or will be duly obtained, taken, given or made on or before the Effective Date and are in full force and effect), except for those approvals, consents, exemptions, authorizations or other actions, notices or filings, the failure of which to obtain or make could not, individually or in the aggregate, reasonably be expected to result in a Material Adverse Change; or (F) constitute a material breach of or a material default under (which such default has not been cured or waived) or an event of default (or the equivalent thereof, however described) under, or could reasonably be expected to give rise to the cancellation, termination or invalidation of or the acceleration of such Person’s or any Subsidiary’s obligations under, any Material Contract.</w:t>
      </w:r>
    </w:p>
    <w:p>
      <w:pPr>
        <w:spacing w:after="0" w:line="141" w:lineRule="exact"/>
        <w:rPr>
          <w:rFonts w:ascii="Times New Roman" w:cs="Times New Roman" w:eastAsia="Times New Roman" w:hAnsi="Times New Roman"/>
          <w:sz w:val="17"/>
          <w:szCs w:val="17"/>
          <w:color w:val="auto"/>
        </w:rPr>
      </w:pPr>
    </w:p>
    <w:p>
      <w:pPr>
        <w:ind w:left="940" w:hanging="419"/>
        <w:spacing w:after="0"/>
        <w:tabs>
          <w:tab w:leader="none" w:pos="9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Both before and immediately after giving effect to this First Amendment, no Default or Event of Default has occurred and is continuing.</w:t>
      </w:r>
    </w:p>
    <w:p>
      <w:pPr>
        <w:spacing w:after="0" w:line="180" w:lineRule="exact"/>
        <w:rPr>
          <w:sz w:val="20"/>
          <w:szCs w:val="20"/>
          <w:color w:val="auto"/>
        </w:rPr>
      </w:pPr>
    </w:p>
    <w:p>
      <w:pPr>
        <w:jc w:val="both"/>
        <w:ind w:firstLine="521"/>
        <w:spacing w:after="0" w:line="274" w:lineRule="auto"/>
        <w:tabs>
          <w:tab w:leader="none" w:pos="1021"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hereby ratifies, confirms, reaffirms, and acknowledges its obligations under the Loan Documents to which it is a party and agrees that the Loan Documents remain in full force and effect, undiminished by this First Amendment, except as expressly provided herein. By executing this First Amendment, Borrower acknowledges that it has read, consulted with its attorneys regarding, and understands, this First Amendment.</w:t>
      </w:r>
    </w:p>
    <w:p>
      <w:pPr>
        <w:spacing w:after="0" w:line="125" w:lineRule="exact"/>
        <w:rPr>
          <w:sz w:val="20"/>
          <w:szCs w:val="20"/>
          <w:color w:val="auto"/>
        </w:rPr>
      </w:pPr>
    </w:p>
    <w:p>
      <w:pPr>
        <w:jc w:val="both"/>
        <w:ind w:firstLine="515"/>
        <w:spacing w:after="0" w:line="262"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References to and Effect on Loan Documents</w:t>
      </w:r>
      <w:r>
        <w:rPr>
          <w:rFonts w:ascii="Times New Roman" w:cs="Times New Roman" w:eastAsia="Times New Roman" w:hAnsi="Times New Roman"/>
          <w:sz w:val="17"/>
          <w:szCs w:val="17"/>
          <w:color w:val="auto"/>
        </w:rPr>
        <w:t>. Except as specifically set forth herein, this First Amendment shall not modify or in any way or affect any of the terms, conditions, covenants, representations and warranties contained in the Loan Agreement or any other Loan Document, or any of the rights of the Lenders and the Collateral Agent therein, which shall remain in full force and effect and are hereby ratified and confirmed in all respects. Except as specifically set forth herein, the execution, delivery and effectiveness of this First Amendment shall not directly or indirectly (i) constitute a consent or waiver of any past, present or future</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1280"/>
          </w:cols>
          <w:pgMar w:left="300" w:top="1160" w:right="319" w:bottom="1440" w:gutter="0" w:footer="0" w:header="0"/>
        </w:sectPr>
      </w:pPr>
    </w:p>
    <w:bookmarkStart w:id="112" w:name="page113"/>
    <w:bookmarkEnd w:id="112"/>
    <w:p>
      <w:pPr>
        <w:jc w:val="both"/>
        <w:spacing w:after="0" w:line="262" w:lineRule="auto"/>
        <w:rPr>
          <w:sz w:val="20"/>
          <w:szCs w:val="20"/>
          <w:color w:val="auto"/>
        </w:rPr>
      </w:pPr>
      <w:r>
        <w:rPr>
          <w:rFonts w:ascii="Times New Roman" w:cs="Times New Roman" w:eastAsia="Times New Roman" w:hAnsi="Times New Roman"/>
          <w:sz w:val="17"/>
          <w:szCs w:val="17"/>
          <w:color w:val="auto"/>
        </w:rPr>
        <w:t>breaches, violations or defaults of or under any provisions of the Loan Agreement or any other Loan Document nor constitute a novation of any of the Obligations under the Loan Agreement or any other Loan Document, (ii) amend, modify or operate as a waiver of any provision of the Loan Agreement or any other Loan Document or any right, power or remedy of any Lender or the Collateral Agent therein, or (iii) constitute a course of dealing or other basis for altering the Loan Agreement or any other Loan Document. Except as set forth herein, each of the Lenders and the Collateral Agent reserves all of its rights, powers, and remedies under the Loan Documents and Requirements of Law.</w:t>
      </w:r>
    </w:p>
    <w:p>
      <w:pPr>
        <w:spacing w:after="0" w:line="136" w:lineRule="exact"/>
        <w:rPr>
          <w:sz w:val="20"/>
          <w:szCs w:val="20"/>
          <w:color w:val="auto"/>
        </w:rPr>
      </w:pPr>
    </w:p>
    <w:p>
      <w:pPr>
        <w:jc w:val="both"/>
        <w:ind w:firstLine="515"/>
        <w:spacing w:after="0" w:line="284"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First Amendment binds and is for the benefit of Borrower, the other Credit Parties, Lenders, and Collateral Agent and each of their respective successors and permitted assigns.</w:t>
      </w:r>
    </w:p>
    <w:p>
      <w:pPr>
        <w:spacing w:after="0" w:line="117" w:lineRule="exact"/>
        <w:rPr>
          <w:sz w:val="20"/>
          <w:szCs w:val="20"/>
          <w:color w:val="auto"/>
        </w:rPr>
      </w:pPr>
    </w:p>
    <w:p>
      <w:pPr>
        <w:jc w:val="both"/>
        <w:ind w:firstLine="515"/>
        <w:spacing w:after="0" w:line="274"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Governing Law; Venue; Jury Trial Waiver</w:t>
      </w:r>
      <w:r>
        <w:rPr>
          <w:rFonts w:ascii="Times New Roman" w:cs="Times New Roman" w:eastAsia="Times New Roman" w:hAnsi="Times New Roman"/>
          <w:sz w:val="17"/>
          <w:szCs w:val="17"/>
          <w:color w:val="auto"/>
        </w:rPr>
        <w:t>. This First Amendment shall be construed in accordance with and governed by the law of the State of New York. The provisions of Section 10 (</w:t>
      </w:r>
      <w:r>
        <w:rPr>
          <w:rFonts w:ascii="Times New Roman" w:cs="Times New Roman" w:eastAsia="Times New Roman" w:hAnsi="Times New Roman"/>
          <w:sz w:val="17"/>
          <w:szCs w:val="17"/>
          <w:i w:val="1"/>
          <w:iCs w:val="1"/>
          <w:color w:val="auto"/>
        </w:rPr>
        <w:t>Choice of Law, Venue and Jury Trial Waiver</w:t>
      </w:r>
      <w:r>
        <w:rPr>
          <w:rFonts w:ascii="Times New Roman" w:cs="Times New Roman" w:eastAsia="Times New Roman" w:hAnsi="Times New Roman"/>
          <w:sz w:val="17"/>
          <w:szCs w:val="17"/>
          <w:color w:val="auto"/>
        </w:rPr>
        <w:t>) of the Loan Agreement shall apply hereto as if more fully set forth herein as if references therein to “this Agreement” were references to this First Amendment.</w:t>
      </w:r>
    </w:p>
    <w:p>
      <w:pPr>
        <w:spacing w:after="0" w:line="125" w:lineRule="exact"/>
        <w:rPr>
          <w:sz w:val="20"/>
          <w:szCs w:val="20"/>
          <w:color w:val="auto"/>
        </w:rPr>
      </w:pPr>
    </w:p>
    <w:p>
      <w:pPr>
        <w:jc w:val="both"/>
        <w:ind w:firstLine="515"/>
        <w:spacing w:after="0" w:line="257"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First Amendment may be executed in any number of counterparts and by different parties on separate counterparts, each of which, when executed and delivered, is an original, and all taken together, constitute one First Amendment. Delivery of an executed counterpart of a signature page of this First Amendment by facsimile or other electronic imaging means (e.g., “pdf” or “tif”) shall be effective as delivery of a manually executed counterpart of this First Amendment. The words “execution,” “signed,” “signature,” and words of like import in this First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under any applicable law, including the Federal Electronic Signatures in Global and National Commerce Act, the New York State Electronic Signatures and Records Act, or any other similar state laws based on the Uniform Electronic Transactions Act.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1280"/>
          </w:cols>
          <w:pgMar w:left="300" w:top="1161" w:right="319" w:bottom="1440" w:gutter="0" w:footer="0" w:header="0"/>
        </w:sectPr>
      </w:pPr>
    </w:p>
    <w:bookmarkStart w:id="113" w:name="page114"/>
    <w:bookmarkEnd w:id="113"/>
    <w:p>
      <w:pPr>
        <w:ind w:firstLine="515"/>
        <w:spacing w:after="0" w:line="350"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each of the undersigned has caused this First Amendment to be duly executed and delivered as of the date first above written.</w:t>
      </w:r>
      <w:r>
        <w:rPr>
          <w:rFonts w:ascii="Times New Roman" w:cs="Times New Roman" w:eastAsia="Times New Roman" w:hAnsi="Times New Roman"/>
          <w:sz w:val="17"/>
          <w:szCs w:val="17"/>
          <w:b w:val="1"/>
          <w:bCs w:val="1"/>
          <w:color w:val="auto"/>
        </w:rPr>
        <w:t xml:space="preserve"> GERON CORPORATION</w:t>
      </w:r>
      <w:r>
        <w:rPr>
          <w:rFonts w:ascii="Times New Roman" w:cs="Times New Roman" w:eastAsia="Times New Roman" w:hAnsi="Times New Roman"/>
          <w:sz w:val="15"/>
          <w:szCs w:val="15"/>
          <w:b w:val="1"/>
          <w:bCs w:val="1"/>
          <w:color w:val="auto"/>
        </w:rPr>
        <w:t>,</w:t>
      </w:r>
    </w:p>
    <w:p>
      <w:pPr>
        <w:spacing w:after="0"/>
        <w:rPr>
          <w:sz w:val="20"/>
          <w:szCs w:val="20"/>
          <w:color w:val="auto"/>
        </w:rPr>
      </w:pPr>
      <w:r>
        <w:rPr>
          <w:rFonts w:ascii="Times New Roman" w:cs="Times New Roman" w:eastAsia="Times New Roman" w:hAnsi="Times New Roman"/>
          <w:sz w:val="16"/>
          <w:szCs w:val="16"/>
          <w:b w:val="1"/>
          <w:bCs w:val="1"/>
          <w:color w:val="auto"/>
        </w:rPr>
        <w:t>as Borrower and a Credit Party on its own behalf</w:t>
      </w:r>
    </w:p>
    <w:p>
      <w:pPr>
        <w:spacing w:after="0"/>
        <w:rPr>
          <w:sz w:val="20"/>
          <w:szCs w:val="20"/>
          <w:color w:val="auto"/>
        </w:rPr>
      </w:pPr>
      <w:r>
        <w:rPr>
          <w:rFonts w:ascii="Times New Roman" w:cs="Times New Roman" w:eastAsia="Times New Roman" w:hAnsi="Times New Roman"/>
          <w:sz w:val="16"/>
          <w:szCs w:val="16"/>
          <w:b w:val="1"/>
          <w:bCs w:val="1"/>
          <w:color w:val="auto"/>
        </w:rPr>
        <w:t>and on behalf of each other Credit Party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6"/>
          <w:szCs w:val="16"/>
          <w:u w:val="single" w:color="auto"/>
          <w:color w:val="auto"/>
        </w:rPr>
        <w:t>s/ Michelle Robertson</w:t>
      </w:r>
    </w:p>
    <w:p>
      <w:pPr>
        <w:spacing w:after="0" w:line="20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Michelle Robertson</w:t>
      </w:r>
    </w:p>
    <w:p>
      <w:pPr>
        <w:spacing w:after="0" w:line="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i w:val="1"/>
          <w:iCs w:val="1"/>
          <w:color w:val="auto"/>
        </w:rPr>
        <w:t>[Signature Page to First Amendment]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1180"/>
          </w:cols>
          <w:pgMar w:left="300" w:top="1156" w:right="4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color w:val="auto"/>
        </w:rPr>
        <w:t>BIOPHARMA CREDIT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Collateral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Pharmakon Advisors, LP,</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its Investment Manager</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By: Pharmakon Management I,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Pedro Gonzalez de Cosio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Pedro Gonzalez de Cosio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BPCR LIMITED PARTNERSHIP,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a Lender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Pharmakon Advisors, LP,</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its Investment Manager</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By: Pharmakon Management I,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Pedro Gonzalez de Cosio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Pedro Gonzalez de Cosio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BIOPHARMA CREDIT INVESTMENTS V (MASTER)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a Lender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Pharmakon Advisors, LP,</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its Investment Manager</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By: Pharmakon Management I,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1"/>
          <w:szCs w:val="11"/>
          <w:i w:val="1"/>
          <w:iCs w:val="1"/>
          <w:color w:val="auto"/>
        </w:rPr>
        <w:t>[Signature Page to First Amendment]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0159"/>
          </w:cols>
          <w:pgMar w:left="300" w:top="1156"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Pedro Gonzalez de Cosio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Pedro Gonzalez de Cosio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200" w:lineRule="exact"/>
        <w:rPr>
          <w:sz w:val="20"/>
          <w:szCs w:val="20"/>
          <w:color w:val="auto"/>
        </w:rPr>
      </w:pPr>
    </w:p>
    <w:p>
      <w:pPr>
        <w:spacing w:after="0" w:line="211"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1"/>
          <w:szCs w:val="11"/>
          <w:i w:val="1"/>
          <w:iCs w:val="1"/>
          <w:color w:val="auto"/>
        </w:rPr>
        <w:t>[Signature Page to First Amendment]</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0"/>
          <w:szCs w:val="10"/>
          <w:color w:val="auto"/>
        </w:rPr>
        <w:t>329138365 v3</w:t>
      </w:r>
    </w:p>
    <w:p>
      <w:pPr>
        <w:sectPr>
          <w:pgSz w:w="11900" w:h="16838" w:orient="portrait"/>
          <w:cols w:equalWidth="0" w:num="1">
            <w:col w:w="10159"/>
          </w:cols>
          <w:pgMar w:left="300" w:top="1160"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color w:val="auto"/>
        </w:rPr>
        <w:t>EXHIBIT 10.39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163" w:lineRule="exact"/>
        <w:rPr>
          <w:sz w:val="20"/>
          <w:szCs w:val="20"/>
          <w:color w:val="auto"/>
        </w:rPr>
      </w:pPr>
    </w:p>
    <w:p>
      <w:pPr>
        <w:ind w:firstLine="515"/>
        <w:spacing w:after="0" w:line="294" w:lineRule="auto"/>
        <w:rPr>
          <w:sz w:val="20"/>
          <w:szCs w:val="20"/>
          <w:color w:val="auto"/>
        </w:rPr>
      </w:pPr>
      <w:r>
        <w:rPr>
          <w:rFonts w:ascii="Arial" w:cs="Arial" w:eastAsia="Arial" w:hAnsi="Arial"/>
          <w:sz w:val="16"/>
          <w:szCs w:val="16"/>
          <w:color w:val="auto"/>
        </w:rPr>
        <w:t>This Employment Agreement (“</w:t>
      </w:r>
      <w:r>
        <w:rPr>
          <w:rFonts w:ascii="Arial" w:cs="Arial" w:eastAsia="Arial" w:hAnsi="Arial"/>
          <w:sz w:val="16"/>
          <w:szCs w:val="16"/>
          <w:b w:val="1"/>
          <w:bCs w:val="1"/>
          <w:color w:val="auto"/>
        </w:rPr>
        <w:t>Agreement</w:t>
      </w:r>
      <w:r>
        <w:rPr>
          <w:rFonts w:ascii="Arial" w:cs="Arial" w:eastAsia="Arial" w:hAnsi="Arial"/>
          <w:sz w:val="16"/>
          <w:szCs w:val="16"/>
          <w:color w:val="auto"/>
        </w:rPr>
        <w:t>”) is made effective as of October 20, 2025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Ahmed ElNawawi (“</w:t>
      </w:r>
      <w:r>
        <w:rPr>
          <w:rFonts w:ascii="Arial" w:cs="Arial" w:eastAsia="Arial" w:hAnsi="Arial"/>
          <w:sz w:val="16"/>
          <w:szCs w:val="16"/>
          <w:b w:val="1"/>
          <w:bCs w:val="1"/>
          <w:color w:val="auto"/>
        </w:rPr>
        <w:t>Executive</w:t>
      </w:r>
      <w:r>
        <w:rPr>
          <w:rFonts w:ascii="Arial" w:cs="Arial" w:eastAsia="Arial" w:hAnsi="Arial"/>
          <w:sz w:val="16"/>
          <w:szCs w:val="16"/>
          <w:color w:val="auto"/>
        </w:rPr>
        <w:t>”) and Geron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97" w:lineRule="exact"/>
        <w:rPr>
          <w:sz w:val="20"/>
          <w:szCs w:val="20"/>
          <w:color w:val="auto"/>
        </w:rPr>
      </w:pPr>
    </w:p>
    <w:p>
      <w:pPr>
        <w:ind w:firstLine="515"/>
        <w:spacing w:after="0" w:line="28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employ Executive to provide personal services to the Company and to provide Executive with certain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benefits in return for Executive’s services;</w:t>
      </w:r>
    </w:p>
    <w:p>
      <w:pPr>
        <w:spacing w:after="0" w:line="123" w:lineRule="exact"/>
        <w:rPr>
          <w:sz w:val="20"/>
          <w:szCs w:val="20"/>
          <w:color w:val="auto"/>
        </w:rPr>
      </w:pPr>
    </w:p>
    <w:p>
      <w:pPr>
        <w:ind w:firstLine="515"/>
        <w:spacing w:after="0" w:line="27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Executive wishes to be employed by the Company and provide personal services to the Company in return for certain compensation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and</w:t>
      </w:r>
    </w:p>
    <w:p>
      <w:pPr>
        <w:spacing w:after="0" w:line="134" w:lineRule="exact"/>
        <w:rPr>
          <w:sz w:val="20"/>
          <w:szCs w:val="20"/>
          <w:color w:val="auto"/>
        </w:rPr>
      </w:pPr>
    </w:p>
    <w:p>
      <w:pPr>
        <w:ind w:firstLine="515"/>
        <w:spacing w:after="0" w:line="270"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contained herein, it is hereby agreed by and between the parties hereto as</w:t>
      </w:r>
      <w:r>
        <w:rPr>
          <w:rFonts w:ascii="Arial" w:cs="Arial" w:eastAsia="Arial" w:hAnsi="Arial"/>
          <w:sz w:val="16"/>
          <w:szCs w:val="16"/>
          <w:b w:val="1"/>
          <w:bCs w:val="1"/>
          <w:color w:val="auto"/>
        </w:rPr>
        <w:t xml:space="preserve"> </w:t>
      </w:r>
      <w:r>
        <w:rPr>
          <w:rFonts w:ascii="Arial" w:cs="Arial" w:eastAsia="Arial" w:hAnsi="Arial"/>
          <w:sz w:val="16"/>
          <w:szCs w:val="16"/>
          <w:color w:val="auto"/>
        </w:rPr>
        <w:t>follows:</w:t>
      </w:r>
    </w:p>
    <w:p>
      <w:pPr>
        <w:spacing w:after="0" w:line="115"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ARTICLE I</w:t>
      </w:r>
    </w:p>
    <w:p>
      <w:pPr>
        <w:ind w:left="5140"/>
        <w:spacing w:after="0"/>
        <w:rPr>
          <w:sz w:val="20"/>
          <w:szCs w:val="20"/>
          <w:color w:val="auto"/>
        </w:rPr>
      </w:pPr>
      <w:r>
        <w:rPr>
          <w:rFonts w:ascii="Arial" w:cs="Arial" w:eastAsia="Arial" w:hAnsi="Arial"/>
          <w:sz w:val="16"/>
          <w:szCs w:val="16"/>
          <w:b w:val="1"/>
          <w:bCs w:val="1"/>
          <w:color w:val="auto"/>
        </w:rPr>
        <w:t>DEFINITIONS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the Agreement, the following terms are defined as follows:</w:t>
      </w:r>
    </w:p>
    <w:p>
      <w:pPr>
        <w:spacing w:after="0" w:line="15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Board</w:t>
      </w:r>
      <w:r>
        <w:rPr>
          <w:rFonts w:ascii="Arial" w:cs="Arial" w:eastAsia="Arial" w:hAnsi="Arial"/>
          <w:sz w:val="15"/>
          <w:szCs w:val="15"/>
          <w:color w:val="auto"/>
        </w:rPr>
        <w:t>” means the Board of Directors of the Company.</w:t>
      </w:r>
    </w:p>
    <w:p>
      <w:pPr>
        <w:spacing w:after="0" w:line="14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Cause</w:t>
      </w:r>
      <w:r>
        <w:rPr>
          <w:rFonts w:ascii="Arial" w:cs="Arial" w:eastAsia="Arial" w:hAnsi="Arial"/>
          <w:sz w:val="15"/>
          <w:szCs w:val="15"/>
          <w:color w:val="auto"/>
        </w:rPr>
        <w:t>” means any of the following:</w:t>
      </w:r>
    </w:p>
    <w:p>
      <w:pPr>
        <w:spacing w:after="0" w:line="151" w:lineRule="exact"/>
        <w:rPr>
          <w:sz w:val="20"/>
          <w:szCs w:val="20"/>
          <w:color w:val="auto"/>
        </w:rPr>
      </w:pPr>
    </w:p>
    <w:p>
      <w:pPr>
        <w:ind w:left="1560" w:hanging="523"/>
        <w:spacing w:after="0"/>
        <w:tabs>
          <w:tab w:leader="none" w:pos="1560"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any willful act or omission by Executive constituting dishonesty, fraud or other malfeasance against the Company;</w:t>
      </w:r>
    </w:p>
    <w:p>
      <w:pPr>
        <w:spacing w:after="0" w:line="129" w:lineRule="exact"/>
        <w:rPr>
          <w:rFonts w:ascii="Arial" w:cs="Arial" w:eastAsia="Arial" w:hAnsi="Arial"/>
          <w:sz w:val="16"/>
          <w:szCs w:val="16"/>
          <w:b w:val="1"/>
          <w:bCs w:val="1"/>
          <w:color w:val="auto"/>
        </w:rPr>
      </w:pPr>
    </w:p>
    <w:p>
      <w:pPr>
        <w:ind w:left="1580" w:hanging="543"/>
        <w:spacing w:after="0"/>
        <w:tabs>
          <w:tab w:leader="none" w:pos="1580"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Executive’s conviction of a felony under the laws of the United States or any state thereof or any other jurisdiction in which the Company</w:t>
      </w:r>
    </w:p>
    <w:p>
      <w:pPr>
        <w:spacing w:after="0"/>
        <w:rPr>
          <w:rFonts w:ascii="Arial" w:cs="Arial" w:eastAsia="Arial" w:hAnsi="Arial"/>
          <w:sz w:val="16"/>
          <w:szCs w:val="16"/>
          <w:b w:val="1"/>
          <w:bCs w:val="1"/>
          <w:color w:val="auto"/>
        </w:rPr>
      </w:pPr>
      <w:r>
        <w:rPr>
          <w:rFonts w:ascii="Arial" w:cs="Arial" w:eastAsia="Arial" w:hAnsi="Arial"/>
          <w:sz w:val="16"/>
          <w:szCs w:val="16"/>
          <w:color w:val="auto"/>
        </w:rPr>
        <w:t>conducts business;</w:t>
      </w:r>
    </w:p>
    <w:p>
      <w:pPr>
        <w:spacing w:after="0" w:line="124" w:lineRule="exact"/>
        <w:rPr>
          <w:rFonts w:ascii="Arial" w:cs="Arial" w:eastAsia="Arial" w:hAnsi="Arial"/>
          <w:sz w:val="16"/>
          <w:szCs w:val="16"/>
          <w:b w:val="1"/>
          <w:bCs w:val="1"/>
          <w:color w:val="auto"/>
        </w:rPr>
      </w:pPr>
    </w:p>
    <w:p>
      <w:pPr>
        <w:jc w:val="both"/>
        <w:ind w:firstLine="1037"/>
        <w:spacing w:after="0" w:line="229" w:lineRule="auto"/>
        <w:tabs>
          <w:tab w:leader="none" w:pos="1567"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Executive’s debarment by the U.S. Food and Drug Administration (FDA) from working in or providing services to any pharmaceutical or biotechnology company under the Generic Drug Enforcement Act of 1992, or other ineligibility under any law or regulation to perform Executive’s duties to the Company; or</w:t>
      </w:r>
    </w:p>
    <w:p>
      <w:pPr>
        <w:spacing w:after="0" w:line="117" w:lineRule="exact"/>
        <w:rPr>
          <w:rFonts w:ascii="Arial" w:cs="Arial" w:eastAsia="Arial" w:hAnsi="Arial"/>
          <w:sz w:val="16"/>
          <w:szCs w:val="16"/>
          <w:b w:val="1"/>
          <w:bCs w:val="1"/>
          <w:color w:val="auto"/>
        </w:rPr>
      </w:pPr>
    </w:p>
    <w:p>
      <w:pPr>
        <w:ind w:left="1580" w:hanging="543"/>
        <w:spacing w:after="0"/>
        <w:tabs>
          <w:tab w:leader="none" w:pos="1580"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Executive’s breach of any of the material policies of the Company.</w:t>
      </w:r>
    </w:p>
    <w:p>
      <w:pPr>
        <w:spacing w:after="0" w:line="14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Change in Control</w:t>
      </w:r>
      <w:r>
        <w:rPr>
          <w:rFonts w:ascii="Arial" w:cs="Arial" w:eastAsia="Arial" w:hAnsi="Arial"/>
          <w:sz w:val="15"/>
          <w:szCs w:val="15"/>
          <w:color w:val="auto"/>
        </w:rPr>
        <w:t>” shall have the meaning set forth in the Equity Incentive Plan.</w:t>
      </w:r>
    </w:p>
    <w:p>
      <w:pPr>
        <w:spacing w:after="0" w:line="14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as amended.</w:t>
      </w:r>
    </w:p>
    <w:p>
      <w:pPr>
        <w:spacing w:after="0" w:line="13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means Geron Corporation, any wholly-owned subsidiaries, and its successors in interest.</w:t>
      </w:r>
    </w:p>
    <w:p>
      <w:pPr>
        <w:spacing w:after="0" w:line="142"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Comparable Employment</w:t>
      </w:r>
      <w:r>
        <w:rPr>
          <w:rFonts w:ascii="Arial" w:cs="Arial" w:eastAsia="Arial" w:hAnsi="Arial"/>
          <w:sz w:val="15"/>
          <w:szCs w:val="15"/>
          <w:color w:val="auto"/>
        </w:rPr>
        <w:t>” means employment on terms that provide (a) the same or greater rate of base pay or salary as in effect immediately</w:t>
      </w:r>
    </w:p>
    <w:p>
      <w:pPr>
        <w:spacing w:after="0" w:line="216" w:lineRule="auto"/>
        <w:rPr>
          <w:sz w:val="20"/>
          <w:szCs w:val="20"/>
          <w:color w:val="auto"/>
        </w:rPr>
      </w:pPr>
      <w:r>
        <w:rPr>
          <w:rFonts w:ascii="Arial" w:cs="Arial" w:eastAsia="Arial" w:hAnsi="Arial"/>
          <w:sz w:val="15"/>
          <w:szCs w:val="15"/>
          <w:color w:val="auto"/>
        </w:rPr>
        <w:t>prior to Executive’s termination, (b) the same, equivalent or higher job title and level of responsibility as Executive had prior to Executive’s termination, (c) equivalent or higher bonus opportunity as the bonus opportunity for the year preceding the year in which the termination occurs, and (d) a principal work location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that is both (i) no more than forty-five (45) miles from Executive’s principal work location immediately prior to Executive’s termination and (ii)</w:t>
      </w:r>
    </w:p>
    <w:p>
      <w:pPr>
        <w:sectPr>
          <w:pgSz w:w="11900" w:h="16838" w:orient="portrait"/>
          <w:cols w:equalWidth="0" w:num="1">
            <w:col w:w="11280"/>
          </w:cols>
          <w:pgMar w:left="300" w:top="1350" w:right="319" w:bottom="1440" w:gutter="0" w:footer="0" w:header="0"/>
        </w:sectPr>
      </w:pPr>
    </w:p>
    <w:bookmarkStart w:id="117" w:name="page118"/>
    <w:bookmarkEnd w:id="117"/>
    <w:p>
      <w:pPr>
        <w:jc w:val="both"/>
        <w:spacing w:after="0" w:line="239" w:lineRule="auto"/>
        <w:rPr>
          <w:sz w:val="20"/>
          <w:szCs w:val="20"/>
          <w:color w:val="auto"/>
        </w:rPr>
      </w:pPr>
      <w:r>
        <w:rPr>
          <w:rFonts w:ascii="Arial" w:cs="Arial" w:eastAsia="Arial" w:hAnsi="Arial"/>
          <w:sz w:val="16"/>
          <w:szCs w:val="16"/>
          <w:color w:val="auto"/>
        </w:rPr>
        <w:t>no more than thirty (30) miles farther from Executive’s principal weekday residence than was Executive’s principal work location immediately prior to the termination.</w:t>
      </w:r>
    </w:p>
    <w:p>
      <w:pPr>
        <w:spacing w:after="0" w:line="115" w:lineRule="exact"/>
        <w:rPr>
          <w:sz w:val="20"/>
          <w:szCs w:val="20"/>
          <w:color w:val="auto"/>
        </w:rPr>
      </w:pPr>
    </w:p>
    <w:p>
      <w:pPr>
        <w:jc w:val="both"/>
        <w:ind w:firstLine="515"/>
        <w:spacing w:after="0" w:line="220"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Covered Termination</w:t>
      </w:r>
      <w:r>
        <w:rPr>
          <w:rFonts w:ascii="Arial" w:cs="Arial" w:eastAsia="Arial" w:hAnsi="Arial"/>
          <w:sz w:val="16"/>
          <w:szCs w:val="16"/>
          <w:color w:val="auto"/>
        </w:rPr>
        <w:t>” means an Involuntary Termination Without Cause that occurs at any time,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termination constitutes a</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from service” within the meaning of Section 409A of the Code and the regulations promulgated thereunder, including Treasury Regulation Section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1.409A-1(h) (a “</w:t>
      </w:r>
      <w:r>
        <w:rPr>
          <w:rFonts w:ascii="Arial" w:cs="Arial" w:eastAsia="Arial" w:hAnsi="Arial"/>
          <w:sz w:val="16"/>
          <w:szCs w:val="16"/>
          <w:b w:val="1"/>
          <w:bCs w:val="1"/>
          <w:color w:val="auto"/>
        </w:rPr>
        <w:t>Separation from Service</w:t>
      </w:r>
      <w:r>
        <w:rPr>
          <w:rFonts w:ascii="Arial" w:cs="Arial" w:eastAsia="Arial" w:hAnsi="Arial"/>
          <w:sz w:val="16"/>
          <w:szCs w:val="16"/>
          <w:color w:val="auto"/>
        </w:rPr>
        <w:t>”).</w:t>
      </w:r>
    </w:p>
    <w:p>
      <w:pPr>
        <w:spacing w:after="0" w:line="122" w:lineRule="exact"/>
        <w:rPr>
          <w:sz w:val="20"/>
          <w:szCs w:val="20"/>
          <w:color w:val="auto"/>
        </w:rPr>
      </w:pPr>
    </w:p>
    <w:p>
      <w:pPr>
        <w:jc w:val="both"/>
        <w:ind w:firstLine="515"/>
        <w:spacing w:after="0" w:line="235" w:lineRule="auto"/>
        <w:rPr>
          <w:sz w:val="20"/>
          <w:szCs w:val="20"/>
          <w:color w:val="auto"/>
        </w:rPr>
      </w:pPr>
      <w:r>
        <w:rPr>
          <w:rFonts w:ascii="Arial" w:cs="Arial" w:eastAsia="Arial" w:hAnsi="Arial"/>
          <w:sz w:val="15"/>
          <w:szCs w:val="15"/>
          <w:b w:val="1"/>
          <w:bCs w:val="1"/>
          <w:color w:val="auto"/>
        </w:rPr>
        <w:t xml:space="preserve">1.8 </w:t>
      </w:r>
      <w:r>
        <w:rPr>
          <w:rFonts w:ascii="Arial" w:cs="Arial" w:eastAsia="Arial" w:hAnsi="Arial"/>
          <w:sz w:val="15"/>
          <w:szCs w:val="15"/>
          <w:color w:val="auto"/>
        </w:rPr>
        <w:t>“</w:t>
      </w:r>
      <w:r>
        <w:rPr>
          <w:rFonts w:ascii="Arial" w:cs="Arial" w:eastAsia="Arial" w:hAnsi="Arial"/>
          <w:sz w:val="15"/>
          <w:szCs w:val="15"/>
          <w:b w:val="1"/>
          <w:bCs w:val="1"/>
          <w:color w:val="auto"/>
        </w:rPr>
        <w:t>Involuntary Termination Without Cause</w:t>
      </w:r>
      <w:r>
        <w:rPr>
          <w:rFonts w:ascii="Arial" w:cs="Arial" w:eastAsia="Arial" w:hAnsi="Arial"/>
          <w:sz w:val="15"/>
          <w:szCs w:val="15"/>
          <w:color w:val="auto"/>
        </w:rPr>
        <w:t>” means Executive’s dismissal or discharge other than (i) for Cause, or (ii) after an involuntary or</w:t>
      </w:r>
      <w:r>
        <w:rPr>
          <w:rFonts w:ascii="Arial" w:cs="Arial" w:eastAsia="Arial" w:hAnsi="Arial"/>
          <w:sz w:val="15"/>
          <w:szCs w:val="15"/>
          <w:b w:val="1"/>
          <w:bCs w:val="1"/>
          <w:color w:val="auto"/>
        </w:rPr>
        <w:t xml:space="preserve"> </w:t>
      </w:r>
      <w:r>
        <w:rPr>
          <w:rFonts w:ascii="Arial" w:cs="Arial" w:eastAsia="Arial" w:hAnsi="Arial"/>
          <w:sz w:val="15"/>
          <w:szCs w:val="15"/>
          <w:color w:val="auto"/>
        </w:rPr>
        <w:t>voluntary filing of a petition under chapter 7 or 11 of 11 USC Section 101 et. seq., an assignment for the benefit of creditors, a liquidation of the company’s assets</w:t>
      </w:r>
    </w:p>
    <w:p>
      <w:pPr>
        <w:jc w:val="both"/>
        <w:spacing w:after="0" w:line="203" w:lineRule="auto"/>
        <w:rPr>
          <w:sz w:val="20"/>
          <w:szCs w:val="20"/>
          <w:color w:val="auto"/>
        </w:rPr>
      </w:pPr>
      <w:r>
        <w:rPr>
          <w:rFonts w:ascii="Arial" w:cs="Arial" w:eastAsia="Arial" w:hAnsi="Arial"/>
          <w:sz w:val="16"/>
          <w:szCs w:val="16"/>
          <w:color w:val="auto"/>
        </w:rPr>
        <w:t>in formal proceeding or otherwise or any other event of insolvency by the Company, in any case, without an offer of Comparable Employment by the Company or a successor, acquirer, or affiliate of the Company. For purposes of this Agreement, the termination of Executive’s employment due to Executive’s death or</w:t>
      </w:r>
    </w:p>
    <w:p>
      <w:pPr>
        <w:spacing w:after="0"/>
        <w:rPr>
          <w:sz w:val="20"/>
          <w:szCs w:val="20"/>
          <w:color w:val="auto"/>
        </w:rPr>
      </w:pPr>
      <w:r>
        <w:rPr>
          <w:rFonts w:ascii="Arial" w:cs="Arial" w:eastAsia="Arial" w:hAnsi="Arial"/>
          <w:sz w:val="16"/>
          <w:szCs w:val="16"/>
          <w:color w:val="auto"/>
        </w:rPr>
        <w:t>disability will not constitute a termination for Cause.</w:t>
      </w:r>
    </w:p>
    <w:p>
      <w:pPr>
        <w:spacing w:after="0" w:line="13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1.9</w:t>
      </w:r>
      <w:r>
        <w:rPr>
          <w:sz w:val="20"/>
          <w:szCs w:val="20"/>
          <w:color w:val="auto"/>
        </w:rPr>
        <w:tab/>
      </w:r>
      <w:r>
        <w:rPr>
          <w:rFonts w:ascii="Arial" w:cs="Arial" w:eastAsia="Arial" w:hAnsi="Arial"/>
          <w:sz w:val="15"/>
          <w:szCs w:val="15"/>
          <w:b w:val="1"/>
          <w:bCs w:val="1"/>
          <w:color w:val="auto"/>
        </w:rPr>
        <w:t>“Inducement Plan</w:t>
      </w:r>
      <w:r>
        <w:rPr>
          <w:rFonts w:ascii="Arial" w:cs="Arial" w:eastAsia="Arial" w:hAnsi="Arial"/>
          <w:sz w:val="15"/>
          <w:szCs w:val="15"/>
          <w:color w:val="auto"/>
        </w:rPr>
        <w:t>” means the Company’s 2018 Inducement Award Plan.</w:t>
      </w:r>
    </w:p>
    <w:p>
      <w:pPr>
        <w:spacing w:after="0" w:line="13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1.10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Equity Incentive Plan</w:t>
      </w:r>
      <w:r>
        <w:rPr>
          <w:rFonts w:ascii="Arial" w:cs="Arial" w:eastAsia="Arial" w:hAnsi="Arial"/>
          <w:sz w:val="15"/>
          <w:szCs w:val="15"/>
          <w:color w:val="auto"/>
        </w:rPr>
        <w:t>” means the Company’s 2018 Equity Incentive Award Plan.</w:t>
      </w:r>
    </w:p>
    <w:p>
      <w:pPr>
        <w:spacing w:after="0" w:line="141"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ARTICLE II</w:t>
      </w:r>
    </w:p>
    <w:p>
      <w:pPr>
        <w:jc w:val="center"/>
        <w:spacing w:after="0"/>
        <w:rPr>
          <w:sz w:val="20"/>
          <w:szCs w:val="20"/>
          <w:color w:val="auto"/>
        </w:rPr>
      </w:pPr>
      <w:r>
        <w:rPr>
          <w:rFonts w:ascii="Arial" w:cs="Arial" w:eastAsia="Arial" w:hAnsi="Arial"/>
          <w:sz w:val="16"/>
          <w:szCs w:val="16"/>
          <w:b w:val="1"/>
          <w:bCs w:val="1"/>
          <w:color w:val="auto"/>
        </w:rPr>
        <w:t>EMPLOYMENT BY THE COMPANY</w:t>
      </w:r>
    </w:p>
    <w:p>
      <w:pPr>
        <w:spacing w:after="0" w:line="133" w:lineRule="exact"/>
        <w:rPr>
          <w:sz w:val="20"/>
          <w:szCs w:val="20"/>
          <w:color w:val="auto"/>
        </w:rPr>
      </w:pPr>
    </w:p>
    <w:p>
      <w:pPr>
        <w:jc w:val="both"/>
        <w:ind w:firstLine="515"/>
        <w:spacing w:after="0" w:line="213" w:lineRule="auto"/>
        <w:rPr>
          <w:sz w:val="20"/>
          <w:szCs w:val="20"/>
          <w:color w:val="auto"/>
        </w:rPr>
      </w:pPr>
      <w:r>
        <w:rPr>
          <w:rFonts w:ascii="Arial" w:cs="Arial" w:eastAsia="Arial" w:hAnsi="Arial"/>
          <w:sz w:val="16"/>
          <w:szCs w:val="16"/>
          <w:b w:val="1"/>
          <w:bCs w:val="1"/>
          <w:color w:val="auto"/>
        </w:rPr>
        <w:t xml:space="preserve">2.1 Position and Duties. </w:t>
      </w:r>
      <w:r>
        <w:rPr>
          <w:rFonts w:ascii="Arial" w:cs="Arial" w:eastAsia="Arial" w:hAnsi="Arial"/>
          <w:sz w:val="16"/>
          <w:szCs w:val="16"/>
          <w:color w:val="auto"/>
        </w:rPr>
        <w:t>Subject to the terms set forth herein, the Company agrees to employ Executive in the position of Executive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Chief Commercial Officer. During the Executive’s employment in this position, Executive will report to the Chief Executive Officer. Executive shall serve in an</w:t>
      </w:r>
    </w:p>
    <w:p>
      <w:pPr>
        <w:spacing w:after="0" w:line="211" w:lineRule="auto"/>
        <w:rPr>
          <w:sz w:val="20"/>
          <w:szCs w:val="20"/>
          <w:color w:val="auto"/>
        </w:rPr>
      </w:pPr>
      <w:r>
        <w:rPr>
          <w:rFonts w:ascii="Arial" w:cs="Arial" w:eastAsia="Arial" w:hAnsi="Arial"/>
          <w:sz w:val="16"/>
          <w:szCs w:val="16"/>
          <w:color w:val="auto"/>
        </w:rPr>
        <w:t>employee capacity and shall perform such duties as are assigned to Executive by the Chief Executive Officer and, except as otherwise instructed by the Chief</w:t>
      </w:r>
    </w:p>
    <w:p>
      <w:pPr>
        <w:jc w:val="both"/>
        <w:spacing w:after="0" w:line="216" w:lineRule="auto"/>
        <w:rPr>
          <w:sz w:val="20"/>
          <w:szCs w:val="20"/>
          <w:color w:val="auto"/>
        </w:rPr>
      </w:pPr>
      <w:r>
        <w:rPr>
          <w:rFonts w:ascii="Arial" w:cs="Arial" w:eastAsia="Arial" w:hAnsi="Arial"/>
          <w:sz w:val="15"/>
          <w:szCs w:val="15"/>
          <w:color w:val="auto"/>
        </w:rPr>
        <w:t>Executive Officer, such other duties as are customarily associated with the position of Executive Vice President, Chief Commercial Officer. During Executive’s employment with the Company, Executive will devote Executive’s best efforts and substantially all of Executive’s business time and attention (except for vacation</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periods as set forth herein and reasonable periods of illness or other incapacities permitted by the Company’s general employment policies or as otherwise set forth in this Agreement) to the business of the Company.</w:t>
      </w:r>
    </w:p>
    <w:p>
      <w:pPr>
        <w:spacing w:after="0" w:line="11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5"/>
          <w:szCs w:val="15"/>
          <w:b w:val="1"/>
          <w:bCs w:val="1"/>
          <w:color w:val="auto"/>
        </w:rPr>
        <w:t xml:space="preserve">Employment at Will. </w:t>
      </w:r>
      <w:r>
        <w:rPr>
          <w:rFonts w:ascii="Arial" w:cs="Arial" w:eastAsia="Arial" w:hAnsi="Arial"/>
          <w:sz w:val="15"/>
          <w:szCs w:val="15"/>
          <w:color w:val="auto"/>
        </w:rPr>
        <w:t>Both the Company and Executive acknowledge and agree that Executive’s employment with the Company is “at-will” and not</w:t>
      </w:r>
    </w:p>
    <w:p>
      <w:pPr>
        <w:jc w:val="both"/>
        <w:spacing w:after="0" w:line="216" w:lineRule="auto"/>
        <w:rPr>
          <w:sz w:val="20"/>
          <w:szCs w:val="20"/>
          <w:color w:val="auto"/>
        </w:rPr>
      </w:pPr>
      <w:r>
        <w:rPr>
          <w:rFonts w:ascii="Arial" w:cs="Arial" w:eastAsia="Arial" w:hAnsi="Arial"/>
          <w:sz w:val="15"/>
          <w:szCs w:val="15"/>
          <w:color w:val="auto"/>
        </w:rPr>
        <w:t>for any specified period of time, and may be terminated at any time by Executive or the Company, with or without Cause, and with or without prior notice; provided, however, that if Executive’s employment with the Company is terminated under circumstances that constitute a Covered Termination, Executive will be</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eligible to receive certain severance payments and benefits as set forth in Article IV below. Executive is also eligible for severance benefits under the Amended and Restated Severance Plan.</w:t>
      </w:r>
    </w:p>
    <w:p>
      <w:pPr>
        <w:spacing w:after="0" w:line="115" w:lineRule="exact"/>
        <w:rPr>
          <w:sz w:val="20"/>
          <w:szCs w:val="20"/>
          <w:color w:val="auto"/>
        </w:rPr>
      </w:pPr>
    </w:p>
    <w:p>
      <w:pPr>
        <w:jc w:val="both"/>
        <w:ind w:firstLine="515"/>
        <w:spacing w:after="0" w:line="230" w:lineRule="auto"/>
        <w:rPr>
          <w:sz w:val="20"/>
          <w:szCs w:val="20"/>
          <w:color w:val="auto"/>
        </w:rPr>
      </w:pPr>
      <w:r>
        <w:rPr>
          <w:rFonts w:ascii="Arial" w:cs="Arial" w:eastAsia="Arial" w:hAnsi="Arial"/>
          <w:sz w:val="16"/>
          <w:szCs w:val="16"/>
          <w:b w:val="1"/>
          <w:bCs w:val="1"/>
          <w:color w:val="auto"/>
        </w:rPr>
        <w:t xml:space="preserve">2.3 Employment Policies. </w:t>
      </w:r>
      <w:r>
        <w:rPr>
          <w:rFonts w:ascii="Arial" w:cs="Arial" w:eastAsia="Arial" w:hAnsi="Arial"/>
          <w:sz w:val="16"/>
          <w:szCs w:val="16"/>
          <w:color w:val="auto"/>
        </w:rPr>
        <w:t>The employment relationship between the parties shall also be governed by the general employment policies and practices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including but not limited to those policies relating to protection of confidential information and assignment of inventions. In the event of a conflict between the terms of this Agreement and the Company’s general employment policies or practices, this Agreement shall control.</w:t>
      </w:r>
    </w:p>
    <w:p>
      <w:pPr>
        <w:spacing w:after="0" w:line="135" w:lineRule="exact"/>
        <w:rPr>
          <w:sz w:val="20"/>
          <w:szCs w:val="20"/>
          <w:color w:val="auto"/>
        </w:rPr>
      </w:pPr>
    </w:p>
    <w:p>
      <w:pPr>
        <w:jc w:val="both"/>
        <w:ind w:firstLine="515"/>
        <w:spacing w:after="0" w:line="304" w:lineRule="auto"/>
        <w:rPr>
          <w:sz w:val="20"/>
          <w:szCs w:val="20"/>
          <w:color w:val="auto"/>
        </w:rPr>
      </w:pPr>
      <w:r>
        <w:rPr>
          <w:rFonts w:ascii="Times New Roman" w:cs="Times New Roman" w:eastAsia="Times New Roman" w:hAnsi="Times New Roman"/>
          <w:sz w:val="17"/>
          <w:szCs w:val="17"/>
          <w:color w:val="auto"/>
        </w:rPr>
        <w:t xml:space="preserve">2.4 </w:t>
      </w:r>
      <w:r>
        <w:rPr>
          <w:rFonts w:ascii="Arial" w:cs="Arial" w:eastAsia="Arial" w:hAnsi="Arial"/>
          <w:sz w:val="15"/>
          <w:szCs w:val="15"/>
          <w:b w:val="1"/>
          <w:bCs w:val="1"/>
          <w:color w:val="auto"/>
        </w:rPr>
        <w:t>2.4 Indemnification.</w:t>
      </w:r>
      <w:r>
        <w:rPr>
          <w:rFonts w:ascii="Times New Roman" w:cs="Times New Roman" w:eastAsia="Times New Roman" w:hAnsi="Times New Roman"/>
          <w:sz w:val="17"/>
          <w:szCs w:val="17"/>
          <w:color w:val="auto"/>
        </w:rPr>
        <w:t xml:space="preserve"> </w:t>
      </w:r>
      <w:r>
        <w:rPr>
          <w:rFonts w:ascii="Arial" w:cs="Arial" w:eastAsia="Arial" w:hAnsi="Arial"/>
          <w:sz w:val="15"/>
          <w:szCs w:val="15"/>
          <w:color w:val="auto"/>
        </w:rPr>
        <w:t>The Company shall provide for indemnification of the Executive as set forth in the Indemnification Agreement attached</w:t>
      </w:r>
      <w:r>
        <w:rPr>
          <w:rFonts w:ascii="Times New Roman" w:cs="Times New Roman" w:eastAsia="Times New Roman" w:hAnsi="Times New Roman"/>
          <w:sz w:val="17"/>
          <w:szCs w:val="17"/>
          <w:color w:val="auto"/>
        </w:rPr>
        <w:t xml:space="preserve"> </w:t>
      </w:r>
      <w:r>
        <w:rPr>
          <w:rFonts w:ascii="Arial" w:cs="Arial" w:eastAsia="Arial" w:hAnsi="Arial"/>
          <w:sz w:val="15"/>
          <w:szCs w:val="15"/>
          <w:color w:val="auto"/>
        </w:rPr>
        <w:t xml:space="preserve">hereto as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87"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ARTICLE III</w:t>
      </w:r>
    </w:p>
    <w:p>
      <w:pPr>
        <w:jc w:val="center"/>
        <w:spacing w:after="0"/>
        <w:rPr>
          <w:sz w:val="20"/>
          <w:szCs w:val="20"/>
          <w:color w:val="auto"/>
        </w:rPr>
      </w:pPr>
      <w:r>
        <w:rPr>
          <w:rFonts w:ascii="Arial" w:cs="Arial" w:eastAsia="Arial" w:hAnsi="Arial"/>
          <w:sz w:val="16"/>
          <w:szCs w:val="16"/>
          <w:b w:val="1"/>
          <w:bCs w:val="1"/>
          <w:color w:val="auto"/>
        </w:rPr>
        <w:t>COMPENSATION</w:t>
      </w:r>
    </w:p>
    <w:p>
      <w:pPr>
        <w:spacing w:after="0" w:line="122" w:lineRule="exact"/>
        <w:rPr>
          <w:sz w:val="20"/>
          <w:szCs w:val="20"/>
          <w:color w:val="auto"/>
        </w:rPr>
      </w:pPr>
    </w:p>
    <w:p>
      <w:pPr>
        <w:jc w:val="both"/>
        <w:ind w:firstLine="515"/>
        <w:spacing w:after="0" w:line="242" w:lineRule="auto"/>
        <w:rPr>
          <w:sz w:val="20"/>
          <w:szCs w:val="20"/>
          <w:color w:val="auto"/>
        </w:rPr>
      </w:pPr>
      <w:r>
        <w:rPr>
          <w:rFonts w:ascii="Arial" w:cs="Arial" w:eastAsia="Arial" w:hAnsi="Arial"/>
          <w:sz w:val="16"/>
          <w:szCs w:val="16"/>
          <w:b w:val="1"/>
          <w:bCs w:val="1"/>
          <w:color w:val="auto"/>
        </w:rPr>
        <w:t>3.1 Base Salary</w:t>
      </w:r>
      <w:r>
        <w:rPr>
          <w:rFonts w:ascii="Arial" w:cs="Arial" w:eastAsia="Arial" w:hAnsi="Arial"/>
          <w:sz w:val="16"/>
          <w:szCs w:val="16"/>
          <w:color w:val="auto"/>
        </w:rPr>
        <w:t>. Executive shall receive for services to be rendered hereunder such annual base salary as is approved by the Board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of the Board, payable on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43" w:right="319" w:bottom="1440" w:gutter="0" w:footer="0" w:header="0"/>
        </w:sectPr>
      </w:pPr>
    </w:p>
    <w:bookmarkStart w:id="118" w:name="page119"/>
    <w:bookmarkEnd w:id="118"/>
    <w:p>
      <w:pPr>
        <w:jc w:val="both"/>
        <w:spacing w:after="0" w:line="242" w:lineRule="auto"/>
        <w:rPr>
          <w:sz w:val="20"/>
          <w:szCs w:val="20"/>
          <w:color w:val="auto"/>
        </w:rPr>
      </w:pPr>
      <w:r>
        <w:rPr>
          <w:rFonts w:ascii="Arial" w:cs="Arial" w:eastAsia="Arial" w:hAnsi="Arial"/>
          <w:sz w:val="16"/>
          <w:szCs w:val="16"/>
          <w:color w:val="auto"/>
        </w:rPr>
        <w:t>regular payroll dates of the Company, subject to increase in the sole discretion of the Board or Compensation Committee of the Board (the “</w:t>
      </w:r>
      <w:r>
        <w:rPr>
          <w:rFonts w:ascii="Arial" w:cs="Arial" w:eastAsia="Arial" w:hAnsi="Arial"/>
          <w:sz w:val="16"/>
          <w:szCs w:val="16"/>
          <w:b w:val="1"/>
          <w:bCs w:val="1"/>
          <w:color w:val="auto"/>
        </w:rPr>
        <w:t>Base Salary</w:t>
      </w:r>
      <w:r>
        <w:rPr>
          <w:rFonts w:ascii="Arial" w:cs="Arial" w:eastAsia="Arial" w:hAnsi="Arial"/>
          <w:sz w:val="16"/>
          <w:szCs w:val="16"/>
          <w:color w:val="auto"/>
        </w:rPr>
        <w:t>”). As of the Effective Date of this Agreement, Executive’s Base Salary is $525,000.</w:t>
      </w:r>
    </w:p>
    <w:p>
      <w:pPr>
        <w:spacing w:after="0" w:line="112" w:lineRule="exact"/>
        <w:rPr>
          <w:sz w:val="20"/>
          <w:szCs w:val="20"/>
          <w:color w:val="auto"/>
        </w:rPr>
      </w:pPr>
    </w:p>
    <w:p>
      <w:pPr>
        <w:jc w:val="both"/>
        <w:ind w:firstLine="515"/>
        <w:spacing w:after="0" w:line="220" w:lineRule="auto"/>
        <w:rPr>
          <w:sz w:val="20"/>
          <w:szCs w:val="20"/>
          <w:color w:val="auto"/>
        </w:rPr>
      </w:pPr>
      <w:r>
        <w:rPr>
          <w:rFonts w:ascii="Arial" w:cs="Arial" w:eastAsia="Arial" w:hAnsi="Arial"/>
          <w:sz w:val="16"/>
          <w:szCs w:val="16"/>
          <w:b w:val="1"/>
          <w:bCs w:val="1"/>
          <w:color w:val="auto"/>
        </w:rPr>
        <w:t>3.2 Bonus</w:t>
      </w:r>
      <w:r>
        <w:rPr>
          <w:rFonts w:ascii="Arial" w:cs="Arial" w:eastAsia="Arial" w:hAnsi="Arial"/>
          <w:sz w:val="16"/>
          <w:szCs w:val="16"/>
          <w:color w:val="auto"/>
        </w:rPr>
        <w:t>. As of the Effective Date of this Agreement, Executive shall be eligible to earn, for each fiscal year of the Company ending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during Executive’s employment with the Company, an annual discretionary cash bonus (an “</w:t>
      </w:r>
      <w:r>
        <w:rPr>
          <w:rFonts w:ascii="Arial" w:cs="Arial" w:eastAsia="Arial" w:hAnsi="Arial"/>
          <w:sz w:val="16"/>
          <w:szCs w:val="16"/>
          <w:b w:val="1"/>
          <w:bCs w:val="1"/>
          <w:color w:val="auto"/>
        </w:rPr>
        <w:t>Annual Bonus</w:t>
      </w:r>
      <w:r>
        <w:rPr>
          <w:rFonts w:ascii="Arial" w:cs="Arial" w:eastAsia="Arial" w:hAnsi="Arial"/>
          <w:sz w:val="16"/>
          <w:szCs w:val="16"/>
          <w:color w:val="auto"/>
        </w:rPr>
        <w:t>”) targeted at forty-five percent (45%) of Executive’s</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5"/>
          <w:szCs w:val="15"/>
          <w:color w:val="auto"/>
        </w:rPr>
        <w:t>Base Salary. Executive’s discretionary Annual Bonus will be paid during the standard timing for year-end performance bonuses, with the eligibility cutoff date for participation being October 1st in the performance year for which any bonus may be paid. The Annual Bonus is tied to the achievement of certain performance</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goals established for the Company and each individual and prorated for the individual’s initial performance period (assuming commencement of employment in the middle of a calendar year); provided, however, that in order to be eligible for an Annual Bonus for the initial performance period the Effective Date must be on or before September 30th. The total bonus pool generated for distribution, if any, is determined at the discretion of the Board and then distributed based on</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5"/>
          <w:szCs w:val="15"/>
          <w:color w:val="auto"/>
        </w:rPr>
        <w:t>individual performance. If the Company determines, in its reasonable discretion, that Executive has engaged in any misconduct intended to affect the payment of Executive’s Annual Bonus or has otherwise engaged in any act or omission that would constitute Cause for termination of employment, as defined by Section 1.2 of the Agreement, Executive will automatically and immediately forfeit Executive’s entire Annual Bonus. If the Annual Bonus has already been paid to Executive,</w:t>
      </w:r>
    </w:p>
    <w:p>
      <w:pPr>
        <w:jc w:val="both"/>
        <w:spacing w:after="0" w:line="216" w:lineRule="auto"/>
        <w:rPr>
          <w:sz w:val="20"/>
          <w:szCs w:val="20"/>
          <w:color w:val="auto"/>
        </w:rPr>
      </w:pPr>
      <w:r>
        <w:rPr>
          <w:rFonts w:ascii="Arial" w:cs="Arial" w:eastAsia="Arial" w:hAnsi="Arial"/>
          <w:sz w:val="15"/>
          <w:szCs w:val="15"/>
          <w:color w:val="auto"/>
        </w:rPr>
        <w:t>such Annual Bonus will be deemed unearned, and the Company shall have the right to recover the entire amount of the Annual Bonus paid to Executive for the calendar year(s) in which such misconduct or other act or omission constituting Cause occurred. Without limiting the foregoing, any such misconduct or other act</w:t>
      </w:r>
    </w:p>
    <w:p>
      <w:pPr>
        <w:spacing w:after="0" w:line="211" w:lineRule="auto"/>
        <w:rPr>
          <w:sz w:val="20"/>
          <w:szCs w:val="20"/>
          <w:color w:val="auto"/>
        </w:rPr>
      </w:pPr>
      <w:r>
        <w:rPr>
          <w:rFonts w:ascii="Arial" w:cs="Arial" w:eastAsia="Arial" w:hAnsi="Arial"/>
          <w:sz w:val="16"/>
          <w:szCs w:val="16"/>
          <w:color w:val="auto"/>
        </w:rPr>
        <w:t>or omission constituting Cause will subject Executive to disciplinary action up to and including termination of employment. In addition, any Annual Bonus paid to</w:t>
      </w:r>
    </w:p>
    <w:p>
      <w:pPr>
        <w:jc w:val="both"/>
        <w:spacing w:after="0" w:line="203" w:lineRule="auto"/>
        <w:rPr>
          <w:sz w:val="20"/>
          <w:szCs w:val="20"/>
          <w:color w:val="auto"/>
        </w:rPr>
      </w:pPr>
      <w:r>
        <w:rPr>
          <w:rFonts w:ascii="Arial" w:cs="Arial" w:eastAsia="Arial" w:hAnsi="Arial"/>
          <w:sz w:val="16"/>
          <w:szCs w:val="16"/>
          <w:color w:val="auto"/>
        </w:rPr>
        <w:t>Executive for the calendar year(s) in which such misconduct or other Cause occurred is subject to recoupment in accordance with The Dodd–Frank Wall Street Reform and Consumer Protection Act and any implementing regulations, any other clawback policy adopted by the Company and any compensation recovery</w:t>
      </w:r>
    </w:p>
    <w:p>
      <w:pPr>
        <w:spacing w:after="0" w:line="210" w:lineRule="auto"/>
        <w:rPr>
          <w:sz w:val="20"/>
          <w:szCs w:val="20"/>
          <w:color w:val="auto"/>
        </w:rPr>
      </w:pPr>
      <w:r>
        <w:rPr>
          <w:rFonts w:ascii="Arial" w:cs="Arial" w:eastAsia="Arial" w:hAnsi="Arial"/>
          <w:sz w:val="16"/>
          <w:szCs w:val="16"/>
          <w:color w:val="auto"/>
        </w:rPr>
        <w:t>policy otherwise required by applicable laws, regulations, or statutes. Recovery by the Company of an Annual Bonus in accordance with this Section shall not</w:t>
      </w:r>
    </w:p>
    <w:p>
      <w:pPr>
        <w:jc w:val="both"/>
        <w:spacing w:after="0" w:line="223" w:lineRule="auto"/>
        <w:rPr>
          <w:sz w:val="20"/>
          <w:szCs w:val="20"/>
          <w:color w:val="auto"/>
        </w:rPr>
      </w:pPr>
      <w:r>
        <w:rPr>
          <w:rFonts w:ascii="Arial" w:cs="Arial" w:eastAsia="Arial" w:hAnsi="Arial"/>
          <w:sz w:val="16"/>
          <w:szCs w:val="16"/>
          <w:color w:val="auto"/>
        </w:rPr>
        <w:t>constitute an event giving rise to a right by Executive to voluntarily terminate Executive’s employment for Cause based on such recovery by the Company, nor shall it constitute “constructive termination”, or any similar term or circumstance under the Agreement or any other plan or agreement with the Company.</w:t>
      </w:r>
    </w:p>
    <w:p>
      <w:pPr>
        <w:spacing w:after="0" w:line="11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6"/>
          <w:szCs w:val="16"/>
          <w:b w:val="1"/>
          <w:bCs w:val="1"/>
          <w:color w:val="auto"/>
        </w:rPr>
        <w:t>New Hire Stock Option</w:t>
      </w:r>
      <w:r>
        <w:rPr>
          <w:rFonts w:ascii="Times New Roman" w:cs="Times New Roman" w:eastAsia="Times New Roman" w:hAnsi="Times New Roman"/>
          <w:sz w:val="17"/>
          <w:szCs w:val="17"/>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terms approved by Board or the Company’s Compensation Committee of the Board, the</w:t>
      </w:r>
    </w:p>
    <w:p>
      <w:pPr>
        <w:jc w:val="both"/>
        <w:spacing w:after="0" w:line="216" w:lineRule="auto"/>
        <w:rPr>
          <w:sz w:val="20"/>
          <w:szCs w:val="20"/>
          <w:color w:val="auto"/>
        </w:rPr>
      </w:pPr>
      <w:r>
        <w:rPr>
          <w:rFonts w:ascii="Arial" w:cs="Arial" w:eastAsia="Arial" w:hAnsi="Arial"/>
          <w:sz w:val="15"/>
          <w:szCs w:val="15"/>
          <w:color w:val="auto"/>
        </w:rPr>
        <w:t>Executive shall receive a time-based option (the “</w:t>
      </w:r>
      <w:r>
        <w:rPr>
          <w:rFonts w:ascii="Arial" w:cs="Arial" w:eastAsia="Arial" w:hAnsi="Arial"/>
          <w:sz w:val="15"/>
          <w:szCs w:val="15"/>
          <w:b w:val="1"/>
          <w:bCs w:val="1"/>
          <w:color w:val="auto"/>
        </w:rPr>
        <w:t>New Hire Option</w:t>
      </w:r>
      <w:r>
        <w:rPr>
          <w:rFonts w:ascii="Arial" w:cs="Arial" w:eastAsia="Arial" w:hAnsi="Arial"/>
          <w:sz w:val="15"/>
          <w:szCs w:val="15"/>
          <w:color w:val="auto"/>
        </w:rPr>
        <w:t>”) to purchase three million (3,000,000) shares of Company common stock having an exercise price equal to the fair market value of Company common stock, as reported by the Nasdaq Global Select Market, on the first date of Executive’s employment, and</w:t>
      </w:r>
    </w:p>
    <w:p>
      <w:pPr>
        <w:spacing w:after="0" w:line="225" w:lineRule="auto"/>
        <w:rPr>
          <w:sz w:val="20"/>
          <w:szCs w:val="20"/>
          <w:color w:val="auto"/>
        </w:rPr>
      </w:pPr>
      <w:r>
        <w:rPr>
          <w:rFonts w:ascii="Arial" w:cs="Arial" w:eastAsia="Arial" w:hAnsi="Arial"/>
          <w:sz w:val="15"/>
          <w:szCs w:val="15"/>
          <w:color w:val="auto"/>
        </w:rPr>
        <w:t>vesting with respect to 12.5% of the shares on the six-month anniversary of the Executive’s first date of employment and with respect to the remaining shares on</w:t>
      </w:r>
    </w:p>
    <w:p>
      <w:pPr>
        <w:jc w:val="both"/>
        <w:spacing w:after="0" w:line="203" w:lineRule="auto"/>
        <w:rPr>
          <w:sz w:val="20"/>
          <w:szCs w:val="20"/>
          <w:color w:val="auto"/>
        </w:rPr>
      </w:pPr>
      <w:r>
        <w:rPr>
          <w:rFonts w:ascii="Arial" w:cs="Arial" w:eastAsia="Arial" w:hAnsi="Arial"/>
          <w:sz w:val="16"/>
          <w:szCs w:val="16"/>
          <w:color w:val="auto"/>
        </w:rPr>
        <w:t>each monthly anniversary of the Executive’s first date of employment in equal installments over 42 months thereafter. The New Hire Option serves as an inducement material to Executive entering into employment with the Company and will be granted under the Company’s Equity Incentive Plan as non-statutory</w:t>
      </w:r>
    </w:p>
    <w:p>
      <w:pPr>
        <w:spacing w:after="0" w:line="210" w:lineRule="auto"/>
        <w:rPr>
          <w:sz w:val="20"/>
          <w:szCs w:val="20"/>
          <w:color w:val="auto"/>
        </w:rPr>
      </w:pPr>
      <w:r>
        <w:rPr>
          <w:rFonts w:ascii="Arial" w:cs="Arial" w:eastAsia="Arial" w:hAnsi="Arial"/>
          <w:sz w:val="16"/>
          <w:szCs w:val="16"/>
          <w:color w:val="auto"/>
        </w:rPr>
        <w:t>stock options. The vesting of the New Hire Option shall be subject to Executive’s continued service to the Company through the applicable vesting dates,</w:t>
      </w:r>
    </w:p>
    <w:p>
      <w:pPr>
        <w:jc w:val="both"/>
        <w:spacing w:after="0" w:line="216" w:lineRule="auto"/>
        <w:rPr>
          <w:sz w:val="20"/>
          <w:szCs w:val="20"/>
          <w:color w:val="auto"/>
        </w:rPr>
      </w:pPr>
      <w:r>
        <w:rPr>
          <w:rFonts w:ascii="Arial" w:cs="Arial" w:eastAsia="Arial" w:hAnsi="Arial"/>
          <w:sz w:val="15"/>
          <w:szCs w:val="15"/>
          <w:color w:val="auto"/>
        </w:rPr>
        <w:t>provided, that upon the occurrence of a Change of Control, subject to Executive’s continued service to the Company through the date of such Change of Control, the New Hire Option shall vest and become exercisable with respect to one hundred percent (100%) of the unvested shares subject thereto. The New Hire Option</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otherwise shall be subject to and governed in all respects by the terms of the Equity Incentive Plan and the stock option agreement for the option grant to be entered into between the Company and Executive.</w:t>
      </w:r>
    </w:p>
    <w:p>
      <w:pPr>
        <w:spacing w:after="0" w:line="115" w:lineRule="exact"/>
        <w:rPr>
          <w:sz w:val="20"/>
          <w:szCs w:val="20"/>
          <w:color w:val="auto"/>
        </w:rPr>
      </w:pPr>
    </w:p>
    <w:p>
      <w:pPr>
        <w:jc w:val="both"/>
        <w:ind w:firstLine="515"/>
        <w:spacing w:after="0" w:line="235" w:lineRule="auto"/>
        <w:rPr>
          <w:sz w:val="20"/>
          <w:szCs w:val="20"/>
          <w:color w:val="auto"/>
        </w:rPr>
      </w:pPr>
      <w:r>
        <w:rPr>
          <w:rFonts w:ascii="Arial" w:cs="Arial" w:eastAsia="Arial" w:hAnsi="Arial"/>
          <w:sz w:val="15"/>
          <w:szCs w:val="15"/>
          <w:b w:val="1"/>
          <w:bCs w:val="1"/>
          <w:color w:val="auto"/>
        </w:rPr>
        <w:t xml:space="preserve">3.4 Standard Company Benefits; Vacation. </w:t>
      </w:r>
      <w:r>
        <w:rPr>
          <w:rFonts w:ascii="Arial" w:cs="Arial" w:eastAsia="Arial" w:hAnsi="Arial"/>
          <w:sz w:val="15"/>
          <w:szCs w:val="15"/>
          <w:color w:val="auto"/>
        </w:rPr>
        <w:t>Executive shall be entitled to all rights and benefits for which Executive is eligible under the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of the Company’s benefit and compensation plans, practices, policies, and programs, as in effect from time to time, that are provided by the Company</w:t>
      </w:r>
    </w:p>
    <w:p>
      <w:pPr>
        <w:jc w:val="both"/>
        <w:spacing w:after="0" w:line="223" w:lineRule="auto"/>
        <w:rPr>
          <w:sz w:val="20"/>
          <w:szCs w:val="20"/>
          <w:color w:val="auto"/>
        </w:rPr>
      </w:pPr>
      <w:r>
        <w:rPr>
          <w:rFonts w:ascii="Arial" w:cs="Arial" w:eastAsia="Arial" w:hAnsi="Arial"/>
          <w:sz w:val="16"/>
          <w:szCs w:val="16"/>
          <w:color w:val="auto"/>
        </w:rPr>
        <w:t>to its executive employees generally. Except as specifically provided herein, nothing in this Agreement is construed or interpreted to provide greater rights, participation, coverage, or benefits under such benefit plans or programs provided to executive employees pursuant to the terms 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41" w:right="319" w:bottom="1440" w:gutter="0" w:footer="0" w:header="0"/>
        </w:sectPr>
      </w:pPr>
    </w:p>
    <w:bookmarkStart w:id="119" w:name="page120"/>
    <w:bookmarkEnd w:id="119"/>
    <w:p>
      <w:pPr>
        <w:jc w:val="both"/>
        <w:spacing w:after="0" w:line="239" w:lineRule="auto"/>
        <w:rPr>
          <w:sz w:val="20"/>
          <w:szCs w:val="20"/>
          <w:color w:val="auto"/>
        </w:rPr>
      </w:pPr>
      <w:r>
        <w:rPr>
          <w:rFonts w:ascii="Arial" w:cs="Arial" w:eastAsia="Arial" w:hAnsi="Arial"/>
          <w:sz w:val="16"/>
          <w:szCs w:val="16"/>
          <w:color w:val="auto"/>
        </w:rPr>
        <w:t>conditions of such benefit plans and programs. Executive will be eligible for vacation accruals in accordance with the Company’s current time off policy, starting with twenty (20) days per year.</w:t>
      </w:r>
    </w:p>
    <w:p>
      <w:pPr>
        <w:spacing w:after="0" w:line="147" w:lineRule="exact"/>
        <w:rPr>
          <w:sz w:val="20"/>
          <w:szCs w:val="20"/>
          <w:color w:val="auto"/>
        </w:rPr>
      </w:pPr>
    </w:p>
    <w:p>
      <w:pPr>
        <w:jc w:val="both"/>
        <w:ind w:firstLine="515"/>
        <w:spacing w:after="0" w:line="252" w:lineRule="auto"/>
        <w:rPr>
          <w:sz w:val="20"/>
          <w:szCs w:val="20"/>
          <w:color w:val="auto"/>
        </w:rPr>
      </w:pPr>
      <w:r>
        <w:rPr>
          <w:rFonts w:ascii="Arial" w:cs="Arial" w:eastAsia="Arial" w:hAnsi="Arial"/>
          <w:sz w:val="16"/>
          <w:szCs w:val="16"/>
          <w:b w:val="1"/>
          <w:bCs w:val="1"/>
          <w:color w:val="auto"/>
        </w:rPr>
        <w:t>3.5 Sign-On Bonus</w:t>
      </w:r>
      <w:r>
        <w:rPr>
          <w:rFonts w:ascii="Arial" w:cs="Arial" w:eastAsia="Arial" w:hAnsi="Arial"/>
          <w:sz w:val="16"/>
          <w:szCs w:val="16"/>
          <w:color w:val="auto"/>
        </w:rPr>
        <w:t>. Executive shall be paid a cash sign-on bonus in the amount of $400,000. The Sign-On Bonus will be paid in two tranches,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tranche of $200,000 paid on the first scheduled payroll following the Effective Date and the second tranche paid on the first scheduled payroll following the first anniversary of the Effective Date; provided however, if Executive has voluntarily left the Company and is no longer employed by the Company on the first anniversary of the Effective Date (with respect to the first tranche) or the second anniversary of the Effective Date (with respect to the second tranche), the applicable portion of such Sign-On Bonus will be deemed unearned, and the Company shall have the right to recover the entire applicable portion, which shall be reimbursed by Executive to the Company within thirty (30) days after such voluntary departure by Executive. The Sign-On Bonus will be subject to applicable taxes.</w:t>
      </w:r>
    </w:p>
    <w:p>
      <w:pPr>
        <w:spacing w:after="0" w:line="142" w:lineRule="exact"/>
        <w:rPr>
          <w:sz w:val="20"/>
          <w:szCs w:val="20"/>
          <w:color w:val="auto"/>
        </w:rPr>
      </w:pPr>
    </w:p>
    <w:p>
      <w:pPr>
        <w:jc w:val="both"/>
        <w:ind w:firstLine="515"/>
        <w:spacing w:after="0" w:line="252" w:lineRule="auto"/>
        <w:rPr>
          <w:sz w:val="20"/>
          <w:szCs w:val="20"/>
          <w:color w:val="auto"/>
        </w:rPr>
      </w:pPr>
      <w:r>
        <w:rPr>
          <w:rFonts w:ascii="Arial" w:cs="Arial" w:eastAsia="Arial" w:hAnsi="Arial"/>
          <w:sz w:val="16"/>
          <w:szCs w:val="16"/>
          <w:color w:val="auto"/>
        </w:rPr>
        <w:t>If the Company determines, in its reasonable discretion, that Executive has engaged in any misconduct or has otherwise engaged in any act or omission that would constitute Cause for termination of employment, as defined by Section 1.2 of this Agreement, the Sign-On Bonus will be deemed unearned, and the Company shall have the right to recover the entire amount of the Sign-On Bonus. Without limiting the foregoing, any such misconduct or other act or omission constituting Cause will subject Executive to disciplinary action up to and including termination of employment. The Sign-On Bonus is subject to recoupment in accordance with The Dodd–Frank Wall Street Reform and Consumer Protection Act and any implementing regulations, any other clawback policy adopted by the Company and any compensation recovery policy otherwise required by applicable laws, regulations or statutes.</w:t>
      </w:r>
    </w:p>
    <w:p>
      <w:pPr>
        <w:spacing w:after="0" w:line="151" w:lineRule="exact"/>
        <w:rPr>
          <w:sz w:val="20"/>
          <w:szCs w:val="20"/>
          <w:color w:val="auto"/>
        </w:rPr>
      </w:pPr>
    </w:p>
    <w:p>
      <w:pPr>
        <w:jc w:val="both"/>
        <w:ind w:firstLine="515"/>
        <w:spacing w:after="0" w:line="257" w:lineRule="auto"/>
        <w:rPr>
          <w:sz w:val="20"/>
          <w:szCs w:val="20"/>
          <w:color w:val="auto"/>
        </w:rPr>
      </w:pPr>
      <w:r>
        <w:rPr>
          <w:rFonts w:ascii="Arial" w:cs="Arial" w:eastAsia="Arial" w:hAnsi="Arial"/>
          <w:sz w:val="16"/>
          <w:szCs w:val="16"/>
          <w:color w:val="auto"/>
        </w:rPr>
        <w:t>Recovery by the Company of the Sign-On Bonus in accordance with this Section shall not constitute an event giving rise to a right by Executive to voluntarily terminate his employment for Cause based on such recovery by Company, nor shall it constitute “constructive termination,” or any similar term or circumstance under the Agreement or any other plan or agreement with the Company. If the Executive’s employment terminates for any reason other than a Covered Termination, the amounts paid under this Section will be repayable to the Company within 60 days following the last day of employment.</w:t>
      </w:r>
    </w:p>
    <w:p>
      <w:pPr>
        <w:spacing w:after="0" w:line="200" w:lineRule="exact"/>
        <w:rPr>
          <w:sz w:val="20"/>
          <w:szCs w:val="20"/>
          <w:color w:val="auto"/>
        </w:rPr>
      </w:pPr>
    </w:p>
    <w:p>
      <w:pPr>
        <w:spacing w:after="0" w:line="280"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ARTICLE IV</w:t>
      </w:r>
    </w:p>
    <w:p>
      <w:pPr>
        <w:jc w:val="center"/>
        <w:spacing w:after="0"/>
        <w:rPr>
          <w:sz w:val="20"/>
          <w:szCs w:val="20"/>
          <w:color w:val="auto"/>
        </w:rPr>
      </w:pPr>
      <w:r>
        <w:rPr>
          <w:rFonts w:ascii="Arial" w:cs="Arial" w:eastAsia="Arial" w:hAnsi="Arial"/>
          <w:sz w:val="16"/>
          <w:szCs w:val="16"/>
          <w:b w:val="1"/>
          <w:bCs w:val="1"/>
          <w:color w:val="auto"/>
        </w:rPr>
        <w:t>SEVERANCE BENEFITS AND RELEASE</w:t>
      </w:r>
    </w:p>
    <w:p>
      <w:pPr>
        <w:spacing w:after="0" w:line="133" w:lineRule="exact"/>
        <w:rPr>
          <w:sz w:val="20"/>
          <w:szCs w:val="20"/>
          <w:color w:val="auto"/>
        </w:rPr>
      </w:pPr>
    </w:p>
    <w:p>
      <w:pPr>
        <w:jc w:val="both"/>
        <w:ind w:firstLine="515"/>
        <w:spacing w:after="0" w:line="242" w:lineRule="auto"/>
        <w:rPr>
          <w:sz w:val="20"/>
          <w:szCs w:val="20"/>
          <w:color w:val="auto"/>
        </w:rPr>
      </w:pPr>
      <w:r>
        <w:rPr>
          <w:rFonts w:ascii="Arial" w:cs="Arial" w:eastAsia="Arial" w:hAnsi="Arial"/>
          <w:sz w:val="16"/>
          <w:szCs w:val="16"/>
          <w:b w:val="1"/>
          <w:bCs w:val="1"/>
          <w:color w:val="auto"/>
        </w:rPr>
        <w:t xml:space="preserve">4.1 Severance Benefits. </w:t>
      </w:r>
      <w:r>
        <w:rPr>
          <w:rFonts w:ascii="Arial" w:cs="Arial" w:eastAsia="Arial" w:hAnsi="Arial"/>
          <w:sz w:val="16"/>
          <w:szCs w:val="16"/>
          <w:color w:val="auto"/>
        </w:rPr>
        <w:t>If Executive’s employment terminates due to a Covered Termination after the date of execution of this Agreement,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receive:</w:t>
      </w:r>
    </w:p>
    <w:p>
      <w:pPr>
        <w:spacing w:after="0" w:line="114" w:lineRule="exact"/>
        <w:rPr>
          <w:sz w:val="20"/>
          <w:szCs w:val="20"/>
          <w:color w:val="auto"/>
        </w:rPr>
      </w:pPr>
    </w:p>
    <w:p>
      <w:pPr>
        <w:jc w:val="both"/>
        <w:ind w:firstLine="1037"/>
        <w:spacing w:after="0" w:line="221" w:lineRule="auto"/>
        <w:tabs>
          <w:tab w:leader="none" w:pos="1555" w:val="left"/>
        </w:tabs>
        <w:numPr>
          <w:ilvl w:val="0"/>
          <w:numId w:val="94"/>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 of Accrued Obligations Upon Termination of Employment</w:t>
      </w:r>
      <w:r>
        <w:rPr>
          <w:rFonts w:ascii="Arial" w:cs="Arial" w:eastAsia="Arial" w:hAnsi="Arial"/>
          <w:sz w:val="16"/>
          <w:szCs w:val="16"/>
          <w:color w:val="auto"/>
        </w:rPr>
        <w:t>. Upon a termination of Executive’s employment for any reason at any time following the Effective Date, the Company shall pay to Executive in a single lump-sum cash payment as soon as administratively practicable following the date of termination, the aggregate amount of Executive’s (A) earned but unpaid Base Salary, and (B) accrued but unpaid vacation pay. In addition, Executive shall be promptly paid for incurred but unreimbursed business expenses upon Executive’s submission of such expenses in accordance with the Company’s expense reimbursement policies. The amounts set forth in this Section 4.1(i) are collectively referred to as the “</w:t>
      </w:r>
      <w:r>
        <w:rPr>
          <w:rFonts w:ascii="Arial" w:cs="Arial" w:eastAsia="Arial" w:hAnsi="Arial"/>
          <w:sz w:val="16"/>
          <w:szCs w:val="16"/>
          <w:b w:val="1"/>
          <w:bCs w:val="1"/>
          <w:color w:val="auto"/>
        </w:rPr>
        <w:t>Accrued Obligations</w:t>
      </w:r>
      <w:r>
        <w:rPr>
          <w:rFonts w:ascii="Arial" w:cs="Arial" w:eastAsia="Arial" w:hAnsi="Arial"/>
          <w:sz w:val="16"/>
          <w:szCs w:val="16"/>
          <w:color w:val="auto"/>
        </w:rPr>
        <w:t>”.</w:t>
      </w:r>
    </w:p>
    <w:p>
      <w:pPr>
        <w:spacing w:after="0" w:line="119" w:lineRule="exact"/>
        <w:rPr>
          <w:rFonts w:ascii="Arial" w:cs="Arial" w:eastAsia="Arial" w:hAnsi="Arial"/>
          <w:sz w:val="16"/>
          <w:szCs w:val="16"/>
          <w:b w:val="1"/>
          <w:bCs w:val="1"/>
          <w:color w:val="auto"/>
        </w:rPr>
      </w:pPr>
    </w:p>
    <w:p>
      <w:pPr>
        <w:ind w:firstLine="1037"/>
        <w:spacing w:after="0" w:line="232" w:lineRule="auto"/>
        <w:tabs>
          <w:tab w:leader="none" w:pos="1556" w:val="left"/>
        </w:tabs>
        <w:numPr>
          <w:ilvl w:val="0"/>
          <w:numId w:val="94"/>
        </w:numPr>
        <w:rPr>
          <w:rFonts w:ascii="Arial" w:cs="Arial" w:eastAsia="Arial" w:hAnsi="Arial"/>
          <w:sz w:val="16"/>
          <w:szCs w:val="16"/>
          <w:b w:val="1"/>
          <w:bCs w:val="1"/>
          <w:color w:val="auto"/>
        </w:rPr>
      </w:pPr>
      <w:r>
        <w:rPr>
          <w:rFonts w:ascii="Arial" w:cs="Arial" w:eastAsia="Arial" w:hAnsi="Arial"/>
          <w:sz w:val="16"/>
          <w:szCs w:val="16"/>
          <w:u w:val="single" w:color="auto"/>
          <w:color w:val="auto"/>
        </w:rPr>
        <w:t>Severance Upon a Covered Termination</w:t>
      </w:r>
      <w:r>
        <w:rPr>
          <w:rFonts w:ascii="Arial" w:cs="Arial" w:eastAsia="Arial" w:hAnsi="Arial"/>
          <w:sz w:val="16"/>
          <w:szCs w:val="16"/>
          <w:color w:val="auto"/>
        </w:rPr>
        <w:t>. If Executive’s employment terminates due to a Covered Termination at any time after the Effective Date, then, in addition to the Accrued Obligations: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43" w:right="319" w:bottom="1440" w:gutter="0" w:footer="0" w:header="0"/>
        </w:sectPr>
      </w:pPr>
    </w:p>
    <w:bookmarkStart w:id="120" w:name="page121"/>
    <w:bookmarkEnd w:id="120"/>
    <w:p>
      <w:pPr>
        <w:ind w:firstLine="1552"/>
        <w:spacing w:after="0" w:line="239" w:lineRule="auto"/>
        <w:tabs>
          <w:tab w:leader="none" w:pos="2072"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Executive shall be paid target Annual Bonus for the fiscal year in which the termination occurs, prorated for the length of service provided during the calendar year through the termination date, payable in a single lump-sum payment within thirty (30) days following the date of termination;</w:t>
      </w:r>
    </w:p>
    <w:p>
      <w:pPr>
        <w:spacing w:after="0" w:line="116" w:lineRule="exact"/>
        <w:rPr>
          <w:rFonts w:ascii="Arial" w:cs="Arial" w:eastAsia="Arial" w:hAnsi="Arial"/>
          <w:sz w:val="16"/>
          <w:szCs w:val="16"/>
          <w:b w:val="1"/>
          <w:bCs w:val="1"/>
          <w:color w:val="auto"/>
        </w:rPr>
      </w:pPr>
    </w:p>
    <w:p>
      <w:pPr>
        <w:ind w:firstLine="1552"/>
        <w:spacing w:after="0" w:line="261" w:lineRule="auto"/>
        <w:tabs>
          <w:tab w:leader="none" w:pos="2080"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Executive shall be paid an aggregate amount equal to twelve (12) months of Executive’s Base Salary in effect on the date of termination, payable to Executive in a single lump-sum amount on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date of termination;</w:t>
      </w:r>
    </w:p>
    <w:p>
      <w:pPr>
        <w:spacing w:after="0" w:line="43" w:lineRule="exact"/>
        <w:rPr>
          <w:rFonts w:ascii="Arial" w:cs="Arial" w:eastAsia="Arial" w:hAnsi="Arial"/>
          <w:sz w:val="16"/>
          <w:szCs w:val="16"/>
          <w:b w:val="1"/>
          <w:bCs w:val="1"/>
          <w:color w:val="auto"/>
        </w:rPr>
      </w:pPr>
    </w:p>
    <w:p>
      <w:pPr>
        <w:jc w:val="both"/>
        <w:ind w:firstLine="1552"/>
        <w:spacing w:after="0" w:line="216" w:lineRule="auto"/>
        <w:tabs>
          <w:tab w:leader="none" w:pos="2082"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Executive and Executive’s covered dependents will be eligible to continue their health care benefit coverage as permitted by COBRA (Internal Revenue Code Section 4980B) at the Company’s expense for the lesser of (i) twelve (12) months following the Covered Termination, or (ii) until the Executive and/or Executive’s covered dependents are no longer eligible for COBRA (for clarification and as an example, in the event Executive is covered by another health plan, etc.). Thereafter, Executive and Executive’s covered dependents shall be entitled to maintain coverage for Executive and Executive’s eligible dependents at Executive’s own expense for the balance of the period that Executive is entitled to coverage under COBRA; and</w:t>
      </w:r>
    </w:p>
    <w:p>
      <w:pPr>
        <w:spacing w:after="0" w:line="127" w:lineRule="exact"/>
        <w:rPr>
          <w:rFonts w:ascii="Arial" w:cs="Arial" w:eastAsia="Arial" w:hAnsi="Arial"/>
          <w:sz w:val="16"/>
          <w:szCs w:val="16"/>
          <w:b w:val="1"/>
          <w:bCs w:val="1"/>
          <w:color w:val="auto"/>
        </w:rPr>
      </w:pPr>
    </w:p>
    <w:p>
      <w:pPr>
        <w:jc w:val="both"/>
        <w:ind w:firstLine="1552"/>
        <w:spacing w:after="0" w:line="200" w:lineRule="auto"/>
        <w:tabs>
          <w:tab w:leader="none" w:pos="2080"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the New Hire Option, along with any subsequent options or other exercisable equity interest in the Company held by Executive as of the date of termination shall remain outstanding and exercisable through the earlier of (i) the second (2</w:t>
      </w:r>
      <w:r>
        <w:rPr>
          <w:rFonts w:ascii="Arial" w:cs="Arial" w:eastAsia="Arial" w:hAnsi="Arial"/>
          <w:sz w:val="20"/>
          <w:szCs w:val="20"/>
          <w:color w:val="auto"/>
          <w:vertAlign w:val="superscript"/>
        </w:rPr>
        <w:t>nd</w:t>
      </w:r>
      <w:r>
        <w:rPr>
          <w:rFonts w:ascii="Arial" w:cs="Arial" w:eastAsia="Arial" w:hAnsi="Arial"/>
          <w:sz w:val="16"/>
          <w:szCs w:val="16"/>
          <w:color w:val="auto"/>
        </w:rPr>
        <w:t>) anniversary of the date of termination or (ii) the original expiration date of the option or other equity interest.</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4.2</w:t>
      </w:r>
    </w:p>
    <w:p>
      <w:pPr>
        <w:spacing w:after="0" w:line="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4.3 </w:t>
      </w:r>
      <w:r>
        <w:rPr>
          <w:rFonts w:ascii="Arial" w:cs="Arial" w:eastAsia="Arial" w:hAnsi="Arial"/>
          <w:sz w:val="15"/>
          <w:szCs w:val="15"/>
          <w:color w:val="auto"/>
        </w:rPr>
        <w:t>Notwithstanding the foregoing, if Executive’s employment terminates due to a Covered Termination at any time after the Effective Date, Executive will</w:t>
      </w:r>
      <w:r>
        <w:rPr>
          <w:rFonts w:ascii="Times New Roman" w:cs="Times New Roman" w:eastAsia="Times New Roman" w:hAnsi="Times New Roman"/>
          <w:sz w:val="17"/>
          <w:szCs w:val="17"/>
          <w:color w:val="auto"/>
        </w:rPr>
        <w:t xml:space="preserve"> </w:t>
      </w:r>
      <w:r>
        <w:rPr>
          <w:rFonts w:ascii="Arial" w:cs="Arial" w:eastAsia="Arial" w:hAnsi="Arial"/>
          <w:sz w:val="15"/>
          <w:szCs w:val="15"/>
          <w:color w:val="auto"/>
        </w:rPr>
        <w:t>receive the greater of (i) the severance benefits above, or (ii) the severance benefits provided for in the Amended and Restated Severance Plan attached hereto</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u w:val="single" w:color="auto"/>
          <w:color w:val="auto"/>
        </w:rPr>
        <w:t>Exhibit C</w:t>
      </w:r>
      <w:r>
        <w:rPr>
          <w:rFonts w:ascii="Arial" w:cs="Arial" w:eastAsia="Arial" w:hAnsi="Arial"/>
          <w:sz w:val="16"/>
          <w:szCs w:val="16"/>
          <w:color w:val="auto"/>
        </w:rPr>
        <w:t>, which may be amended from time-to-time by the Company at the Company’s sole discretion, that is in effect at the time of termination. For the avoidance of doubt, all amounts payable under this Agreement shall be subject to applicable federal, state, local or foreign tax withholding requirements.</w:t>
      </w:r>
    </w:p>
    <w:p>
      <w:pPr>
        <w:spacing w:after="0" w:line="11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5"/>
          <w:szCs w:val="15"/>
          <w:b w:val="1"/>
          <w:bCs w:val="1"/>
          <w:color w:val="auto"/>
        </w:rPr>
        <w:t xml:space="preserve">Parachute Payments. </w:t>
      </w:r>
      <w:r>
        <w:rPr>
          <w:rFonts w:ascii="Arial" w:cs="Arial" w:eastAsia="Arial" w:hAnsi="Arial"/>
          <w:sz w:val="15"/>
          <w:szCs w:val="15"/>
          <w:color w:val="auto"/>
        </w:rPr>
        <w:t>If any payment or benefit Executive would receive in connection with a Change in Control from the Company or otherwise</w:t>
      </w:r>
    </w:p>
    <w:p>
      <w:pPr>
        <w:jc w:val="both"/>
        <w:spacing w:after="0" w:line="21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Payment</w:t>
      </w:r>
      <w:r>
        <w:rPr>
          <w:rFonts w:ascii="Arial" w:cs="Arial" w:eastAsia="Arial" w:hAnsi="Arial"/>
          <w:sz w:val="15"/>
          <w:szCs w:val="15"/>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5"/>
          <w:szCs w:val="15"/>
          <w:b w:val="1"/>
          <w:bCs w:val="1"/>
          <w:color w:val="auto"/>
        </w:rPr>
        <w:t>Excise Tax</w:t>
      </w:r>
      <w:r>
        <w:rPr>
          <w:rFonts w:ascii="Arial" w:cs="Arial" w:eastAsia="Arial" w:hAnsi="Arial"/>
          <w:sz w:val="15"/>
          <w:szCs w:val="15"/>
          <w:color w:val="auto"/>
        </w:rPr>
        <w:t>”), then such Payment shall be reduced to the Reduced Amount. The “Reduced Amount” shall be either (x)</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5"/>
          <w:szCs w:val="15"/>
          <w:color w:val="auto"/>
        </w:rPr>
        <w:t>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w:t>
      </w:r>
    </w:p>
    <w:p>
      <w:pPr>
        <w:spacing w:after="0" w:line="225" w:lineRule="auto"/>
        <w:rPr>
          <w:sz w:val="20"/>
          <w:szCs w:val="20"/>
          <w:color w:val="auto"/>
        </w:rPr>
      </w:pPr>
      <w:r>
        <w:rPr>
          <w:rFonts w:ascii="Arial" w:cs="Arial" w:eastAsia="Arial" w:hAnsi="Arial"/>
          <w:sz w:val="15"/>
          <w:szCs w:val="15"/>
          <w:color w:val="auto"/>
        </w:rPr>
        <w:t>computed at the highest applicable marginal rate), results in Executive’s receipt, on an after-tax basis, of the greater amount of the Payment notwithstanding that</w:t>
      </w:r>
    </w:p>
    <w:p>
      <w:pPr>
        <w:jc w:val="both"/>
        <w:spacing w:after="0" w:line="216" w:lineRule="auto"/>
        <w:rPr>
          <w:sz w:val="20"/>
          <w:szCs w:val="20"/>
          <w:color w:val="auto"/>
        </w:rPr>
      </w:pPr>
      <w:r>
        <w:rPr>
          <w:rFonts w:ascii="Arial" w:cs="Arial" w:eastAsia="Arial" w:hAnsi="Arial"/>
          <w:sz w:val="15"/>
          <w:szCs w:val="15"/>
          <w:color w:val="auto"/>
        </w:rPr>
        <w:t>all or some portion of the Payment may be subject to the Excise Tax. If a reduction in payments or benefits constituting “parachute payments” is necessary so that the Payment equals the Reduced Amount, reduction shall occur in the following order unless Executive elects in writing a different order (provided, however, that</w:t>
      </w:r>
    </w:p>
    <w:p>
      <w:pPr>
        <w:spacing w:after="0" w:line="211" w:lineRule="auto"/>
        <w:rPr>
          <w:sz w:val="20"/>
          <w:szCs w:val="20"/>
          <w:color w:val="auto"/>
        </w:rPr>
      </w:pPr>
      <w:r>
        <w:rPr>
          <w:rFonts w:ascii="Arial" w:cs="Arial" w:eastAsia="Arial" w:hAnsi="Arial"/>
          <w:sz w:val="16"/>
          <w:szCs w:val="16"/>
          <w:color w:val="auto"/>
        </w:rPr>
        <w:t>such election shall be subject to Company approval): reduction of cash payments; cancellation of accelerated vesting of stock awards; reduction of employee</w:t>
      </w:r>
    </w:p>
    <w:p>
      <w:pPr>
        <w:jc w:val="both"/>
        <w:spacing w:after="0" w:line="223" w:lineRule="auto"/>
        <w:rPr>
          <w:sz w:val="20"/>
          <w:szCs w:val="20"/>
          <w:color w:val="auto"/>
        </w:rPr>
      </w:pPr>
      <w:r>
        <w:rPr>
          <w:rFonts w:ascii="Arial" w:cs="Arial" w:eastAsia="Arial" w:hAnsi="Arial"/>
          <w:sz w:val="16"/>
          <w:szCs w:val="16"/>
          <w:color w:val="auto"/>
        </w:rPr>
        <w:t>benefits. In the event that acceleration of vesting of stock award compensation is to be reduced, such acceleration of vesting shall be cancelled in the reverse order of the date of grant of Executive’s stock awards unless Executive elects in writing a different order for cancellation.</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4.5 </w:t>
      </w:r>
      <w:r>
        <w:rPr>
          <w:rFonts w:ascii="Arial" w:cs="Arial" w:eastAsia="Arial" w:hAnsi="Arial"/>
          <w:sz w:val="15"/>
          <w:szCs w:val="15"/>
          <w:color w:val="auto"/>
        </w:rPr>
        <w:t>The Company for general audit purposes shall engage a nationally recognized public accounting firm (the “</w:t>
      </w:r>
      <w:r>
        <w:rPr>
          <w:rFonts w:ascii="Arial" w:cs="Arial" w:eastAsia="Arial" w:hAnsi="Arial"/>
          <w:sz w:val="15"/>
          <w:szCs w:val="15"/>
          <w:b w:val="1"/>
          <w:bCs w:val="1"/>
          <w:color w:val="auto"/>
        </w:rPr>
        <w:t>Accounting Firm</w:t>
      </w:r>
      <w:r>
        <w:rPr>
          <w:rFonts w:ascii="Arial" w:cs="Arial" w:eastAsia="Arial" w:hAnsi="Arial"/>
          <w:sz w:val="15"/>
          <w:szCs w:val="15"/>
          <w:color w:val="auto"/>
        </w:rPr>
        <w:t>”) to perform the foregoing</w:t>
      </w:r>
      <w:r>
        <w:rPr>
          <w:rFonts w:ascii="Times New Roman" w:cs="Times New Roman" w:eastAsia="Times New Roman" w:hAnsi="Times New Roman"/>
          <w:sz w:val="17"/>
          <w:szCs w:val="17"/>
          <w:color w:val="auto"/>
        </w:rPr>
        <w:t xml:space="preserve"> </w:t>
      </w:r>
      <w:r>
        <w:rPr>
          <w:rFonts w:ascii="Arial" w:cs="Arial" w:eastAsia="Arial" w:hAnsi="Arial"/>
          <w:sz w:val="15"/>
          <w:szCs w:val="15"/>
          <w:color w:val="auto"/>
        </w:rPr>
        <w:t>calculations. The Company shall bear all expenses with respect to the determinations by such accounting firm required to be made hereunder. The Accounting Firm engaged to make the determinations hereunder shall provide its calculations, together with detailed supporting documentation, to the Company and Executive within fifteen (15)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43" w:right="319" w:bottom="1440" w:gutter="0" w:footer="0" w:header="0"/>
        </w:sectPr>
      </w:pPr>
    </w:p>
    <w:bookmarkStart w:id="121" w:name="page122"/>
    <w:bookmarkEnd w:id="121"/>
    <w:p>
      <w:pPr>
        <w:jc w:val="both"/>
        <w:spacing w:after="0" w:line="252" w:lineRule="auto"/>
        <w:rPr>
          <w:sz w:val="20"/>
          <w:szCs w:val="20"/>
          <w:color w:val="auto"/>
        </w:rPr>
      </w:pPr>
      <w:r>
        <w:rPr>
          <w:rFonts w:ascii="Arial" w:cs="Arial" w:eastAsia="Arial" w:hAnsi="Arial"/>
          <w:sz w:val="16"/>
          <w:szCs w:val="16"/>
          <w:color w:val="auto"/>
        </w:rPr>
        <w:t>days after the date on which Executive’s right to a Payment is triggered (if requested at that time by the Company or Executive) or such other time as requested by the Company or Executive. If the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3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6"/>
          <w:szCs w:val="16"/>
          <w:b w:val="1"/>
          <w:bCs w:val="1"/>
          <w:color w:val="auto"/>
        </w:rPr>
        <w:t xml:space="preserve">Release. </w:t>
      </w:r>
      <w:r>
        <w:rPr>
          <w:rFonts w:ascii="Arial" w:cs="Arial" w:eastAsia="Arial" w:hAnsi="Arial"/>
          <w:sz w:val="16"/>
          <w:szCs w:val="16"/>
          <w:color w:val="auto"/>
        </w:rPr>
        <w:t>Notwithstanding the foregoing, Executive’s right to receive the amounts provided for in Sections 4.1(ii) and 4.2, and the Change of</w:t>
      </w:r>
    </w:p>
    <w:p>
      <w:pPr>
        <w:jc w:val="both"/>
        <w:spacing w:after="0" w:line="203" w:lineRule="auto"/>
        <w:rPr>
          <w:sz w:val="20"/>
          <w:szCs w:val="20"/>
          <w:color w:val="auto"/>
        </w:rPr>
      </w:pPr>
      <w:r>
        <w:rPr>
          <w:rFonts w:ascii="Arial" w:cs="Arial" w:eastAsia="Arial" w:hAnsi="Arial"/>
          <w:sz w:val="16"/>
          <w:szCs w:val="16"/>
          <w:color w:val="auto"/>
        </w:rPr>
        <w:t xml:space="preserve">Control acceleration in any stock option agreement shall be subject to and conditioned upon Executive’s execution and non-revocation of a release of claims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Release</w:t>
      </w:r>
      <w:r>
        <w:rPr>
          <w:rFonts w:ascii="Arial" w:cs="Arial" w:eastAsia="Arial" w:hAnsi="Arial"/>
          <w:sz w:val="16"/>
          <w:szCs w:val="16"/>
          <w:color w:val="auto"/>
        </w:rPr>
        <w:t>”) (as such form may be modified to take into account changes in the law) within fifty (50) days</w:t>
      </w:r>
    </w:p>
    <w:p>
      <w:pPr>
        <w:spacing w:after="0" w:line="210" w:lineRule="auto"/>
        <w:rPr>
          <w:sz w:val="20"/>
          <w:szCs w:val="20"/>
          <w:color w:val="auto"/>
        </w:rPr>
      </w:pPr>
      <w:r>
        <w:rPr>
          <w:rFonts w:ascii="Arial" w:cs="Arial" w:eastAsia="Arial" w:hAnsi="Arial"/>
          <w:sz w:val="16"/>
          <w:szCs w:val="16"/>
          <w:color w:val="auto"/>
        </w:rPr>
        <w:t>following the termination date. Such Release shall specifically relate to all of Executive’s rights and claims in existence at the time of such execution and shall</w:t>
      </w:r>
    </w:p>
    <w:p>
      <w:pPr>
        <w:jc w:val="both"/>
        <w:spacing w:after="0" w:line="203" w:lineRule="auto"/>
        <w:rPr>
          <w:sz w:val="20"/>
          <w:szCs w:val="20"/>
          <w:color w:val="auto"/>
        </w:rPr>
      </w:pPr>
      <w:r>
        <w:rPr>
          <w:rFonts w:ascii="Arial" w:cs="Arial" w:eastAsia="Arial" w:hAnsi="Arial"/>
          <w:sz w:val="16"/>
          <w:szCs w:val="16"/>
          <w:color w:val="auto"/>
        </w:rPr>
        <w:t>confirm Executive’s obligations under the Proprietary Information and Inventions Agreement (as defined below). It is understood that Executive has a certain period to consider whether to execute such Release, as set forth in the Release, and Executive may revoke such Release within seven (7) business days after</w:t>
      </w:r>
    </w:p>
    <w:p>
      <w:pPr>
        <w:spacing w:after="0" w:line="224" w:lineRule="auto"/>
        <w:rPr>
          <w:sz w:val="20"/>
          <w:szCs w:val="20"/>
          <w:color w:val="auto"/>
        </w:rPr>
      </w:pPr>
      <w:r>
        <w:rPr>
          <w:rFonts w:ascii="Arial" w:cs="Arial" w:eastAsia="Arial" w:hAnsi="Arial"/>
          <w:sz w:val="15"/>
          <w:szCs w:val="15"/>
          <w:color w:val="auto"/>
        </w:rPr>
        <w:t>execution. In the event Executive does not execute such Release within the applicable period, or if Executive revokes such Release within the subsequent seven</w:t>
      </w:r>
    </w:p>
    <w:p>
      <w:pPr>
        <w:ind w:firstLine="6"/>
        <w:spacing w:after="0" w:line="223" w:lineRule="auto"/>
        <w:tabs>
          <w:tab w:leader="none" w:pos="249" w:val="left"/>
        </w:tabs>
        <w:numPr>
          <w:ilvl w:val="0"/>
          <w:numId w:val="96"/>
        </w:numPr>
        <w:rPr>
          <w:rFonts w:ascii="Arial" w:cs="Arial" w:eastAsia="Arial" w:hAnsi="Arial"/>
          <w:sz w:val="16"/>
          <w:szCs w:val="16"/>
          <w:color w:val="auto"/>
        </w:rPr>
      </w:pPr>
      <w:r>
        <w:rPr>
          <w:rFonts w:ascii="Arial" w:cs="Arial" w:eastAsia="Arial" w:hAnsi="Arial"/>
          <w:sz w:val="16"/>
          <w:szCs w:val="16"/>
          <w:color w:val="auto"/>
        </w:rPr>
        <w:t>business day period, none of the aforesaid benefits set forth in Sections 4.1(ii), 4.2, and the Change of Control acceleration in any stock option agreement shall be payable to Executive under this Agreement and this Agreement shall be null and void.</w:t>
      </w:r>
    </w:p>
    <w:p>
      <w:pPr>
        <w:spacing w:after="0" w:line="11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4.7</w:t>
      </w:r>
      <w:r>
        <w:rPr>
          <w:sz w:val="20"/>
          <w:szCs w:val="20"/>
          <w:color w:val="auto"/>
        </w:rPr>
        <w:tab/>
      </w: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Notwithstanding any provision to the contrary in this Agreement, if Executive is deemed by the Company at the time of the</w:t>
      </w:r>
    </w:p>
    <w:p>
      <w:pPr>
        <w:jc w:val="both"/>
        <w:spacing w:after="0" w:line="216" w:lineRule="auto"/>
        <w:rPr>
          <w:sz w:val="20"/>
          <w:szCs w:val="20"/>
          <w:color w:val="auto"/>
        </w:rPr>
      </w:pPr>
      <w:r>
        <w:rPr>
          <w:rFonts w:ascii="Arial" w:cs="Arial" w:eastAsia="Arial" w:hAnsi="Arial"/>
          <w:sz w:val="15"/>
          <w:szCs w:val="15"/>
          <w:color w:val="auto"/>
        </w:rPr>
        <w:t>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w:t>
      </w:r>
    </w:p>
    <w:p>
      <w:pPr>
        <w:spacing w:after="0" w:line="211" w:lineRule="auto"/>
        <w:rPr>
          <w:sz w:val="20"/>
          <w:szCs w:val="20"/>
          <w:color w:val="auto"/>
        </w:rPr>
      </w:pPr>
      <w:r>
        <w:rPr>
          <w:rFonts w:ascii="Arial" w:cs="Arial" w:eastAsia="Arial" w:hAnsi="Arial"/>
          <w:sz w:val="16"/>
          <w:szCs w:val="16"/>
          <w:color w:val="auto"/>
        </w:rPr>
        <w:t>such portion of Executive’s benefits shall not be provided to Executive prior to the earlier of (a) the expiration of the six-month period measured from the date of</w:t>
      </w:r>
    </w:p>
    <w:p>
      <w:pPr>
        <w:spacing w:after="0" w:line="203" w:lineRule="auto"/>
        <w:rPr>
          <w:sz w:val="20"/>
          <w:szCs w:val="20"/>
          <w:color w:val="auto"/>
        </w:rPr>
      </w:pPr>
      <w:r>
        <w:rPr>
          <w:rFonts w:ascii="Arial" w:cs="Arial" w:eastAsia="Arial" w:hAnsi="Arial"/>
          <w:sz w:val="16"/>
          <w:szCs w:val="16"/>
          <w:color w:val="auto"/>
        </w:rPr>
        <w:t>Executive’s Separation from Service or (b) the date of Executive’s death. Upon the first business day following the expiration of the applicable Code Section 409A(a)(2)(B)(i) period, all payments deferred pursuant to this Section 4.4 shall be paid in a lump sum to Executive (or Executive’s estate or beneficiaries), and</w:t>
      </w:r>
    </w:p>
    <w:p>
      <w:pPr>
        <w:spacing w:after="0" w:line="203" w:lineRule="auto"/>
        <w:rPr>
          <w:sz w:val="20"/>
          <w:szCs w:val="20"/>
          <w:color w:val="auto"/>
        </w:rPr>
      </w:pPr>
      <w:r>
        <w:rPr>
          <w:rFonts w:ascii="Arial" w:cs="Arial" w:eastAsia="Arial" w:hAnsi="Arial"/>
          <w:sz w:val="16"/>
          <w:szCs w:val="16"/>
          <w:color w:val="auto"/>
        </w:rPr>
        <w:t>any remaining payments due under the Agreement shall be paid as otherwise provided herein. For purposes of Section 409A of the Code, Executive’s right to receive the payments of compensation pursuant to the Agreement shall be treated as a right to receive a series of separate payments and accordingly, each</w:t>
      </w:r>
    </w:p>
    <w:p>
      <w:pPr>
        <w:spacing w:after="0"/>
        <w:rPr>
          <w:sz w:val="20"/>
          <w:szCs w:val="20"/>
          <w:color w:val="auto"/>
        </w:rPr>
      </w:pPr>
      <w:r>
        <w:rPr>
          <w:rFonts w:ascii="Arial" w:cs="Arial" w:eastAsia="Arial" w:hAnsi="Arial"/>
          <w:sz w:val="16"/>
          <w:szCs w:val="16"/>
          <w:color w:val="auto"/>
        </w:rPr>
        <w:t>payment shall at all times be considered a separate and distinct payment.</w:t>
      </w:r>
    </w:p>
    <w:p>
      <w:pPr>
        <w:spacing w:after="0" w:line="133" w:lineRule="exact"/>
        <w:rPr>
          <w:sz w:val="20"/>
          <w:szCs w:val="20"/>
          <w:color w:val="auto"/>
        </w:rPr>
      </w:pPr>
    </w:p>
    <w:p>
      <w:pPr>
        <w:ind w:firstLine="515"/>
        <w:spacing w:after="0" w:line="213" w:lineRule="auto"/>
        <w:rPr>
          <w:sz w:val="20"/>
          <w:szCs w:val="20"/>
          <w:color w:val="auto"/>
        </w:rPr>
      </w:pPr>
      <w:r>
        <w:rPr>
          <w:rFonts w:ascii="Arial" w:cs="Arial" w:eastAsia="Arial" w:hAnsi="Arial"/>
          <w:sz w:val="16"/>
          <w:szCs w:val="16"/>
          <w:b w:val="1"/>
          <w:bCs w:val="1"/>
          <w:color w:val="auto"/>
        </w:rPr>
        <w:t xml:space="preserve">4.8 Mitigation. </w:t>
      </w:r>
      <w:r>
        <w:rPr>
          <w:rFonts w:ascii="Arial" w:cs="Arial" w:eastAsia="Arial" w:hAnsi="Arial"/>
          <w:sz w:val="16"/>
          <w:szCs w:val="16"/>
          <w:color w:val="auto"/>
        </w:rPr>
        <w:t>Executive shall not be required to mitigate damages or the amount of any payment provided under this Agreement by seeking other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otherwise, nor shall the amount of any payment provided for under this Agreement be reduced by any compensation earned by Executive as 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result of employment by another employer or by any retirement benefits received by Executive after the date of the Covered Termination, or otherwise.</w:t>
      </w:r>
    </w:p>
    <w:p>
      <w:pPr>
        <w:spacing w:after="0" w:line="125"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ARTICLE V</w:t>
      </w:r>
    </w:p>
    <w:p>
      <w:pPr>
        <w:jc w:val="center"/>
        <w:spacing w:after="0"/>
        <w:rPr>
          <w:sz w:val="20"/>
          <w:szCs w:val="20"/>
          <w:color w:val="auto"/>
        </w:rPr>
      </w:pPr>
      <w:r>
        <w:rPr>
          <w:rFonts w:ascii="Arial" w:cs="Arial" w:eastAsia="Arial" w:hAnsi="Arial"/>
          <w:sz w:val="16"/>
          <w:szCs w:val="16"/>
          <w:b w:val="1"/>
          <w:bCs w:val="1"/>
          <w:color w:val="auto"/>
        </w:rPr>
        <w:t>PROPRIETARY INFORMATION OBLIGATIONS</w:t>
      </w:r>
    </w:p>
    <w:p>
      <w:pPr>
        <w:spacing w:after="0" w:line="122" w:lineRule="exact"/>
        <w:rPr>
          <w:sz w:val="20"/>
          <w:szCs w:val="20"/>
          <w:color w:val="auto"/>
        </w:rPr>
      </w:pPr>
    </w:p>
    <w:p>
      <w:pPr>
        <w:ind w:firstLine="515"/>
        <w:spacing w:after="0" w:line="252" w:lineRule="auto"/>
        <w:rPr>
          <w:sz w:val="20"/>
          <w:szCs w:val="20"/>
          <w:color w:val="auto"/>
        </w:rPr>
      </w:pPr>
      <w:r>
        <w:rPr>
          <w:rFonts w:ascii="Arial" w:cs="Arial" w:eastAsia="Arial" w:hAnsi="Arial"/>
          <w:sz w:val="16"/>
          <w:szCs w:val="16"/>
          <w:b w:val="1"/>
          <w:bCs w:val="1"/>
          <w:color w:val="auto"/>
        </w:rPr>
        <w:t xml:space="preserve">5.1 Agreement. </w:t>
      </w:r>
      <w:r>
        <w:rPr>
          <w:rFonts w:ascii="Arial" w:cs="Arial" w:eastAsia="Arial" w:hAnsi="Arial"/>
          <w:sz w:val="16"/>
          <w:szCs w:val="16"/>
          <w:color w:val="auto"/>
        </w:rPr>
        <w:t>Executive agrees to abide by the Proprietary Information and Inventions Agreement (the “</w:t>
      </w:r>
      <w:r>
        <w:rPr>
          <w:rFonts w:ascii="Arial" w:cs="Arial" w:eastAsia="Arial" w:hAnsi="Arial"/>
          <w:sz w:val="16"/>
          <w:szCs w:val="16"/>
          <w:b w:val="1"/>
          <w:bCs w:val="1"/>
          <w:color w:val="auto"/>
        </w:rPr>
        <w:t>Proprietary Information and Inventions Agreement</w:t>
      </w:r>
      <w:r>
        <w:rPr>
          <w:rFonts w:ascii="Arial" w:cs="Arial" w:eastAsia="Arial" w:hAnsi="Arial"/>
          <w:sz w:val="16"/>
          <w:szCs w:val="16"/>
          <w:color w:val="auto"/>
        </w:rPr>
        <w:t>”)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08" w:lineRule="exact"/>
        <w:rPr>
          <w:sz w:val="20"/>
          <w:szCs w:val="20"/>
          <w:color w:val="auto"/>
        </w:rPr>
      </w:pPr>
    </w:p>
    <w:p>
      <w:pPr>
        <w:ind w:firstLine="515"/>
        <w:spacing w:after="0" w:line="213" w:lineRule="auto"/>
        <w:rPr>
          <w:sz w:val="20"/>
          <w:szCs w:val="20"/>
          <w:color w:val="auto"/>
        </w:rPr>
      </w:pPr>
      <w:r>
        <w:rPr>
          <w:rFonts w:ascii="Arial" w:cs="Arial" w:eastAsia="Arial" w:hAnsi="Arial"/>
          <w:sz w:val="16"/>
          <w:szCs w:val="16"/>
          <w:b w:val="1"/>
          <w:bCs w:val="1"/>
          <w:color w:val="auto"/>
        </w:rPr>
        <w:t xml:space="preserve">5.2 Remedies. </w:t>
      </w:r>
      <w:r>
        <w:rPr>
          <w:rFonts w:ascii="Arial" w:cs="Arial" w:eastAsia="Arial" w:hAnsi="Arial"/>
          <w:sz w:val="16"/>
          <w:szCs w:val="16"/>
          <w:color w:val="auto"/>
        </w:rPr>
        <w:t>Executive’s duties under the Proprietary Information and Inventions Agreement shall survive termination of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and the termination of this Agreement. Executive acknowledges that a remedy at law for any breach or threatened breach by Executive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the Proprietary Information and Inventions Agreement would be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54" w:right="31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inadequate, and Executive therefore agrees that the Company shall be entitled to injunctive relief in case of any such breach or threatened breach.</w:t>
      </w:r>
    </w:p>
    <w:p>
      <w:pPr>
        <w:spacing w:after="0" w:line="139"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ARTICLE VI</w:t>
      </w:r>
    </w:p>
    <w:p>
      <w:pPr>
        <w:jc w:val="center"/>
        <w:spacing w:after="0"/>
        <w:rPr>
          <w:sz w:val="20"/>
          <w:szCs w:val="20"/>
          <w:color w:val="auto"/>
        </w:rPr>
      </w:pPr>
      <w:r>
        <w:rPr>
          <w:rFonts w:ascii="Arial" w:cs="Arial" w:eastAsia="Arial" w:hAnsi="Arial"/>
          <w:sz w:val="16"/>
          <w:szCs w:val="16"/>
          <w:b w:val="1"/>
          <w:bCs w:val="1"/>
          <w:color w:val="auto"/>
        </w:rPr>
        <w:t>OUTSIDE ACTIVITIES</w:t>
      </w:r>
    </w:p>
    <w:p>
      <w:pPr>
        <w:spacing w:after="0" w:line="122" w:lineRule="exact"/>
        <w:rPr>
          <w:sz w:val="20"/>
          <w:szCs w:val="20"/>
          <w:color w:val="auto"/>
        </w:rPr>
      </w:pPr>
    </w:p>
    <w:p>
      <w:pPr>
        <w:jc w:val="both"/>
        <w:ind w:firstLine="515"/>
        <w:spacing w:after="0" w:line="220" w:lineRule="auto"/>
        <w:rPr>
          <w:sz w:val="20"/>
          <w:szCs w:val="20"/>
          <w:color w:val="auto"/>
        </w:rPr>
      </w:pPr>
      <w:r>
        <w:rPr>
          <w:rFonts w:ascii="Arial" w:cs="Arial" w:eastAsia="Arial" w:hAnsi="Arial"/>
          <w:sz w:val="16"/>
          <w:szCs w:val="16"/>
          <w:b w:val="1"/>
          <w:bCs w:val="1"/>
          <w:color w:val="auto"/>
        </w:rPr>
        <w:t xml:space="preserve">6.1 No Other Employment. </w:t>
      </w:r>
      <w:r>
        <w:rPr>
          <w:rFonts w:ascii="Arial" w:cs="Arial" w:eastAsia="Arial" w:hAnsi="Arial"/>
          <w:sz w:val="16"/>
          <w:szCs w:val="16"/>
          <w:color w:val="auto"/>
        </w:rPr>
        <w:t>Except with the prior written consent of the Board, Executive shall not during the term of Executive’s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undertake or engage in any other employment, occupation, or business enterprise. Notwithstanding the foregoing, during the term of Executive’s</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5"/>
          <w:szCs w:val="15"/>
          <w:color w:val="auto"/>
        </w:rPr>
        <w:t>employment with the Company, Executive may (a) undertake or engage in any other employment, occupation or business enterprise in which Executive is a passive investor, and/or (b) engage in civic and not-for-profit activities, in each case, so long as such activities do not materially interfere with the performance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Executive’s duties hereunder.</w:t>
      </w:r>
    </w:p>
    <w:p>
      <w:pPr>
        <w:spacing w:after="0" w:line="133" w:lineRule="exact"/>
        <w:rPr>
          <w:sz w:val="20"/>
          <w:szCs w:val="20"/>
          <w:color w:val="auto"/>
        </w:rPr>
      </w:pPr>
    </w:p>
    <w:p>
      <w:pPr>
        <w:jc w:val="both"/>
        <w:ind w:firstLine="515"/>
        <w:spacing w:after="0" w:line="227" w:lineRule="auto"/>
        <w:rPr>
          <w:sz w:val="20"/>
          <w:szCs w:val="20"/>
          <w:color w:val="auto"/>
        </w:rPr>
      </w:pPr>
      <w:r>
        <w:rPr>
          <w:rFonts w:ascii="Arial" w:cs="Arial" w:eastAsia="Arial" w:hAnsi="Arial"/>
          <w:sz w:val="15"/>
          <w:szCs w:val="15"/>
          <w:b w:val="1"/>
          <w:bCs w:val="1"/>
          <w:color w:val="auto"/>
        </w:rPr>
        <w:t xml:space="preserve">6.2 No Conflicting Business Interests. </w:t>
      </w:r>
      <w:r>
        <w:rPr>
          <w:rFonts w:ascii="Arial" w:cs="Arial" w:eastAsia="Arial" w:hAnsi="Arial"/>
          <w:sz w:val="15"/>
          <w:szCs w:val="15"/>
          <w:color w:val="auto"/>
        </w:rPr>
        <w:t>During the term of Executive’s employment by the Company, except on behalf of the Company,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shall not directly or indirectly, whether as an officer, director, stockholder, partner, proprietor, associate, representative, consultant, or in any capacity whatsoever</w:t>
      </w:r>
    </w:p>
    <w:p>
      <w:pPr>
        <w:spacing w:after="0" w:line="225" w:lineRule="auto"/>
        <w:rPr>
          <w:sz w:val="20"/>
          <w:szCs w:val="20"/>
          <w:color w:val="auto"/>
        </w:rPr>
      </w:pPr>
      <w:r>
        <w:rPr>
          <w:rFonts w:ascii="Arial" w:cs="Arial" w:eastAsia="Arial" w:hAnsi="Arial"/>
          <w:sz w:val="15"/>
          <w:szCs w:val="15"/>
          <w:color w:val="auto"/>
        </w:rPr>
        <w:t>engage in, become financially interested in, be employed by, or have any business connection with any other person, corporation, firm, partnership, or other entity</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5"/>
          <w:szCs w:val="15"/>
          <w:color w:val="auto"/>
        </w:rPr>
        <w:t xml:space="preserve">whatsoever which were known by Executive to compete directly with the Company, throughout the world, in any line of business engaged in (or planned to be engaged in) by the Company; </w:t>
      </w:r>
      <w:r>
        <w:rPr>
          <w:rFonts w:ascii="Arial" w:cs="Arial" w:eastAsia="Arial" w:hAnsi="Arial"/>
          <w:sz w:val="15"/>
          <w:szCs w:val="15"/>
          <w:i w:val="1"/>
          <w:iCs w:val="1"/>
          <w:color w:val="auto"/>
        </w:rPr>
        <w:t>provided, however</w:t>
      </w:r>
      <w:r>
        <w:rPr>
          <w:rFonts w:ascii="Arial" w:cs="Arial" w:eastAsia="Arial" w:hAnsi="Arial"/>
          <w:sz w:val="15"/>
          <w:szCs w:val="15"/>
          <w:color w:val="auto"/>
        </w:rPr>
        <w:t>, that anything above to the contrary notwithstanding, Executive may own, as a passive investor, securities of any</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competitor corporation, so long as Executive’s direct holdings in any one such corporation shall not in the aggregate constitute more than 1% of the voting stock of such corporation.</w:t>
      </w:r>
    </w:p>
    <w:p>
      <w:pPr>
        <w:spacing w:after="0" w:line="107"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ARTICLE VII</w:t>
      </w:r>
    </w:p>
    <w:p>
      <w:pPr>
        <w:jc w:val="center"/>
        <w:spacing w:after="0"/>
        <w:rPr>
          <w:sz w:val="20"/>
          <w:szCs w:val="20"/>
          <w:color w:val="auto"/>
        </w:rPr>
      </w:pPr>
      <w:r>
        <w:rPr>
          <w:rFonts w:ascii="Arial" w:cs="Arial" w:eastAsia="Arial" w:hAnsi="Arial"/>
          <w:sz w:val="16"/>
          <w:szCs w:val="16"/>
          <w:b w:val="1"/>
          <w:bCs w:val="1"/>
          <w:color w:val="auto"/>
        </w:rPr>
        <w:t>NONINTERFERENCE</w:t>
      </w:r>
    </w:p>
    <w:p>
      <w:pPr>
        <w:spacing w:after="0" w:line="146" w:lineRule="exact"/>
        <w:rPr>
          <w:sz w:val="20"/>
          <w:szCs w:val="20"/>
          <w:color w:val="auto"/>
        </w:rPr>
      </w:pPr>
    </w:p>
    <w:p>
      <w:pPr>
        <w:jc w:val="both"/>
        <w:ind w:firstLine="515"/>
        <w:spacing w:after="0" w:line="252" w:lineRule="auto"/>
        <w:rPr>
          <w:sz w:val="20"/>
          <w:szCs w:val="20"/>
          <w:color w:val="auto"/>
        </w:rPr>
      </w:pPr>
      <w:r>
        <w:rPr>
          <w:rFonts w:ascii="Arial" w:cs="Arial" w:eastAsia="Arial" w:hAnsi="Arial"/>
          <w:sz w:val="16"/>
          <w:szCs w:val="16"/>
          <w:color w:val="auto"/>
        </w:rPr>
        <w:t>While employed by the Company, and for one (1) year immediately following the date on which Executive terminates employment or otherwise ceases providing services to the Company, Executive agrees not to interfere with the business of the Company by soliciting or attempting to solicit any employee of the Company to terminate such employee’s employment in order to become an employee, consultant, or independent contractor to or for any pharmaceutical or biotechnology competitor of the Company. Executive’s duties under this Article VII shall survive termination of Executive’s employment with the Company and the termination of this Agreement.</w:t>
      </w:r>
    </w:p>
    <w:p>
      <w:pPr>
        <w:spacing w:after="0" w:line="131"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ARTICLE VIII</w:t>
      </w:r>
    </w:p>
    <w:p>
      <w:pPr>
        <w:ind w:left="5140"/>
        <w:spacing w:after="0"/>
        <w:rPr>
          <w:sz w:val="20"/>
          <w:szCs w:val="20"/>
          <w:color w:val="auto"/>
        </w:rPr>
      </w:pPr>
      <w:r>
        <w:rPr>
          <w:rFonts w:ascii="Arial" w:cs="Arial" w:eastAsia="Arial" w:hAnsi="Arial"/>
          <w:sz w:val="16"/>
          <w:szCs w:val="16"/>
          <w:b w:val="1"/>
          <w:bCs w:val="1"/>
          <w:color w:val="auto"/>
        </w:rPr>
        <w:t>DEBARMENT</w:t>
      </w:r>
    </w:p>
    <w:p>
      <w:pPr>
        <w:spacing w:after="0" w:line="189" w:lineRule="exact"/>
        <w:rPr>
          <w:sz w:val="20"/>
          <w:szCs w:val="20"/>
          <w:color w:val="auto"/>
        </w:rPr>
      </w:pPr>
    </w:p>
    <w:p>
      <w:pPr>
        <w:jc w:val="both"/>
        <w:ind w:firstLine="515"/>
        <w:spacing w:after="0" w:line="252" w:lineRule="auto"/>
        <w:rPr>
          <w:sz w:val="20"/>
          <w:szCs w:val="20"/>
          <w:color w:val="auto"/>
        </w:rPr>
      </w:pPr>
      <w:r>
        <w:rPr>
          <w:rFonts w:ascii="Arial" w:cs="Arial" w:eastAsia="Arial" w:hAnsi="Arial"/>
          <w:sz w:val="16"/>
          <w:szCs w:val="16"/>
          <w:color w:val="auto"/>
        </w:rPr>
        <w:t>Executive certifies that Executive has never been: (a) debarred by any relevant authorities, pursuant to any applicable law, including, but not limited to, Section 306(a) and (b) of the US Federal Food, Drug, and Cosmetic Act; (b) convicted of any of the felonies identified among the Exclusion Authorities listed on the U.S. Department of Health and Human Services (HHS) Office of Inspector General website; or (c) listed as being suspended, debarred, or excluded, or otherwise ineligible to participate in Federal procurement or non-procurement programs, including, but not limited to, being listed on the List of Excluded Individuals/Entities (LEIE) database on the HHS Office of Inspector General website. If Executive becomes suspended, debarred, or excluded pursuant to any of the foregoing, Executive must notify the Company immediately in writing.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ARTICLE X </w:t>
      </w:r>
      <w:r>
        <w:rPr>
          <w:rFonts w:ascii="Arial" w:cs="Arial" w:eastAsia="Arial" w:hAnsi="Arial"/>
          <w:sz w:val="15"/>
          <w:szCs w:val="15"/>
          <w:b w:val="1"/>
          <w:bCs w:val="1"/>
          <w:color w:val="auto"/>
        </w:rPr>
        <w:t>GENERAL PROVISIONS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43" w:right="319" w:bottom="1440" w:gutter="0" w:footer="0" w:header="0"/>
        </w:sectPr>
      </w:pPr>
    </w:p>
    <w:bookmarkStart w:id="123" w:name="page124"/>
    <w:bookmarkEnd w:id="123"/>
    <w:p>
      <w:pPr>
        <w:ind w:left="520"/>
        <w:spacing w:after="0"/>
        <w:tabs>
          <w:tab w:leader="none" w:pos="104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5"/>
          <w:szCs w:val="15"/>
          <w:b w:val="1"/>
          <w:bCs w:val="1"/>
          <w:color w:val="auto"/>
        </w:rPr>
        <w:t xml:space="preserve">Notices. </w:t>
      </w:r>
      <w:r>
        <w:rPr>
          <w:rFonts w:ascii="Arial" w:cs="Arial" w:eastAsia="Arial" w:hAnsi="Arial"/>
          <w:sz w:val="15"/>
          <w:szCs w:val="15"/>
          <w:color w:val="auto"/>
        </w:rPr>
        <w:t>Any notices provided hereunder must be in writing and shall be deemed effective upon the earlier of personal delivery (including personal</w:t>
      </w:r>
    </w:p>
    <w:p>
      <w:pPr>
        <w:jc w:val="both"/>
        <w:spacing w:after="0" w:line="223" w:lineRule="auto"/>
        <w:rPr>
          <w:sz w:val="20"/>
          <w:szCs w:val="20"/>
          <w:color w:val="auto"/>
        </w:rPr>
      </w:pPr>
      <w:r>
        <w:rPr>
          <w:rFonts w:ascii="Arial" w:cs="Arial" w:eastAsia="Arial" w:hAnsi="Arial"/>
          <w:sz w:val="16"/>
          <w:szCs w:val="16"/>
          <w:color w:val="auto"/>
        </w:rPr>
        <w:t>delivery by telex) or the third day after mailing by first class mail, to the Company at its primary office location and to Executive at Executive’s address as listed on the Company payroll.</w:t>
      </w:r>
    </w:p>
    <w:p>
      <w:pPr>
        <w:spacing w:after="0" w:line="11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10.2</w:t>
        <w:tab/>
        <w:t xml:space="preserve">Section 409A. </w:t>
      </w:r>
      <w:r>
        <w:rPr>
          <w:rFonts w:ascii="Arial" w:cs="Arial" w:eastAsia="Arial" w:hAnsi="Arial"/>
          <w:sz w:val="16"/>
          <w:szCs w:val="16"/>
          <w:color w:val="auto"/>
        </w:rPr>
        <w:t>To the extend applicable, this Agreement shall be interpreted in accordance with Section 409A of the Code and Department of</w:t>
      </w:r>
    </w:p>
    <w:p>
      <w:pPr>
        <w:jc w:val="both"/>
        <w:spacing w:after="0" w:line="203" w:lineRule="auto"/>
        <w:rPr>
          <w:sz w:val="20"/>
          <w:szCs w:val="20"/>
          <w:color w:val="auto"/>
        </w:rPr>
      </w:pPr>
      <w:r>
        <w:rPr>
          <w:rFonts w:ascii="Arial" w:cs="Arial" w:eastAsia="Arial" w:hAnsi="Arial"/>
          <w:sz w:val="16"/>
          <w:szCs w:val="16"/>
          <w:color w:val="auto"/>
        </w:rPr>
        <w:t>Treasury regulations and other interpretative guidance issued thereunder, including without limitation any such regulations or other such guidance that may be issued after the Effective Date (“</w:t>
      </w:r>
      <w:r>
        <w:rPr>
          <w:rFonts w:ascii="Arial" w:cs="Arial" w:eastAsia="Arial" w:hAnsi="Arial"/>
          <w:sz w:val="16"/>
          <w:szCs w:val="16"/>
          <w:b w:val="1"/>
          <w:bCs w:val="1"/>
          <w:color w:val="auto"/>
        </w:rPr>
        <w:t>Section 409A</w:t>
      </w:r>
      <w:r>
        <w:rPr>
          <w:rFonts w:ascii="Arial" w:cs="Arial" w:eastAsia="Arial" w:hAnsi="Arial"/>
          <w:sz w:val="16"/>
          <w:szCs w:val="16"/>
          <w:color w:val="auto"/>
        </w:rPr>
        <w:t>”). Notwithstanding any provision of this Agreement to the contrary, in the event that following the Effective Date,</w:t>
      </w:r>
    </w:p>
    <w:p>
      <w:pPr>
        <w:spacing w:after="0" w:line="224" w:lineRule="auto"/>
        <w:rPr>
          <w:sz w:val="20"/>
          <w:szCs w:val="20"/>
          <w:color w:val="auto"/>
        </w:rPr>
      </w:pPr>
      <w:r>
        <w:rPr>
          <w:rFonts w:ascii="Arial" w:cs="Arial" w:eastAsia="Arial" w:hAnsi="Arial"/>
          <w:sz w:val="15"/>
          <w:szCs w:val="15"/>
          <w:color w:val="auto"/>
        </w:rPr>
        <w:t>the Company determines in good faith that any compensation or benefits payable under this Agreement may not be either exempt from or compliant with Section</w:t>
      </w:r>
    </w:p>
    <w:p>
      <w:pPr>
        <w:jc w:val="both"/>
        <w:spacing w:after="0" w:line="216" w:lineRule="auto"/>
        <w:rPr>
          <w:sz w:val="20"/>
          <w:szCs w:val="20"/>
          <w:color w:val="auto"/>
        </w:rPr>
      </w:pPr>
      <w:r>
        <w:rPr>
          <w:rFonts w:ascii="Arial" w:cs="Arial" w:eastAsia="Arial" w:hAnsi="Arial"/>
          <w:sz w:val="15"/>
          <w:szCs w:val="15"/>
          <w:color w:val="auto"/>
        </w:rPr>
        <w:t>409A, the Company may adopt such amendments to this Agreement or adopt other policies or procedures (including amendments, policies and procedures with retroactive effect), or take any other commercially reasonable actions necessary or appropriate to preserve the intended tax treatment of the compensation and</w:t>
      </w:r>
    </w:p>
    <w:p>
      <w:pPr>
        <w:spacing w:after="0" w:line="225" w:lineRule="auto"/>
        <w:rPr>
          <w:sz w:val="20"/>
          <w:szCs w:val="20"/>
          <w:color w:val="auto"/>
        </w:rPr>
      </w:pPr>
      <w:r>
        <w:rPr>
          <w:rFonts w:ascii="Arial" w:cs="Arial" w:eastAsia="Arial" w:hAnsi="Arial"/>
          <w:sz w:val="15"/>
          <w:szCs w:val="15"/>
          <w:color w:val="auto"/>
        </w:rPr>
        <w:t>benefits payable hereunder, including without limitation actions intended to (i) exempt the compensation and benefits payable under this Agreement from Section</w:t>
      </w:r>
    </w:p>
    <w:p>
      <w:pPr>
        <w:jc w:val="both"/>
        <w:spacing w:after="0" w:line="216" w:lineRule="auto"/>
        <w:rPr>
          <w:sz w:val="20"/>
          <w:szCs w:val="20"/>
          <w:color w:val="auto"/>
        </w:rPr>
      </w:pPr>
      <w:r>
        <w:rPr>
          <w:rFonts w:ascii="Arial" w:cs="Arial" w:eastAsia="Arial" w:hAnsi="Arial"/>
          <w:sz w:val="15"/>
          <w:szCs w:val="15"/>
          <w:color w:val="auto"/>
        </w:rPr>
        <w:t>409A, and/or (ii) comply with the requirements of Section 409A, provided, that this Section 8.2 does not, and shall not be construed so as to, create any obligation on the part of the Company to adopt any such amendments, policies or procedures or to take any other such actions or to create any liability on the part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Company for any failure to do so.</w:t>
      </w:r>
    </w:p>
    <w:p>
      <w:pPr>
        <w:spacing w:after="0" w:line="133" w:lineRule="exact"/>
        <w:rPr>
          <w:sz w:val="20"/>
          <w:szCs w:val="20"/>
          <w:color w:val="auto"/>
        </w:rPr>
      </w:pPr>
    </w:p>
    <w:p>
      <w:pPr>
        <w:jc w:val="both"/>
        <w:ind w:firstLine="515"/>
        <w:spacing w:after="0" w:line="213" w:lineRule="auto"/>
        <w:rPr>
          <w:sz w:val="20"/>
          <w:szCs w:val="20"/>
          <w:color w:val="auto"/>
        </w:rPr>
      </w:pPr>
      <w:r>
        <w:rPr>
          <w:rFonts w:ascii="Arial" w:cs="Arial" w:eastAsia="Arial" w:hAnsi="Arial"/>
          <w:sz w:val="16"/>
          <w:szCs w:val="16"/>
          <w:b w:val="1"/>
          <w:bCs w:val="1"/>
          <w:color w:val="auto"/>
        </w:rPr>
        <w:t xml:space="preserve">10.3 Severability. </w:t>
      </w:r>
      <w:r>
        <w:rPr>
          <w:rFonts w:ascii="Arial" w:cs="Arial" w:eastAsia="Arial" w:hAnsi="Arial"/>
          <w:sz w:val="16"/>
          <w:szCs w:val="16"/>
          <w:color w:val="auto"/>
        </w:rPr>
        <w:t>Whenever possible, each provision of this Agreement will be interpreted in such manner as to be effective and valid under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but if any provision of this Agreement is held to be invalid, illegal, or unenforceable in any respect under any applicable law or rule in any jurisdiction, such</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15" w:lineRule="exact"/>
        <w:rPr>
          <w:sz w:val="20"/>
          <w:szCs w:val="20"/>
          <w:color w:val="auto"/>
        </w:rPr>
      </w:pPr>
    </w:p>
    <w:p>
      <w:pPr>
        <w:jc w:val="both"/>
        <w:ind w:firstLine="515"/>
        <w:spacing w:after="0" w:line="242" w:lineRule="auto"/>
        <w:rPr>
          <w:sz w:val="20"/>
          <w:szCs w:val="20"/>
          <w:color w:val="auto"/>
        </w:rPr>
      </w:pPr>
      <w:r>
        <w:rPr>
          <w:rFonts w:ascii="Arial" w:cs="Arial" w:eastAsia="Arial" w:hAnsi="Arial"/>
          <w:sz w:val="16"/>
          <w:szCs w:val="16"/>
          <w:b w:val="1"/>
          <w:bCs w:val="1"/>
          <w:color w:val="auto"/>
        </w:rPr>
        <w:t xml:space="preserve">10.4 Waiver. </w:t>
      </w:r>
      <w:r>
        <w:rPr>
          <w:rFonts w:ascii="Arial" w:cs="Arial" w:eastAsia="Arial" w:hAnsi="Arial"/>
          <w:sz w:val="16"/>
          <w:szCs w:val="16"/>
          <w:color w:val="auto"/>
        </w:rPr>
        <w:t>If either party should waive any breach of any provisions of this Agreement, they shall not thereby be deemed to have waived any</w:t>
      </w:r>
      <w:r>
        <w:rPr>
          <w:rFonts w:ascii="Arial" w:cs="Arial" w:eastAsia="Arial" w:hAnsi="Arial"/>
          <w:sz w:val="16"/>
          <w:szCs w:val="16"/>
          <w:b w:val="1"/>
          <w:bCs w:val="1"/>
          <w:color w:val="auto"/>
        </w:rPr>
        <w:t xml:space="preserve"> </w:t>
      </w:r>
      <w:r>
        <w:rPr>
          <w:rFonts w:ascii="Arial" w:cs="Arial" w:eastAsia="Arial" w:hAnsi="Arial"/>
          <w:sz w:val="16"/>
          <w:szCs w:val="16"/>
          <w:color w:val="auto"/>
        </w:rPr>
        <w:t>preceding or succeeding breach of the same or any other provision of this Agreement.</w:t>
      </w:r>
    </w:p>
    <w:p>
      <w:pPr>
        <w:spacing w:after="0" w:line="112" w:lineRule="exact"/>
        <w:rPr>
          <w:sz w:val="20"/>
          <w:szCs w:val="20"/>
          <w:color w:val="auto"/>
        </w:rPr>
      </w:pPr>
    </w:p>
    <w:p>
      <w:pPr>
        <w:jc w:val="both"/>
        <w:ind w:firstLine="515"/>
        <w:spacing w:after="0" w:line="220" w:lineRule="auto"/>
        <w:rPr>
          <w:sz w:val="20"/>
          <w:szCs w:val="20"/>
          <w:color w:val="auto"/>
        </w:rPr>
      </w:pPr>
      <w:r>
        <w:rPr>
          <w:rFonts w:ascii="Arial" w:cs="Arial" w:eastAsia="Arial" w:hAnsi="Arial"/>
          <w:sz w:val="16"/>
          <w:szCs w:val="16"/>
          <w:b w:val="1"/>
          <w:bCs w:val="1"/>
          <w:color w:val="auto"/>
        </w:rPr>
        <w:t xml:space="preserve">10.5 Complete Agreement. </w:t>
      </w:r>
      <w:r>
        <w:rPr>
          <w:rFonts w:ascii="Arial" w:cs="Arial" w:eastAsia="Arial" w:hAnsi="Arial"/>
          <w:sz w:val="16"/>
          <w:szCs w:val="16"/>
          <w:color w:val="auto"/>
        </w:rPr>
        <w:t>This Agreement and Exhibits A, B, C and D hereto constitute the entire agreement between Executive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the complete, final, and exclusive embodiment of their agreement with regard to this subject matter (except for the Equity Incentive Plan and the</w:t>
      </w:r>
    </w:p>
    <w:p>
      <w:pPr>
        <w:spacing w:after="0" w:line="1" w:lineRule="exact"/>
        <w:rPr>
          <w:sz w:val="20"/>
          <w:szCs w:val="20"/>
          <w:color w:val="auto"/>
        </w:rPr>
      </w:pPr>
    </w:p>
    <w:p>
      <w:pPr>
        <w:jc w:val="both"/>
        <w:spacing w:after="0" w:line="203" w:lineRule="auto"/>
        <w:rPr>
          <w:sz w:val="20"/>
          <w:szCs w:val="20"/>
          <w:color w:val="auto"/>
        </w:rPr>
      </w:pPr>
      <w:r>
        <w:rPr>
          <w:rFonts w:ascii="Arial" w:cs="Arial" w:eastAsia="Arial" w:hAnsi="Arial"/>
          <w:sz w:val="16"/>
          <w:szCs w:val="16"/>
          <w:color w:val="auto"/>
        </w:rPr>
        <w:t>Inducement Plan and award agreements thereunder, the Amended and Restated Severance Plan, and any successors thereto). As of the Effective Date, this Agreement supersedes any prior agreement between Executive and the Company or any predecessor employer in its entirety. Executive and the Company</w:t>
      </w:r>
    </w:p>
    <w:p>
      <w:pPr>
        <w:jc w:val="both"/>
        <w:spacing w:after="0" w:line="230" w:lineRule="auto"/>
        <w:rPr>
          <w:sz w:val="20"/>
          <w:szCs w:val="20"/>
          <w:color w:val="auto"/>
        </w:rPr>
      </w:pPr>
      <w:r>
        <w:rPr>
          <w:rFonts w:ascii="Arial" w:cs="Arial" w:eastAsia="Arial" w:hAnsi="Arial"/>
          <w:sz w:val="16"/>
          <w:szCs w:val="16"/>
          <w:color w:val="auto"/>
        </w:rPr>
        <w:t>acknowledge and agree that this Agreement is entered into without reliance on any promise or representation other than those expressly contained herein or therein and cannot be modified or amended except in a writing signed by a duly authorized officer of the Company.</w:t>
      </w:r>
    </w:p>
    <w:p>
      <w:pPr>
        <w:spacing w:after="0" w:line="125" w:lineRule="exact"/>
        <w:rPr>
          <w:sz w:val="20"/>
          <w:szCs w:val="20"/>
          <w:color w:val="auto"/>
        </w:rPr>
      </w:pPr>
    </w:p>
    <w:p>
      <w:pPr>
        <w:jc w:val="both"/>
        <w:ind w:firstLine="515"/>
        <w:spacing w:after="0" w:line="256" w:lineRule="auto"/>
        <w:rPr>
          <w:sz w:val="20"/>
          <w:szCs w:val="20"/>
          <w:color w:val="auto"/>
        </w:rPr>
      </w:pPr>
      <w:r>
        <w:rPr>
          <w:rFonts w:ascii="Arial" w:cs="Arial" w:eastAsia="Arial" w:hAnsi="Arial"/>
          <w:sz w:val="16"/>
          <w:szCs w:val="16"/>
          <w:b w:val="1"/>
          <w:bCs w:val="1"/>
          <w:color w:val="auto"/>
        </w:rPr>
        <w:t xml:space="preserve">9.6 Counterparts and Electronic Signatures. </w:t>
      </w:r>
      <w:r>
        <w:rPr>
          <w:rFonts w:ascii="Arial" w:cs="Arial" w:eastAsia="Arial" w:hAnsi="Arial"/>
          <w:sz w:val="16"/>
          <w:szCs w:val="16"/>
          <w:color w:val="auto"/>
        </w:rPr>
        <w:t>This Agreement may be executed in separate counterparts, any one of which need not contain</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signatures of more than one party, but all of which taken together will constitute one and the same Agreement. The parties agree that execution of this Agreement by industry standard electronic signature software and/or by exchanging PDF signatures shall have the same legal force and effect as the exchange of original signatures, and that in any proceeding arising under or relating to this Agreement, each party hereby waives any right to raise any defense or waiver based upon execution of this Agreement by means of such electronic signatures or maintenance of the executed agreement electronically.</w:t>
      </w:r>
    </w:p>
    <w:p>
      <w:pPr>
        <w:spacing w:after="0" w:line="146" w:lineRule="exact"/>
        <w:rPr>
          <w:sz w:val="20"/>
          <w:szCs w:val="20"/>
          <w:color w:val="auto"/>
        </w:rPr>
      </w:pPr>
    </w:p>
    <w:p>
      <w:pPr>
        <w:jc w:val="both"/>
        <w:ind w:firstLine="515"/>
        <w:spacing w:after="0" w:line="242" w:lineRule="auto"/>
        <w:rPr>
          <w:sz w:val="20"/>
          <w:szCs w:val="20"/>
          <w:color w:val="auto"/>
        </w:rPr>
      </w:pPr>
      <w:r>
        <w:rPr>
          <w:rFonts w:ascii="Arial" w:cs="Arial" w:eastAsia="Arial" w:hAnsi="Arial"/>
          <w:sz w:val="16"/>
          <w:szCs w:val="16"/>
          <w:b w:val="1"/>
          <w:bCs w:val="1"/>
          <w:color w:val="auto"/>
        </w:rPr>
        <w:t xml:space="preserve">10.6 Headings. </w:t>
      </w:r>
      <w:r>
        <w:rPr>
          <w:rFonts w:ascii="Arial" w:cs="Arial" w:eastAsia="Arial" w:hAnsi="Arial"/>
          <w:sz w:val="16"/>
          <w:szCs w:val="16"/>
          <w:color w:val="auto"/>
        </w:rPr>
        <w:t>The headings of the sections hereof are inserted for convenience only and shall not be deemed to constitute a part hereof nor to</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meaning thereof.</w:t>
      </w:r>
    </w:p>
    <w:p>
      <w:pPr>
        <w:spacing w:after="0" w:line="123" w:lineRule="exact"/>
        <w:rPr>
          <w:sz w:val="20"/>
          <w:szCs w:val="20"/>
          <w:color w:val="auto"/>
        </w:rPr>
      </w:pPr>
    </w:p>
    <w:p>
      <w:pPr>
        <w:jc w:val="both"/>
        <w:ind w:firstLine="515"/>
        <w:spacing w:after="0" w:line="234" w:lineRule="auto"/>
        <w:rPr>
          <w:sz w:val="20"/>
          <w:szCs w:val="20"/>
          <w:color w:val="auto"/>
        </w:rPr>
      </w:pPr>
      <w:r>
        <w:rPr>
          <w:rFonts w:ascii="Arial" w:cs="Arial" w:eastAsia="Arial" w:hAnsi="Arial"/>
          <w:sz w:val="16"/>
          <w:szCs w:val="16"/>
          <w:b w:val="1"/>
          <w:bCs w:val="1"/>
          <w:color w:val="auto"/>
        </w:rPr>
        <w:t xml:space="preserve">10.7 Successors and Assigns. </w:t>
      </w:r>
      <w:r>
        <w:rPr>
          <w:rFonts w:ascii="Arial" w:cs="Arial" w:eastAsia="Arial" w:hAnsi="Arial"/>
          <w:sz w:val="16"/>
          <w:szCs w:val="16"/>
          <w:color w:val="auto"/>
        </w:rPr>
        <w:t>This Agreement is intended to bind and inure to the benefit of and be enforceable by Executive and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successors, assigns, heirs,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34" w:right="319" w:bottom="1440" w:gutter="0" w:footer="0" w:header="0"/>
        </w:sectPr>
      </w:pPr>
    </w:p>
    <w:bookmarkStart w:id="124" w:name="page125"/>
    <w:bookmarkEnd w:id="124"/>
    <w:p>
      <w:pPr>
        <w:spacing w:after="0" w:line="239" w:lineRule="auto"/>
        <w:rPr>
          <w:sz w:val="20"/>
          <w:szCs w:val="20"/>
          <w:color w:val="auto"/>
        </w:rPr>
      </w:pPr>
      <w:r>
        <w:rPr>
          <w:rFonts w:ascii="Arial" w:cs="Arial" w:eastAsia="Arial" w:hAnsi="Arial"/>
          <w:sz w:val="16"/>
          <w:szCs w:val="16"/>
          <w:color w:val="auto"/>
        </w:rPr>
        <w:t>executors, and administrators, except that Executive may not assign any of Executive’s duties hereunder and Executive may not assign any of Executive’s rights hereunder, without the written consent of the Company, which shall not be withheld unreasonably.</w:t>
      </w:r>
    </w:p>
    <w:p>
      <w:pPr>
        <w:spacing w:after="0" w:line="115" w:lineRule="exact"/>
        <w:rPr>
          <w:sz w:val="20"/>
          <w:szCs w:val="20"/>
          <w:color w:val="auto"/>
        </w:rPr>
      </w:pPr>
    </w:p>
    <w:p>
      <w:pPr>
        <w:ind w:firstLine="515"/>
        <w:spacing w:after="0" w:line="220" w:lineRule="auto"/>
        <w:rPr>
          <w:sz w:val="20"/>
          <w:szCs w:val="20"/>
          <w:color w:val="auto"/>
        </w:rPr>
      </w:pPr>
      <w:r>
        <w:rPr>
          <w:rFonts w:ascii="Arial" w:cs="Arial" w:eastAsia="Arial" w:hAnsi="Arial"/>
          <w:sz w:val="16"/>
          <w:szCs w:val="16"/>
          <w:b w:val="1"/>
          <w:bCs w:val="1"/>
          <w:color w:val="auto"/>
        </w:rPr>
        <w:t xml:space="preserve">10.8 Arbitration. </w:t>
      </w:r>
      <w:r>
        <w:rPr>
          <w:rFonts w:ascii="Arial" w:cs="Arial" w:eastAsia="Arial" w:hAnsi="Arial"/>
          <w:sz w:val="16"/>
          <w:szCs w:val="16"/>
          <w:color w:val="auto"/>
        </w:rPr>
        <w:t>In the event of any contractual, statutory or tort dispute or claim relating to or arising out of Executive’s employment relationship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(including but not limited to any claims of wrongful termination or age, sex, race, or other discrimination, but not including workers’ compensation</w:t>
      </w:r>
    </w:p>
    <w:p>
      <w:pPr>
        <w:spacing w:after="0" w:line="1" w:lineRule="exact"/>
        <w:rPr>
          <w:sz w:val="20"/>
          <w:szCs w:val="20"/>
          <w:color w:val="auto"/>
        </w:rPr>
      </w:pPr>
    </w:p>
    <w:p>
      <w:pPr>
        <w:spacing w:after="0" w:line="216" w:lineRule="auto"/>
        <w:rPr>
          <w:sz w:val="20"/>
          <w:szCs w:val="20"/>
          <w:color w:val="auto"/>
        </w:rPr>
      </w:pPr>
      <w:r>
        <w:rPr>
          <w:rFonts w:ascii="Arial" w:cs="Arial" w:eastAsia="Arial" w:hAnsi="Arial"/>
          <w:sz w:val="15"/>
          <w:szCs w:val="15"/>
          <w:color w:val="auto"/>
        </w:rPr>
        <w:t>claims), Executive and the Company agree that all such disputes will be finally resolved by binding arbitration conducted by a single neutral arbitrator associated with the American Arbitration Association in Foster City, California. Executive and the Company hereby waive their respective rights to have any such disputes or</w:t>
      </w:r>
    </w:p>
    <w:p>
      <w:pPr>
        <w:spacing w:after="0" w:line="211" w:lineRule="auto"/>
        <w:rPr>
          <w:sz w:val="20"/>
          <w:szCs w:val="20"/>
          <w:color w:val="auto"/>
        </w:rPr>
      </w:pPr>
      <w:r>
        <w:rPr>
          <w:rFonts w:ascii="Arial" w:cs="Arial" w:eastAsia="Arial" w:hAnsi="Arial"/>
          <w:sz w:val="16"/>
          <w:szCs w:val="16"/>
          <w:color w:val="auto"/>
        </w:rPr>
        <w:t>claims tried to a judge or jury. However, the Company agrees that this arbitration provision will not apply to any claim, by either Executive or the Company, for</w:t>
      </w:r>
    </w:p>
    <w:p>
      <w:pPr>
        <w:spacing w:after="0" w:line="223" w:lineRule="auto"/>
        <w:rPr>
          <w:sz w:val="20"/>
          <w:szCs w:val="20"/>
          <w:color w:val="auto"/>
        </w:rPr>
      </w:pPr>
      <w:r>
        <w:rPr>
          <w:rFonts w:ascii="Arial" w:cs="Arial" w:eastAsia="Arial" w:hAnsi="Arial"/>
          <w:sz w:val="16"/>
          <w:szCs w:val="16"/>
          <w:color w:val="auto"/>
        </w:rPr>
        <w:t>injunctive relief. The administrative costs of any arbitration proceeding between Executive and the Company and the fees and costs of the arbitrator shall be borne by the Company.</w:t>
      </w:r>
    </w:p>
    <w:p>
      <w:pPr>
        <w:spacing w:after="0" w:line="125" w:lineRule="exact"/>
        <w:rPr>
          <w:sz w:val="20"/>
          <w:szCs w:val="20"/>
          <w:color w:val="auto"/>
        </w:rPr>
      </w:pPr>
    </w:p>
    <w:p>
      <w:pPr>
        <w:ind w:firstLine="515"/>
        <w:spacing w:after="0" w:line="242" w:lineRule="auto"/>
        <w:rPr>
          <w:sz w:val="20"/>
          <w:szCs w:val="20"/>
          <w:color w:val="auto"/>
        </w:rPr>
      </w:pPr>
      <w:r>
        <w:rPr>
          <w:rFonts w:ascii="Arial" w:cs="Arial" w:eastAsia="Arial" w:hAnsi="Arial"/>
          <w:sz w:val="16"/>
          <w:szCs w:val="16"/>
          <w:b w:val="1"/>
          <w:bCs w:val="1"/>
          <w:color w:val="auto"/>
        </w:rPr>
        <w:t>10.9 Attorneys’ Fees</w:t>
      </w:r>
      <w:r>
        <w:rPr>
          <w:rFonts w:ascii="Arial" w:cs="Arial" w:eastAsia="Arial" w:hAnsi="Arial"/>
          <w:sz w:val="16"/>
          <w:szCs w:val="16"/>
          <w:color w:val="auto"/>
        </w:rPr>
        <w:t>. If either party hereto brings any action to enforce rights hereunder, each party in any such action shall be responsible for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attorneys’ fees and costs incurred in connection with such action.</w:t>
      </w:r>
    </w:p>
    <w:p>
      <w:pPr>
        <w:spacing w:after="0" w:line="112" w:lineRule="exact"/>
        <w:rPr>
          <w:sz w:val="20"/>
          <w:szCs w:val="20"/>
          <w:color w:val="auto"/>
        </w:rPr>
      </w:pPr>
    </w:p>
    <w:p>
      <w:pPr>
        <w:ind w:firstLine="515"/>
        <w:spacing w:after="0" w:line="235" w:lineRule="auto"/>
        <w:rPr>
          <w:sz w:val="20"/>
          <w:szCs w:val="20"/>
          <w:color w:val="auto"/>
        </w:rPr>
      </w:pPr>
      <w:r>
        <w:rPr>
          <w:rFonts w:ascii="Arial" w:cs="Arial" w:eastAsia="Arial" w:hAnsi="Arial"/>
          <w:sz w:val="15"/>
          <w:szCs w:val="15"/>
          <w:b w:val="1"/>
          <w:bCs w:val="1"/>
          <w:color w:val="auto"/>
        </w:rPr>
        <w:t>10.10 Acknowledgement</w:t>
      </w:r>
      <w:r>
        <w:rPr>
          <w:rFonts w:ascii="Arial" w:cs="Arial" w:eastAsia="Arial" w:hAnsi="Arial"/>
          <w:sz w:val="15"/>
          <w:szCs w:val="15"/>
          <w:color w:val="auto"/>
        </w:rPr>
        <w:t>. Executive acknowledges that Executive (a) has had the opportunity to discuss this matter with and obtain advice from</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counsel of Executive’s own choice and has been advised to do so by the Company, (b) has carefully read and fully understands all the provisions of</w:t>
      </w:r>
    </w:p>
    <w:p>
      <w:pPr>
        <w:spacing w:after="0" w:line="223" w:lineRule="auto"/>
        <w:rPr>
          <w:sz w:val="20"/>
          <w:szCs w:val="20"/>
          <w:color w:val="auto"/>
        </w:rPr>
      </w:pPr>
      <w:r>
        <w:rPr>
          <w:rFonts w:ascii="Arial" w:cs="Arial" w:eastAsia="Arial" w:hAnsi="Arial"/>
          <w:sz w:val="16"/>
          <w:szCs w:val="16"/>
          <w:color w:val="auto"/>
        </w:rPr>
        <w:t>this Agreement, and (c) is knowingly and voluntarily entering into this Agreement. Executive represents that Executive (i) is familiar with the restrictive covenants set forth in the Proprietary Information and Inventions Agreement and (ii) is fully aware of Executive’s obligations thereunder.</w:t>
      </w:r>
    </w:p>
    <w:p>
      <w:pPr>
        <w:spacing w:after="0" w:line="125" w:lineRule="exact"/>
        <w:rPr>
          <w:sz w:val="20"/>
          <w:szCs w:val="20"/>
          <w:color w:val="auto"/>
        </w:rPr>
      </w:pPr>
    </w:p>
    <w:p>
      <w:pPr>
        <w:ind w:firstLine="515"/>
        <w:spacing w:after="0" w:line="242" w:lineRule="auto"/>
        <w:rPr>
          <w:sz w:val="20"/>
          <w:szCs w:val="20"/>
          <w:color w:val="auto"/>
        </w:rPr>
      </w:pPr>
      <w:r>
        <w:rPr>
          <w:rFonts w:ascii="Arial" w:cs="Arial" w:eastAsia="Arial" w:hAnsi="Arial"/>
          <w:sz w:val="16"/>
          <w:szCs w:val="16"/>
          <w:b w:val="1"/>
          <w:bCs w:val="1"/>
          <w:color w:val="auto"/>
        </w:rPr>
        <w:t xml:space="preserve">10.11 Choice of Law. </w:t>
      </w:r>
      <w:r>
        <w:rPr>
          <w:rFonts w:ascii="Arial" w:cs="Arial" w:eastAsia="Arial" w:hAnsi="Arial"/>
          <w:sz w:val="16"/>
          <w:szCs w:val="16"/>
          <w:color w:val="auto"/>
        </w:rPr>
        <w:t>All questions concerning the construction, validity and interpretation of this Agreement will be governed by the law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w:t>
      </w:r>
    </w:p>
    <w:p>
      <w:pPr>
        <w:spacing w:after="0" w:line="105"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10.12</w:t>
      </w:r>
      <w:r>
        <w:rPr>
          <w:sz w:val="20"/>
          <w:szCs w:val="20"/>
          <w:color w:val="auto"/>
        </w:rPr>
        <w:tab/>
      </w:r>
      <w:r>
        <w:rPr>
          <w:rFonts w:ascii="Arial" w:cs="Arial" w:eastAsia="Arial" w:hAnsi="Arial"/>
          <w:sz w:val="15"/>
          <w:szCs w:val="15"/>
          <w:b w:val="1"/>
          <w:bCs w:val="1"/>
          <w:color w:val="auto"/>
        </w:rPr>
        <w:t>Personal Information</w:t>
      </w:r>
      <w:r>
        <w:rPr>
          <w:rFonts w:ascii="Arial" w:cs="Arial" w:eastAsia="Arial" w:hAnsi="Arial"/>
          <w:sz w:val="15"/>
          <w:szCs w:val="15"/>
          <w:color w:val="auto"/>
        </w:rPr>
        <w:t>. Executive understands that the Company may hold certain personal information about him or her, including, but not limited</w:t>
      </w:r>
    </w:p>
    <w:p>
      <w:pPr>
        <w:spacing w:after="0" w:line="203" w:lineRule="auto"/>
        <w:rPr>
          <w:sz w:val="20"/>
          <w:szCs w:val="20"/>
          <w:color w:val="auto"/>
        </w:rPr>
      </w:pPr>
      <w:r>
        <w:rPr>
          <w:rFonts w:ascii="Arial" w:cs="Arial" w:eastAsia="Arial" w:hAnsi="Arial"/>
          <w:sz w:val="16"/>
          <w:szCs w:val="16"/>
          <w:color w:val="auto"/>
        </w:rPr>
        <w:t>to, your name, home address, telephone number, date of birth, social security number, salary, nationality, and job title (collectively, “</w:t>
      </w:r>
      <w:r>
        <w:rPr>
          <w:rFonts w:ascii="Arial" w:cs="Arial" w:eastAsia="Arial" w:hAnsi="Arial"/>
          <w:sz w:val="16"/>
          <w:szCs w:val="16"/>
          <w:b w:val="1"/>
          <w:bCs w:val="1"/>
          <w:color w:val="auto"/>
        </w:rPr>
        <w:t>Personal Data</w:t>
      </w:r>
      <w:r>
        <w:rPr>
          <w:rFonts w:ascii="Arial" w:cs="Arial" w:eastAsia="Arial" w:hAnsi="Arial"/>
          <w:sz w:val="16"/>
          <w:szCs w:val="16"/>
          <w:color w:val="auto"/>
        </w:rPr>
        <w:t>”). Certain Personal Data may also constitute “Sensitive Personal Data” within the meaning of applicable local law. Such data include, but are not limited to, Personal Data</w:t>
      </w:r>
    </w:p>
    <w:p>
      <w:pPr>
        <w:spacing w:after="0" w:line="210" w:lineRule="auto"/>
        <w:rPr>
          <w:sz w:val="20"/>
          <w:szCs w:val="20"/>
          <w:color w:val="auto"/>
        </w:rPr>
      </w:pPr>
      <w:r>
        <w:rPr>
          <w:rFonts w:ascii="Arial" w:cs="Arial" w:eastAsia="Arial" w:hAnsi="Arial"/>
          <w:sz w:val="16"/>
          <w:szCs w:val="16"/>
          <w:color w:val="auto"/>
        </w:rPr>
        <w:t>and any changes thereto, and other appropriate personal and financial data about you. The Company’s lawful basis for processing Personal Data and Sensitive</w:t>
      </w:r>
    </w:p>
    <w:p>
      <w:pPr>
        <w:spacing w:after="0" w:line="203" w:lineRule="auto"/>
        <w:rPr>
          <w:sz w:val="20"/>
          <w:szCs w:val="20"/>
          <w:color w:val="auto"/>
        </w:rPr>
      </w:pPr>
      <w:r>
        <w:rPr>
          <w:rFonts w:ascii="Arial" w:cs="Arial" w:eastAsia="Arial" w:hAnsi="Arial"/>
          <w:sz w:val="16"/>
          <w:szCs w:val="16"/>
          <w:color w:val="auto"/>
        </w:rPr>
        <w:t>Personal Data include fulfilling its role as an employer, compliance with law, and legitimate business interest. Executive hereby provides express consent to the Company to process such Personal Data and Sensitive Personal Data and to transfer any such Personal Data and Sensitive Personal Data to any third parties</w:t>
      </w:r>
    </w:p>
    <w:p>
      <w:pPr>
        <w:spacing w:after="0" w:line="210" w:lineRule="auto"/>
        <w:rPr>
          <w:sz w:val="20"/>
          <w:szCs w:val="20"/>
          <w:color w:val="auto"/>
        </w:rPr>
      </w:pPr>
      <w:r>
        <w:rPr>
          <w:rFonts w:ascii="Arial" w:cs="Arial" w:eastAsia="Arial" w:hAnsi="Arial"/>
          <w:sz w:val="16"/>
          <w:szCs w:val="16"/>
          <w:color w:val="auto"/>
        </w:rPr>
        <w:t>outside the country in which you are employed or retained, for purposes of administrating and managing your employment relationship with the Company.</w:t>
      </w:r>
    </w:p>
    <w:p>
      <w:pPr>
        <w:spacing w:after="0" w:line="223" w:lineRule="auto"/>
        <w:rPr>
          <w:sz w:val="20"/>
          <w:szCs w:val="20"/>
          <w:color w:val="auto"/>
        </w:rPr>
      </w:pPr>
      <w:r>
        <w:rPr>
          <w:rFonts w:ascii="Arial" w:cs="Arial" w:eastAsia="Arial" w:hAnsi="Arial"/>
          <w:sz w:val="16"/>
          <w:szCs w:val="16"/>
          <w:color w:val="auto"/>
        </w:rPr>
        <w:t>Executive may, at any time, review his or her Personal Data, request any necessary corrections to it, or withdraw his or her consent in writing by contacting the Company; however, withdrawal of your consent may affect your employment with the Company.</w:t>
      </w:r>
    </w:p>
    <w:p>
      <w:pPr>
        <w:spacing w:after="0" w:line="11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10.13</w:t>
        <w:tab/>
        <w:t>Eligibility to Work</w:t>
      </w:r>
      <w:r>
        <w:rPr>
          <w:rFonts w:ascii="Arial" w:cs="Arial" w:eastAsia="Arial" w:hAnsi="Arial"/>
          <w:sz w:val="16"/>
          <w:szCs w:val="16"/>
          <w:color w:val="auto"/>
        </w:rPr>
        <w:t>. In accordance with federal law, all new employees are required to present evidence of their eligibility to be employed in the</w:t>
      </w:r>
    </w:p>
    <w:p>
      <w:pPr>
        <w:spacing w:after="0" w:line="216" w:lineRule="auto"/>
        <w:rPr>
          <w:sz w:val="20"/>
          <w:szCs w:val="20"/>
          <w:color w:val="auto"/>
        </w:rPr>
      </w:pPr>
      <w:r>
        <w:rPr>
          <w:rFonts w:ascii="Arial" w:cs="Arial" w:eastAsia="Arial" w:hAnsi="Arial"/>
          <w:sz w:val="15"/>
          <w:szCs w:val="15"/>
          <w:color w:val="auto"/>
        </w:rPr>
        <w:t>United States and this Agreement is subject to proof of Executive’s ability to lawfully work in the United States. Accordingly, the Company requests that Executive provide the Company with appropriate documentation for this purpose within 72 hours of the first day of employment. Acceptable documents include, but are not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limited to, a birth certificate, a passport, a visa, permanent residence card, or driver’s license and social security card.</w:t>
      </w:r>
    </w:p>
    <w:p>
      <w:pPr>
        <w:spacing w:after="0" w:line="13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6"/>
          <w:szCs w:val="16"/>
          <w:b w:val="1"/>
          <w:bCs w:val="1"/>
          <w:color w:val="auto"/>
        </w:rPr>
        <w:t>10.14</w:t>
        <w:tab/>
        <w:t>Pre-Employment Screenings as a Condition of Employment</w:t>
      </w:r>
      <w:r>
        <w:rPr>
          <w:rFonts w:ascii="Arial" w:cs="Arial" w:eastAsia="Arial" w:hAnsi="Arial"/>
          <w:sz w:val="16"/>
          <w:szCs w:val="16"/>
          <w:color w:val="auto"/>
        </w:rPr>
        <w:t>. As a condition of employment, Executive will be required to submit to a</w:t>
      </w:r>
    </w:p>
    <w:p>
      <w:pPr>
        <w:spacing w:after="0" w:line="216" w:lineRule="auto"/>
        <w:rPr>
          <w:sz w:val="20"/>
          <w:szCs w:val="20"/>
          <w:color w:val="auto"/>
        </w:rPr>
      </w:pPr>
      <w:r>
        <w:rPr>
          <w:rFonts w:ascii="Arial" w:cs="Arial" w:eastAsia="Arial" w:hAnsi="Arial"/>
          <w:sz w:val="15"/>
          <w:szCs w:val="15"/>
          <w:color w:val="auto"/>
        </w:rPr>
        <w:t>background check which must yield results considered acceptable to the Company. Standard screenings include verification of prior employment and education, a drug test, and a criminal history check. Additional screenings, such as a credit check or Department of Motor Vehicles record check, may be applicable based</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on job function. Further, the Company will require the receipt of professional references that are predominately positive in content and character. If the results of any of these screenings are determined by the Company to be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43" w:right="319" w:bottom="1440" w:gutter="0" w:footer="0" w:header="0"/>
        </w:sectPr>
      </w:pPr>
    </w:p>
    <w:bookmarkStart w:id="125" w:name="page126"/>
    <w:bookmarkEnd w:id="125"/>
    <w:p>
      <w:pPr>
        <w:spacing w:after="0" w:line="239" w:lineRule="auto"/>
        <w:rPr>
          <w:sz w:val="20"/>
          <w:szCs w:val="20"/>
          <w:color w:val="auto"/>
        </w:rPr>
      </w:pPr>
      <w:r>
        <w:rPr>
          <w:rFonts w:ascii="Arial" w:cs="Arial" w:eastAsia="Arial" w:hAnsi="Arial"/>
          <w:sz w:val="16"/>
          <w:szCs w:val="16"/>
          <w:color w:val="auto"/>
        </w:rPr>
        <w:t>noncompliant with its policies, procedures, or general business requirements, the Company reserves the right to unilaterally revoke this Agreement, with no obligation or liability to you.</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[remainder of this page left blank; signature page to follow]</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43" w:right="319" w:bottom="1440" w:gutter="0" w:footer="0" w:header="0"/>
        </w:sectPr>
      </w:pPr>
    </w:p>
    <w:bookmarkStart w:id="126" w:name="page127"/>
    <w:bookmarkEnd w:id="126"/>
    <w:p>
      <w:pPr>
        <w:ind w:left="52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executed this Agreement on the respective dates set forth below:</w:t>
      </w:r>
    </w:p>
    <w:p>
      <w:pPr>
        <w:spacing w:after="0" w:line="193"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GERON CORPORATION</w:t>
      </w:r>
    </w:p>
    <w:p>
      <w:pPr>
        <w:spacing w:after="0" w:line="200" w:lineRule="exact"/>
        <w:rPr>
          <w:sz w:val="20"/>
          <w:szCs w:val="20"/>
          <w:color w:val="auto"/>
        </w:rPr>
      </w:pPr>
    </w:p>
    <w:p>
      <w:pPr>
        <w:spacing w:after="0" w:line="209"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Harout Semerjian__</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Harout Semerjian</w:t>
      </w:r>
    </w:p>
    <w:p>
      <w:pPr>
        <w:ind w:left="180"/>
        <w:spacing w:after="0"/>
        <w:rPr>
          <w:sz w:val="20"/>
          <w:szCs w:val="20"/>
          <w:color w:val="auto"/>
        </w:rPr>
      </w:pPr>
      <w:r>
        <w:rPr>
          <w:rFonts w:ascii="Arial" w:cs="Arial" w:eastAsia="Arial" w:hAnsi="Arial"/>
          <w:sz w:val="16"/>
          <w:szCs w:val="16"/>
          <w:color w:val="auto"/>
        </w:rPr>
        <w:t>President and CEO</w:t>
      </w:r>
    </w:p>
    <w:p>
      <w:pPr>
        <w:spacing w:after="0" w:line="189" w:lineRule="exact"/>
        <w:rPr>
          <w:sz w:val="20"/>
          <w:szCs w:val="20"/>
          <w:color w:val="auto"/>
        </w:rPr>
      </w:pPr>
    </w:p>
    <w:p>
      <w:pPr>
        <w:ind w:left="3100"/>
        <w:spacing w:after="0"/>
        <w:tabs>
          <w:tab w:leader="none" w:pos="3640" w:val="left"/>
        </w:tabs>
        <w:rPr>
          <w:sz w:val="20"/>
          <w:szCs w:val="20"/>
          <w:color w:val="auto"/>
        </w:rPr>
      </w:pPr>
      <w:r>
        <w:rPr>
          <w:rFonts w:ascii="Arial" w:cs="Arial" w:eastAsia="Arial" w:hAnsi="Arial"/>
          <w:sz w:val="16"/>
          <w:szCs w:val="16"/>
          <w:color w:val="auto"/>
        </w:rPr>
        <w:t>Date:</w:t>
        <w:tab/>
        <w:t>October 13, 2025</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this 13 day of October, 2025,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Ahmed EINawawi_____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Ahmed ElNawawi</w:t>
      </w:r>
    </w:p>
    <w:p>
      <w:pPr>
        <w:spacing w:after="0" w:line="200" w:lineRule="exact"/>
        <w:rPr>
          <w:sz w:val="20"/>
          <w:szCs w:val="20"/>
          <w:color w:val="auto"/>
        </w:rPr>
      </w:pPr>
    </w:p>
    <w:p>
      <w:pPr>
        <w:spacing w:after="0" w:line="322"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159"/>
          </w:cols>
          <w:pgMar w:left="300" w:top="1152" w:right="1440" w:bottom="1440" w:gutter="0" w:footer="0" w:header="0"/>
        </w:sectPr>
      </w:pPr>
    </w:p>
    <w:bookmarkStart w:id="127" w:name="page128"/>
    <w:bookmarkEnd w:id="127"/>
    <w:p>
      <w:pPr>
        <w:ind w:left="6100"/>
        <w:spacing w:after="0"/>
        <w:rPr>
          <w:sz w:val="20"/>
          <w:szCs w:val="20"/>
          <w:color w:val="auto"/>
        </w:rPr>
      </w:pPr>
      <w:r>
        <w:rPr>
          <w:rFonts w:ascii="Times New Roman" w:cs="Times New Roman" w:eastAsia="Times New Roman" w:hAnsi="Times New Roman"/>
          <w:sz w:val="14"/>
          <w:szCs w:val="14"/>
          <w:color w:val="auto"/>
        </w:rPr>
        <w:t>EXHIBIT 10.40</w:t>
      </w: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EMPLOYMENT AGREEMENT</w:t>
      </w:r>
    </w:p>
    <w:p>
      <w:pPr>
        <w:spacing w:after="0" w:line="354" w:lineRule="exact"/>
        <w:rPr>
          <w:sz w:val="20"/>
          <w:szCs w:val="20"/>
          <w:color w:val="auto"/>
        </w:rPr>
      </w:pPr>
    </w:p>
    <w:p>
      <w:pPr>
        <w:ind w:firstLine="516"/>
        <w:spacing w:after="0" w:line="295" w:lineRule="auto"/>
        <w:rPr>
          <w:sz w:val="20"/>
          <w:szCs w:val="20"/>
          <w:color w:val="auto"/>
        </w:rPr>
      </w:pPr>
      <w:r>
        <w:rPr>
          <w:rFonts w:ascii="Times New Roman" w:cs="Times New Roman" w:eastAsia="Times New Roman" w:hAnsi="Times New Roman"/>
          <w:sz w:val="14"/>
          <w:szCs w:val="14"/>
          <w:color w:val="auto"/>
        </w:rPr>
        <w:t>This Employment Agreement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effective as of July 9, 2022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by and between Faye Feller (“</w:t>
      </w:r>
      <w:r>
        <w:rPr>
          <w:rFonts w:ascii="Times New Roman" w:cs="Times New Roman" w:eastAsia="Times New Roman" w:hAnsi="Times New Roman"/>
          <w:sz w:val="14"/>
          <w:szCs w:val="14"/>
          <w:b w:val="1"/>
          <w:bCs w:val="1"/>
          <w:color w:val="auto"/>
        </w:rPr>
        <w:t>Executive</w:t>
      </w:r>
      <w:r>
        <w:rPr>
          <w:rFonts w:ascii="Times New Roman" w:cs="Times New Roman" w:eastAsia="Times New Roman" w:hAnsi="Times New Roman"/>
          <w:sz w:val="14"/>
          <w:szCs w:val="14"/>
          <w:color w:val="auto"/>
        </w:rPr>
        <w:t>”) and Geron Corporation,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with corporate offices in Parsippany, New Jersey and Foster City, California.</w:t>
      </w:r>
    </w:p>
    <w:p>
      <w:pPr>
        <w:spacing w:after="0" w:line="141" w:lineRule="exact"/>
        <w:rPr>
          <w:sz w:val="20"/>
          <w:szCs w:val="20"/>
          <w:color w:val="auto"/>
        </w:rPr>
      </w:pPr>
    </w:p>
    <w:p>
      <w:pPr>
        <w:ind w:right="20" w:firstLine="516"/>
        <w:spacing w:after="0" w:line="295"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desires to employ Executive to provide personal services to the Company, and wishes to provide Executive with certain compensation and benefits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return for Executive’s services;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Executive wishes to be employed by the Company and provide personal services to the Company in return for certain compensation and benefits; and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Executive will be assigned to the Company’s Parsippany, New Jersey office.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promises and covenants contained herein, it is hereby agreed by and between the parties hereto as follows:</w:t>
      </w:r>
    </w:p>
    <w:p>
      <w:pPr>
        <w:spacing w:after="0" w:line="204"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43"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purposes of the Agreement, the following terms are defined as follows:</w:t>
      </w:r>
    </w:p>
    <w:p>
      <w:pPr>
        <w:spacing w:after="0" w:line="25"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means the Board of Directors of the Company.</w:t>
      </w:r>
    </w:p>
    <w:p>
      <w:pPr>
        <w:spacing w:after="0" w:line="167"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Cause</w:t>
      </w:r>
      <w:r>
        <w:rPr>
          <w:rFonts w:ascii="Times New Roman" w:cs="Times New Roman" w:eastAsia="Times New Roman" w:hAnsi="Times New Roman"/>
          <w:sz w:val="14"/>
          <w:szCs w:val="14"/>
          <w:color w:val="auto"/>
        </w:rPr>
        <w:t>” means any of the following:</w:t>
      </w:r>
    </w:p>
    <w:p>
      <w:pPr>
        <w:spacing w:after="0" w:line="27" w:lineRule="exact"/>
        <w:rPr>
          <w:sz w:val="20"/>
          <w:szCs w:val="20"/>
          <w:color w:val="auto"/>
        </w:rPr>
      </w:pPr>
    </w:p>
    <w:p>
      <w:pPr>
        <w:ind w:left="1340" w:hanging="303"/>
        <w:spacing w:after="0"/>
        <w:tabs>
          <w:tab w:leader="none" w:pos="134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willful act or omission by Executive constituting dishonesty, fraud or other malfeasance against the Company;</w:t>
      </w:r>
    </w:p>
    <w:p>
      <w:pPr>
        <w:spacing w:after="0" w:line="168" w:lineRule="exact"/>
        <w:rPr>
          <w:rFonts w:ascii="Times New Roman" w:cs="Times New Roman" w:eastAsia="Times New Roman" w:hAnsi="Times New Roman"/>
          <w:sz w:val="14"/>
          <w:szCs w:val="14"/>
          <w:b w:val="1"/>
          <w:bCs w:val="1"/>
          <w:color w:val="auto"/>
        </w:rPr>
      </w:pPr>
    </w:p>
    <w:p>
      <w:pPr>
        <w:ind w:left="1360" w:hanging="323"/>
        <w:spacing w:after="0"/>
        <w:tabs>
          <w:tab w:leader="none" w:pos="136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Executive’s conviction of a felony under the laws of the United States or any state thereof or any other jurisdiction in which the Company conducts business;</w:t>
      </w:r>
    </w:p>
    <w:p>
      <w:pPr>
        <w:spacing w:after="0" w:line="182" w:lineRule="exact"/>
        <w:rPr>
          <w:rFonts w:ascii="Times New Roman" w:cs="Times New Roman" w:eastAsia="Times New Roman" w:hAnsi="Times New Roman"/>
          <w:sz w:val="14"/>
          <w:szCs w:val="14"/>
          <w:b w:val="1"/>
          <w:bCs w:val="1"/>
          <w:color w:val="auto"/>
        </w:rPr>
      </w:pPr>
    </w:p>
    <w:p>
      <w:pPr>
        <w:ind w:right="20" w:firstLine="1037"/>
        <w:spacing w:after="0" w:line="292" w:lineRule="auto"/>
        <w:tabs>
          <w:tab w:leader="none" w:pos="1397"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Executive’s debarment by the U.S. Food and Drug Administration (FDA) from working in or providing services to any pharmaceutical or biotechnology company under the Generic Drug Enforcement Act of 1992, or other ineligibility under any law or regulation to perform Executive’s duties to the Company; or</w:t>
      </w:r>
    </w:p>
    <w:p>
      <w:pPr>
        <w:spacing w:after="0" w:line="123" w:lineRule="exact"/>
        <w:rPr>
          <w:rFonts w:ascii="Times New Roman" w:cs="Times New Roman" w:eastAsia="Times New Roman" w:hAnsi="Times New Roman"/>
          <w:sz w:val="14"/>
          <w:szCs w:val="14"/>
          <w:b w:val="1"/>
          <w:bCs w:val="1"/>
          <w:color w:val="auto"/>
        </w:rPr>
      </w:pPr>
    </w:p>
    <w:p>
      <w:pPr>
        <w:ind w:left="1360" w:hanging="323"/>
        <w:spacing w:after="0"/>
        <w:tabs>
          <w:tab w:leader="none" w:pos="136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Executive’s breach of any of the material policies of the Company.</w:t>
      </w:r>
    </w:p>
    <w:p>
      <w:pPr>
        <w:spacing w:after="0" w:line="181"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4"/>
          <w:szCs w:val="14"/>
          <w:color w:val="auto"/>
        </w:rPr>
        <w:t>” shall have the meaning set forth in the Equity Incentive Plan.</w:t>
      </w:r>
    </w:p>
    <w:p>
      <w:pPr>
        <w:spacing w:after="0" w:line="27"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means the Internal Revenue Code of 1986, as amended.</w:t>
      </w:r>
    </w:p>
    <w:p>
      <w:pPr>
        <w:spacing w:after="0" w:line="11"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means Geron Corporation or its successors in interest.</w:t>
      </w:r>
    </w:p>
    <w:p>
      <w:pPr>
        <w:sectPr>
          <w:pgSz w:w="11900" w:h="16838" w:orient="portrait"/>
          <w:cols w:equalWidth="0" w:num="1">
            <w:col w:w="10460"/>
          </w:cols>
          <w:pgMar w:left="400" w:top="468" w:right="1039" w:bottom="1440" w:gutter="0" w:footer="0" w:header="0"/>
        </w:sectPr>
      </w:pPr>
    </w:p>
    <w:bookmarkStart w:id="128" w:name="page129"/>
    <w:bookmarkEnd w:id="128"/>
    <w:p>
      <w:pPr>
        <w:ind w:left="5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1.6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Comparable Employment</w:t>
      </w:r>
      <w:r>
        <w:rPr>
          <w:rFonts w:ascii="Times New Roman" w:cs="Times New Roman" w:eastAsia="Times New Roman" w:hAnsi="Times New Roman"/>
          <w:sz w:val="14"/>
          <w:szCs w:val="14"/>
          <w:color w:val="auto"/>
        </w:rPr>
        <w:t>” means employment on terms which provide (a) the same or greater rate of base pay or salary as in effect immediately prior to Executive’s termination,</w:t>
      </w:r>
    </w:p>
    <w:p>
      <w:pPr>
        <w:spacing w:after="0" w:line="27" w:lineRule="exact"/>
        <w:rPr>
          <w:sz w:val="20"/>
          <w:szCs w:val="20"/>
          <w:color w:val="auto"/>
        </w:rPr>
      </w:pPr>
    </w:p>
    <w:p>
      <w:pPr>
        <w:ind w:left="200" w:hanging="194"/>
        <w:spacing w:after="0"/>
        <w:tabs>
          <w:tab w:leader="none" w:pos="2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same, equivalent or higher job title and level of responsibility as Executive had prior to Executive’s termination,</w:t>
      </w:r>
    </w:p>
    <w:p>
      <w:pPr>
        <w:spacing w:after="0" w:line="10" w:lineRule="exact"/>
        <w:rPr>
          <w:rFonts w:ascii="Times New Roman" w:cs="Times New Roman" w:eastAsia="Times New Roman" w:hAnsi="Times New Roman"/>
          <w:sz w:val="14"/>
          <w:szCs w:val="14"/>
          <w:color w:val="auto"/>
        </w:rPr>
      </w:pPr>
    </w:p>
    <w:p>
      <w:pPr>
        <w:jc w:val="both"/>
        <w:ind w:firstLine="521"/>
        <w:spacing w:after="0" w:line="256" w:lineRule="auto"/>
        <w:tabs>
          <w:tab w:leader="none" w:pos="711"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equivalent or higher bonus opportunity as the bonus opportunity for the year preceding the year in which the termination occurs, and (d) a principal work location that is both (i) no more than forty-five (45) miles from Executive’s principal work location immediately prior to Executive’s termination and (ii) no more than thirty (30) miles farther from Executive’s principal weekday residence than was Executive’s principal work location immediately prior to the termination.</w:t>
      </w:r>
    </w:p>
    <w:p>
      <w:pPr>
        <w:ind w:firstLine="515"/>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1.7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Covered Termination</w:t>
      </w:r>
      <w:r>
        <w:rPr>
          <w:rFonts w:ascii="Times New Roman" w:cs="Times New Roman" w:eastAsia="Times New Roman" w:hAnsi="Times New Roman"/>
          <w:sz w:val="14"/>
          <w:szCs w:val="14"/>
          <w:color w:val="auto"/>
        </w:rPr>
        <w:t>” means an Involuntary Termination Without Cause that occurs at any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such termination constitutes a “separation from service” within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meaning of Section 409A of the Code and the regulations promulgated thereunder, including Treasury Regulation Section 1.409A-1(h) (a “</w:t>
      </w:r>
      <w:r>
        <w:rPr>
          <w:rFonts w:ascii="Times New Roman" w:cs="Times New Roman" w:eastAsia="Times New Roman" w:hAnsi="Times New Roman"/>
          <w:sz w:val="14"/>
          <w:szCs w:val="14"/>
          <w:b w:val="1"/>
          <w:bCs w:val="1"/>
          <w:color w:val="auto"/>
        </w:rPr>
        <w:t>Separation from Service</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ind w:firstLine="515"/>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1.8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Involuntary Termination Without Cause</w:t>
      </w:r>
      <w:r>
        <w:rPr>
          <w:rFonts w:ascii="Times New Roman" w:cs="Times New Roman" w:eastAsia="Times New Roman" w:hAnsi="Times New Roman"/>
          <w:sz w:val="14"/>
          <w:szCs w:val="14"/>
          <w:color w:val="auto"/>
        </w:rPr>
        <w:t>” means Executive’s dismissal or discharge other than (i) for Cause, or (ii) after an involuntary or voluntary filing of a petition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chapter 7 or 11 of 11 USC Section 101 et. seq., an assignment for the benefit of creditors, a liquidation of the company’s assets in formal proceeding or otherwise or any other event of insolvency by the Company, in any case, without an offer of Comparable Employment by the Company or a successor, acquirer, or affiliate of the Company. For purposes of this Agreement, the termination of Executive’s employment due to Executive’s death or disability will not constitute a termination for Cause.</w:t>
      </w:r>
    </w:p>
    <w:p>
      <w:pPr>
        <w:spacing w:after="0" w:line="137"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1.9</w:t>
        <w:tab/>
        <w:t>“Inducement Plan</w:t>
      </w:r>
      <w:r>
        <w:rPr>
          <w:rFonts w:ascii="Times New Roman" w:cs="Times New Roman" w:eastAsia="Times New Roman" w:hAnsi="Times New Roman"/>
          <w:sz w:val="14"/>
          <w:szCs w:val="14"/>
          <w:color w:val="auto"/>
        </w:rPr>
        <w:t>” means the Company’s 2018 Inducement Award Plan.</w:t>
      </w:r>
    </w:p>
    <w:p>
      <w:pPr>
        <w:spacing w:after="0" w:line="27" w:lineRule="exact"/>
        <w:rPr>
          <w:sz w:val="20"/>
          <w:szCs w:val="20"/>
          <w:color w:val="auto"/>
        </w:rPr>
      </w:pPr>
    </w:p>
    <w:p>
      <w:pPr>
        <w:ind w:left="52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1.10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Incentive Plan</w:t>
      </w:r>
      <w:r>
        <w:rPr>
          <w:rFonts w:ascii="Times New Roman" w:cs="Times New Roman" w:eastAsia="Times New Roman" w:hAnsi="Times New Roman"/>
          <w:sz w:val="14"/>
          <w:szCs w:val="14"/>
          <w:color w:val="auto"/>
        </w:rPr>
        <w:t>” means the Company’s 2018 Equity Incentive Award Plan.</w:t>
      </w:r>
    </w:p>
    <w:p>
      <w:pPr>
        <w:spacing w:after="0" w:line="18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EMPLOYMENT BY THE COMPANY</w:t>
      </w:r>
    </w:p>
    <w:p>
      <w:pPr>
        <w:spacing w:after="0" w:line="27"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2.1 Position and Duties. </w:t>
      </w:r>
      <w:r>
        <w:rPr>
          <w:rFonts w:ascii="Times New Roman" w:cs="Times New Roman" w:eastAsia="Times New Roman" w:hAnsi="Times New Roman"/>
          <w:sz w:val="14"/>
          <w:szCs w:val="14"/>
          <w:color w:val="auto"/>
        </w:rPr>
        <w:t>Subject to the terms set forth herein, the Company agrees to employ Executive in the position of Executive Vice President and Chief Medical Officer. During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Executive’s employment in this position, Executive will report to the Chief Executive Officer. Executive shall serve in an employee capacity and shall perform such duties as are assigned to Executive by the Chief Executive Officer and, except as otherwise instructed by the Chief Executive Officer, such other duties as are customarily associated with the position of Executive Vice President and Chief Medical Officer. During Executive’s employment with the Company, Executive will devote Executive’s best efforts and substantially all of Executive’s business time and attention (except for vacation periods as set forth herein and reasonable periods of illness or other incapacities permitted by the Company’s general employment policies or as otherwise set forth in this Agreement) to the business of the Company.</w:t>
      </w:r>
    </w:p>
    <w:p>
      <w:pPr>
        <w:spacing w:after="0" w:line="3"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2.2 Employment at Will. </w:t>
      </w:r>
      <w:r>
        <w:rPr>
          <w:rFonts w:ascii="Times New Roman" w:cs="Times New Roman" w:eastAsia="Times New Roman" w:hAnsi="Times New Roman"/>
          <w:sz w:val="14"/>
          <w:szCs w:val="14"/>
          <w:color w:val="auto"/>
        </w:rPr>
        <w:t>Both the Company and Executive acknowledge and agree that Executive’s employment with the Company is “at-will” and not for any specified period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and may be terminated at any time by Executive or the Company, with or without Cause, and with or without prior notice; provided, however, that if Executive’s employment with the Company is terminated under circumstances that constitute a Covered Termination, Executive will be eligible to receive certain severance payments and benefits as set forth in Article IV below.</w:t>
      </w:r>
    </w:p>
    <w:p>
      <w:pPr>
        <w:jc w:val="both"/>
        <w:ind w:firstLine="515"/>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2.3 Employment Policies. </w:t>
      </w:r>
      <w:r>
        <w:rPr>
          <w:rFonts w:ascii="Times New Roman" w:cs="Times New Roman" w:eastAsia="Times New Roman" w:hAnsi="Times New Roman"/>
          <w:sz w:val="14"/>
          <w:szCs w:val="14"/>
          <w:color w:val="auto"/>
        </w:rPr>
        <w:t>The employment relationship between the parties shall also be governed by the general employment policies and practices of the Company, including but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limited to</w:t>
      </w: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54" w:right="319" w:bottom="1440" w:gutter="0" w:footer="0" w:header="0"/>
        </w:sectPr>
      </w:pPr>
    </w:p>
    <w:bookmarkStart w:id="129" w:name="page130"/>
    <w:bookmarkEnd w:id="129"/>
    <w:p>
      <w:pPr>
        <w:jc w:val="both"/>
        <w:ind w:firstLine="515"/>
        <w:spacing w:after="0" w:line="292" w:lineRule="auto"/>
        <w:rPr>
          <w:sz w:val="20"/>
          <w:szCs w:val="20"/>
          <w:color w:val="auto"/>
        </w:rPr>
      </w:pPr>
      <w:r>
        <w:rPr>
          <w:rFonts w:ascii="Times New Roman" w:cs="Times New Roman" w:eastAsia="Times New Roman" w:hAnsi="Times New Roman"/>
          <w:sz w:val="14"/>
          <w:szCs w:val="14"/>
          <w:color w:val="auto"/>
        </w:rPr>
        <w:t>those policies relating to protection of confidential information and assignment of inventions. In the event of a conflict between the terms of this Agreement and the Company’s general employment policies or practices, this Agreement shall control.</w:t>
      </w:r>
    </w:p>
    <w:p>
      <w:pPr>
        <w:spacing w:after="0" w:line="122"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2.4</w:t>
        <w:tab/>
        <w:t xml:space="preserve">Indemnification. </w:t>
      </w:r>
      <w:r>
        <w:rPr>
          <w:rFonts w:ascii="Times New Roman" w:cs="Times New Roman" w:eastAsia="Times New Roman" w:hAnsi="Times New Roman"/>
          <w:sz w:val="14"/>
          <w:szCs w:val="14"/>
          <w:color w:val="auto"/>
        </w:rPr>
        <w:t>The Company shall provide for indemnification of the Executive as set forth in the Indemnification Agreement attached hereto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w:t>
      </w:r>
    </w:p>
    <w:p>
      <w:pPr>
        <w:spacing w:after="0" w:line="20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183" w:lineRule="exact"/>
        <w:rPr>
          <w:sz w:val="20"/>
          <w:szCs w:val="20"/>
          <w:color w:val="auto"/>
        </w:rPr>
      </w:pPr>
    </w:p>
    <w:p>
      <w:pPr>
        <w:jc w:val="both"/>
        <w:ind w:firstLine="515"/>
        <w:spacing w:after="0" w:line="263" w:lineRule="auto"/>
        <w:rPr>
          <w:sz w:val="20"/>
          <w:szCs w:val="20"/>
          <w:color w:val="auto"/>
        </w:rPr>
      </w:pPr>
      <w:r>
        <w:rPr>
          <w:rFonts w:ascii="Times New Roman" w:cs="Times New Roman" w:eastAsia="Times New Roman" w:hAnsi="Times New Roman"/>
          <w:sz w:val="14"/>
          <w:szCs w:val="14"/>
          <w:b w:val="1"/>
          <w:bCs w:val="1"/>
          <w:color w:val="auto"/>
        </w:rPr>
        <w:t>3.1 Base Salary</w:t>
      </w:r>
      <w:r>
        <w:rPr>
          <w:rFonts w:ascii="Times New Roman" w:cs="Times New Roman" w:eastAsia="Times New Roman" w:hAnsi="Times New Roman"/>
          <w:sz w:val="14"/>
          <w:szCs w:val="14"/>
          <w:color w:val="auto"/>
        </w:rPr>
        <w:t>. Executive shall receive for services to be rendered hereunder such annual base salary as is approved by 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Compensation Committee of the Board, payable on the regular payroll dates of the Company, subject to increase in the sole discretion of the Board or Compensation Committee of the Board (the “</w:t>
      </w: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4"/>
          <w:szCs w:val="14"/>
          <w:color w:val="auto"/>
        </w:rPr>
        <w:t>”). As of the Effective Date of this agreement, Executive’s Base Salary is $445,000.</w:t>
      </w:r>
    </w:p>
    <w:p>
      <w:pPr>
        <w:spacing w:after="0" w:line="2" w:lineRule="exact"/>
        <w:rPr>
          <w:sz w:val="20"/>
          <w:szCs w:val="20"/>
          <w:color w:val="auto"/>
        </w:rPr>
      </w:pPr>
    </w:p>
    <w:p>
      <w:pPr>
        <w:jc w:val="both"/>
        <w:ind w:firstLine="515"/>
        <w:spacing w:after="0" w:line="257" w:lineRule="auto"/>
        <w:rPr>
          <w:sz w:val="20"/>
          <w:szCs w:val="20"/>
          <w:color w:val="auto"/>
        </w:rPr>
      </w:pPr>
      <w:r>
        <w:rPr>
          <w:rFonts w:ascii="Times New Roman" w:cs="Times New Roman" w:eastAsia="Times New Roman" w:hAnsi="Times New Roman"/>
          <w:sz w:val="14"/>
          <w:szCs w:val="14"/>
          <w:b w:val="1"/>
          <w:bCs w:val="1"/>
          <w:color w:val="auto"/>
        </w:rPr>
        <w:t>3.2 Bonus</w:t>
      </w:r>
      <w:r>
        <w:rPr>
          <w:rFonts w:ascii="Times New Roman" w:cs="Times New Roman" w:eastAsia="Times New Roman" w:hAnsi="Times New Roman"/>
          <w:sz w:val="14"/>
          <w:szCs w:val="14"/>
          <w:color w:val="auto"/>
        </w:rPr>
        <w:t>. As of the Effective Date of this agreement, Executive shall be eligible to earn, for each fiscal year of the Company ending during Executive’s employment with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annual discretionary cash bonus (an “</w:t>
      </w:r>
      <w:r>
        <w:rPr>
          <w:rFonts w:ascii="Times New Roman" w:cs="Times New Roman" w:eastAsia="Times New Roman" w:hAnsi="Times New Roman"/>
          <w:sz w:val="14"/>
          <w:szCs w:val="14"/>
          <w:b w:val="1"/>
          <w:bCs w:val="1"/>
          <w:color w:val="auto"/>
        </w:rPr>
        <w:t>Annual Bonus</w:t>
      </w:r>
      <w:r>
        <w:rPr>
          <w:rFonts w:ascii="Times New Roman" w:cs="Times New Roman" w:eastAsia="Times New Roman" w:hAnsi="Times New Roman"/>
          <w:sz w:val="14"/>
          <w:szCs w:val="14"/>
          <w:color w:val="auto"/>
        </w:rPr>
        <w:t>”) targeted at forty-five percent (45%) of Executive’s Base Salary. For the avoidance of doubt, for the 2022 performance year, your target bonus will reflect a blended amount using a target bonus percentage of 45% of base wages earned for the portion of the year you serve as Chief Medical Officer and a target bonus percentage of 40% of base wages earned for the portion of the year you served as Vice President, Clinical Development. Your discretionary Annual Bonus will be paid during the standard timing for year-end performance bonuses. If the Company determines, in its reasonable discretion, that Executive has engaged in any misconduct intended to affect the payment of his/her Annual Bonus or has otherwise engaged in any act or omission that would constitute Cause for termination of employment, as defined by Section 1.2 of the Agreement, Executive will automatically and immediately forfeit his/her entire Annual Bonus. If the Annual Bonus has already been paid to Executive, such Annual Bonus will be deemed unearned, and the Company shall have the right to recover the entire amount of the Annual Bonus paid to Executive for the calendar year(s) in which such misconduct or other act or omission constituting Cause occurred. Without limiting the foregoing, any such misconduct or other act or omission constituting Cause will subject Executive to disciplinary action up to and including termination of employment. In addition, any Annual Bonus paid to Executive for the calendar year(s) in which such misconduct or other Cause occurred is subject to recoupment in accordance with The Dodd– Frank Wall Street Reform and Consumer Protection Act and any implementing regulations, any other clawback policy adopted by the Company and any compensation recovery policy otherwise required by applicable laws, regulations, or statutes. Recovery by the Company of an Annual Bonus in accordance with this Section shall not constitute an event giving rise to a right by Executive to voluntarily terminate his/her employment for Cause based on such recovery by the Company, nor shall it constitute “constructive termination”, or any similar term or circumstance under the Agreement or any other plan or agreement with the Company.</w:t>
      </w:r>
    </w:p>
    <w:p>
      <w:pPr>
        <w:spacing w:after="0" w:line="165" w:lineRule="exact"/>
        <w:rPr>
          <w:sz w:val="20"/>
          <w:szCs w:val="20"/>
          <w:color w:val="auto"/>
        </w:rPr>
      </w:pPr>
    </w:p>
    <w:p>
      <w:pPr>
        <w:ind w:left="52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3.3</w:t>
        <w:tab/>
        <w:t>Stock Options</w:t>
      </w:r>
      <w:r>
        <w:rPr>
          <w:rFonts w:ascii="Times New Roman" w:cs="Times New Roman" w:eastAsia="Times New Roman" w:hAnsi="Times New Roman"/>
          <w:sz w:val="14"/>
          <w:szCs w:val="14"/>
          <w:color w:val="auto"/>
        </w:rPr>
        <w:t>. In accordance with the terms approved by the Company’s Board of Directors, on the Effective Date, the Executive shall receive the following options to purchase:</w:t>
      </w:r>
    </w:p>
    <w:p>
      <w:pPr>
        <w:spacing w:after="0" w:line="11" w:lineRule="exact"/>
        <w:rPr>
          <w:sz w:val="20"/>
          <w:szCs w:val="20"/>
          <w:color w:val="auto"/>
        </w:rPr>
      </w:pPr>
    </w:p>
    <w:p>
      <w:pPr>
        <w:jc w:val="both"/>
        <w:ind w:firstLine="6"/>
        <w:spacing w:after="0" w:line="264" w:lineRule="auto"/>
        <w:tabs>
          <w:tab w:leader="none" w:pos="20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one hundred and twenty (120,000) shares of Company common stock (the </w:t>
      </w:r>
      <w:r>
        <w:rPr>
          <w:rFonts w:ascii="Times New Roman" w:cs="Times New Roman" w:eastAsia="Times New Roman" w:hAnsi="Times New Roman"/>
          <w:sz w:val="14"/>
          <w:szCs w:val="14"/>
          <w:b w:val="1"/>
          <w:bCs w:val="1"/>
          <w:color w:val="auto"/>
        </w:rPr>
        <w:t>“Promotion Options”</w:t>
      </w:r>
      <w:r>
        <w:rPr>
          <w:rFonts w:ascii="Times New Roman" w:cs="Times New Roman" w:eastAsia="Times New Roman" w:hAnsi="Times New Roman"/>
          <w:sz w:val="14"/>
          <w:szCs w:val="14"/>
          <w:color w:val="auto"/>
        </w:rPr>
        <w:t xml:space="preserve">), (b) one hundred and eighty thousand (180,000) shares of Company common stock (the </w:t>
      </w:r>
      <w:r>
        <w:rPr>
          <w:rFonts w:ascii="Times New Roman" w:cs="Times New Roman" w:eastAsia="Times New Roman" w:hAnsi="Times New Roman"/>
          <w:sz w:val="14"/>
          <w:szCs w:val="14"/>
          <w:b w:val="1"/>
          <w:bCs w:val="1"/>
          <w:color w:val="auto"/>
        </w:rPr>
        <w:t>“Performance Options 180K”</w:t>
      </w:r>
      <w:r>
        <w:rPr>
          <w:rFonts w:ascii="Times New Roman" w:cs="Times New Roman" w:eastAsia="Times New Roman" w:hAnsi="Times New Roman"/>
          <w:sz w:val="14"/>
          <w:szCs w:val="14"/>
          <w:color w:val="auto"/>
        </w:rPr>
        <w:t>), and (c) two hundred thousand (200,000) shares of the Company common stock (the</w:t>
      </w:r>
      <w:r>
        <w:rPr>
          <w:rFonts w:ascii="Times New Roman" w:cs="Times New Roman" w:eastAsia="Times New Roman" w:hAnsi="Times New Roman"/>
          <w:sz w:val="14"/>
          <w:szCs w:val="14"/>
          <w:b w:val="1"/>
          <w:bCs w:val="1"/>
          <w:color w:val="auto"/>
        </w:rPr>
        <w:t xml:space="preserve"> “Performance Options 200K”</w:t>
      </w:r>
      <w:r>
        <w:rPr>
          <w:rFonts w:ascii="Times New Roman" w:cs="Times New Roman" w:eastAsia="Times New Roman" w:hAnsi="Times New Roman"/>
          <w:sz w:val="14"/>
          <w:szCs w:val="14"/>
          <w:color w:val="auto"/>
        </w:rPr>
        <w:t>). All these stock option grants will have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exercise price for the shares</w:t>
      </w:r>
    </w:p>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349" w:right="319" w:bottom="1440" w:gutter="0" w:footer="0" w:header="0"/>
        </w:sectPr>
      </w:pPr>
    </w:p>
    <w:bookmarkStart w:id="130" w:name="page131"/>
    <w:bookmarkEnd w:id="130"/>
    <w:p>
      <w:pPr>
        <w:jc w:val="both"/>
        <w:ind w:firstLine="515"/>
        <w:spacing w:after="0" w:line="259" w:lineRule="auto"/>
        <w:rPr>
          <w:sz w:val="20"/>
          <w:szCs w:val="20"/>
          <w:color w:val="auto"/>
        </w:rPr>
      </w:pPr>
      <w:r>
        <w:rPr>
          <w:rFonts w:ascii="Times New Roman" w:cs="Times New Roman" w:eastAsia="Times New Roman" w:hAnsi="Times New Roman"/>
          <w:sz w:val="14"/>
          <w:szCs w:val="14"/>
          <w:color w:val="auto"/>
        </w:rPr>
        <w:t>equal to the fair market value of Company common stock, as reported by the Nasdaq Global Select Market, as of close on July 8, 2022. The shares of the Promotion Options shall vest in equal installments on each monthly anniversary of the Effective Date over a period of 48 months. The shares of Performance Options 180K shall vest in full upon written certification by the Compensation Committee of the Board of the achievement of acceptance for review by the United States Food and Drug Administration (FDA) of a New Drug Application (NDA) for the first imetelstat indication. The shares of the Performance Options 200K shall vest in full upon written certification by the Compensation Committee of the Board of the achievement of regulatory approval by the FDA of an NDA for the first imetelstat indication. All stock options will be granted under the Company’s Equity Incentive Plan and shall be subject to and governed by the terms of the Equity Incentive Plan and respective stock option agreements to be entered into between the Company and Executive.</w:t>
      </w:r>
    </w:p>
    <w:p>
      <w:pPr>
        <w:spacing w:after="0" w:line="2" w:lineRule="exact"/>
        <w:rPr>
          <w:sz w:val="20"/>
          <w:szCs w:val="20"/>
          <w:color w:val="auto"/>
        </w:rPr>
      </w:pPr>
    </w:p>
    <w:p>
      <w:pPr>
        <w:jc w:val="both"/>
        <w:ind w:firstLine="515"/>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3.4 Standard Company Benefits; Vacation. </w:t>
      </w:r>
      <w:r>
        <w:rPr>
          <w:rFonts w:ascii="Times New Roman" w:cs="Times New Roman" w:eastAsia="Times New Roman" w:hAnsi="Times New Roman"/>
          <w:sz w:val="14"/>
          <w:szCs w:val="14"/>
          <w:color w:val="auto"/>
        </w:rPr>
        <w:t>Executive shall be entitled to all rights and benefits for which Executive is eligible under the terms and conditions of the Company’s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benefit and compensation plans, practices, policies, and programs, as in effect from time to time, that are provided by the Company to its executive employees generally. Except as specifically provided herein, nothing in this Agreement is construed or interpreted to provide greater rights, participation, coverage, or benefits under such benefit plans or programs provided to executive employees pursuant to the terms and conditions of such benefit plans and programs. Executive will be eligible for vacation accruals in accordance with the Company’s current time off policy.</w:t>
      </w:r>
    </w:p>
    <w:p>
      <w:pPr>
        <w:spacing w:after="0" w:line="16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SEVERANCE BENEFITS AND RELEASE</w:t>
      </w:r>
    </w:p>
    <w:p>
      <w:pPr>
        <w:spacing w:after="0" w:line="183"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4.1</w:t>
        <w:tab/>
        <w:t xml:space="preserve">Severance Benefits. </w:t>
      </w:r>
      <w:r>
        <w:rPr>
          <w:rFonts w:ascii="Times New Roman" w:cs="Times New Roman" w:eastAsia="Times New Roman" w:hAnsi="Times New Roman"/>
          <w:sz w:val="14"/>
          <w:szCs w:val="14"/>
          <w:color w:val="auto"/>
        </w:rPr>
        <w:t>If Executive’s employment terminates due to a Covered Termination after the date of execution of this Agreement, Executive shall receive:</w:t>
      </w:r>
    </w:p>
    <w:p>
      <w:pPr>
        <w:spacing w:after="0" w:line="195" w:lineRule="exact"/>
        <w:rPr>
          <w:sz w:val="20"/>
          <w:szCs w:val="20"/>
          <w:color w:val="auto"/>
        </w:rPr>
      </w:pPr>
    </w:p>
    <w:p>
      <w:pPr>
        <w:jc w:val="both"/>
        <w:ind w:firstLine="521"/>
        <w:spacing w:after="0" w:line="268" w:lineRule="auto"/>
        <w:tabs>
          <w:tab w:leader="none" w:pos="833"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Payment of Accrued Obligations Upon Termination of Employment</w:t>
      </w:r>
      <w:r>
        <w:rPr>
          <w:rFonts w:ascii="Times New Roman" w:cs="Times New Roman" w:eastAsia="Times New Roman" w:hAnsi="Times New Roman"/>
          <w:sz w:val="14"/>
          <w:szCs w:val="14"/>
          <w:color w:val="auto"/>
        </w:rPr>
        <w:t>. Upon a termination of Executive’s employment for any reason at any time following the Effective Date, the Company shall pay to Executive in a single lump-sum cash payment as soon as administratively practicable following the date of termination, the aggregate amount of Executive’s (A) earned but unpaid Base Salary, and (B) accrued but unpaid vacation pay. In addition, Executive shall be promptly paid for incurred but unreimbursed business expenses upon his/her submission of such expenses in accordance with the Company’s expense reimbursement policies. The amounts set forth in this Section 4.1(i) are collectively referred to as the “</w:t>
      </w:r>
      <w:r>
        <w:rPr>
          <w:rFonts w:ascii="Times New Roman" w:cs="Times New Roman" w:eastAsia="Times New Roman" w:hAnsi="Times New Roman"/>
          <w:sz w:val="14"/>
          <w:szCs w:val="14"/>
          <w:b w:val="1"/>
          <w:bCs w:val="1"/>
          <w:color w:val="auto"/>
        </w:rPr>
        <w:t>Accrued Obligations</w:t>
      </w:r>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b w:val="1"/>
          <w:bCs w:val="1"/>
          <w:color w:val="auto"/>
        </w:rPr>
      </w:pPr>
    </w:p>
    <w:p>
      <w:pPr>
        <w:ind w:left="860" w:hanging="339"/>
        <w:spacing w:after="0"/>
        <w:tabs>
          <w:tab w:leader="none" w:pos="86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Severance Upon a Covered Termination</w:t>
      </w:r>
      <w:r>
        <w:rPr>
          <w:rFonts w:ascii="Times New Roman" w:cs="Times New Roman" w:eastAsia="Times New Roman" w:hAnsi="Times New Roman"/>
          <w:sz w:val="14"/>
          <w:szCs w:val="14"/>
          <w:color w:val="auto"/>
        </w:rPr>
        <w:t>. If Executive’s employment terminates due to a Covered Termination at any time after the Effective Date, then, in addition to the Accrued</w:t>
      </w:r>
    </w:p>
    <w:p>
      <w:pPr>
        <w:spacing w:after="0" w:line="24"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Obligations:</w:t>
      </w:r>
    </w:p>
    <w:p>
      <w:pPr>
        <w:spacing w:after="0" w:line="169" w:lineRule="exact"/>
        <w:rPr>
          <w:sz w:val="20"/>
          <w:szCs w:val="20"/>
          <w:color w:val="auto"/>
        </w:rPr>
      </w:pPr>
    </w:p>
    <w:p>
      <w:pPr>
        <w:ind w:firstLine="521"/>
        <w:spacing w:after="0" w:line="266" w:lineRule="auto"/>
        <w:tabs>
          <w:tab w:leader="none" w:pos="868" w:val="left"/>
        </w:tabs>
        <w:numPr>
          <w:ilvl w:val="0"/>
          <w:numId w:val="1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Executive shall be paid target Annual Bonus for the fiscal year in which the termination occurs, prorated for the length of service provided during the calendar year through the termination date, payable in a single lump-sum payment within thirty (30) days following the date of termination;</w:t>
      </w:r>
    </w:p>
    <w:p>
      <w:pPr>
        <w:ind w:firstLine="521"/>
        <w:spacing w:after="0" w:line="289" w:lineRule="auto"/>
        <w:tabs>
          <w:tab w:leader="none" w:pos="855" w:val="left"/>
        </w:tabs>
        <w:numPr>
          <w:ilvl w:val="0"/>
          <w:numId w:val="1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Executive shall be paid an aggregate amount equal to twelve (12) months of Executive’s Base Salary in effect on the date of termination, payable to Executive in a single lump-sum amount on the sixtieth (60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day following the date of termination;</w:t>
      </w: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349" w:right="319" w:bottom="1440" w:gutter="0" w:footer="0" w:header="0"/>
        </w:sectPr>
      </w:pPr>
    </w:p>
    <w:bookmarkStart w:id="131" w:name="page132"/>
    <w:bookmarkEnd w:id="131"/>
    <w:p>
      <w:pPr>
        <w:jc w:val="both"/>
        <w:ind w:firstLine="521"/>
        <w:spacing w:after="0" w:line="261" w:lineRule="auto"/>
        <w:tabs>
          <w:tab w:leader="none" w:pos="839" w:val="left"/>
        </w:tabs>
        <w:numPr>
          <w:ilvl w:val="0"/>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Executive and Executive’s covered dependents will be eligible to continue their health care benefit coverage as permitted by COBRA (Internal Revenue Code Section 4980B) at the Company’s expense for the lesser of (i) twelve (12) months following the Covered Termination, or (ii) until the Executive and/or Executive’s covered dependents are no longer eligible for COBRA (for clarification and as an example, in the event Executive is covered by another health plan, etc.). Thereafter, Executive and Executive’s covered dependents shall be entitled to maintain coverage for Executive and Executive’s eligible dependents at Executive’s own expense for the balance of the period that Executive is entitled to coverage under COBRA; and</w:t>
      </w:r>
    </w:p>
    <w:p>
      <w:pPr>
        <w:jc w:val="both"/>
        <w:ind w:firstLine="521"/>
        <w:spacing w:after="0"/>
        <w:tabs>
          <w:tab w:leader="none" w:pos="909" w:val="left"/>
        </w:tabs>
        <w:numPr>
          <w:ilvl w:val="0"/>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Promotion Options and Performance Options, along with any subsequent options or other exercisable equity interest in the Company held by Executive as of the date of termination shall remain outstanding and exercisable through the earlier of (i)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anniversary of the date of termination or (ii) the original expiration date of the option or other equity interest.</w:t>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avoidance of doubt, all amounts payable under this Agreement shall be subject to applicable federal, state, local or foreign tax withholding requirements.</w:t>
      </w:r>
    </w:p>
    <w:p>
      <w:pPr>
        <w:spacing w:after="0" w:line="25"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4.2 Parachute Payments. </w:t>
      </w:r>
      <w:r>
        <w:rPr>
          <w:rFonts w:ascii="Times New Roman" w:cs="Times New Roman" w:eastAsia="Times New Roman" w:hAnsi="Times New Roman"/>
          <w:sz w:val="14"/>
          <w:szCs w:val="14"/>
          <w:color w:val="auto"/>
        </w:rPr>
        <w:t>If any payment or benefit Executive would receive in connection with a Change in Control from the Company or otherwise (“</w:t>
      </w:r>
      <w:r>
        <w:rPr>
          <w:rFonts w:ascii="Times New Roman" w:cs="Times New Roman" w:eastAsia="Times New Roman" w:hAnsi="Times New Roman"/>
          <w:sz w:val="14"/>
          <w:szCs w:val="14"/>
          <w:b w:val="1"/>
          <w:bCs w:val="1"/>
          <w:color w:val="auto"/>
        </w:rPr>
        <w:t>Payment</w:t>
      </w:r>
      <w:r>
        <w:rPr>
          <w:rFonts w:ascii="Times New Roman" w:cs="Times New Roman" w:eastAsia="Times New Roman" w:hAnsi="Times New Roman"/>
          <w:sz w:val="14"/>
          <w:szCs w:val="14"/>
          <w:color w:val="auto"/>
        </w:rPr>
        <w:t>”) would (i) constitute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4"/>
          <w:szCs w:val="14"/>
          <w:b w:val="1"/>
          <w:bCs w:val="1"/>
          <w:color w:val="auto"/>
        </w:rPr>
        <w:t>Excise Tax</w:t>
      </w:r>
      <w:r>
        <w:rPr>
          <w:rFonts w:ascii="Times New Roman" w:cs="Times New Roman" w:eastAsia="Times New Roman" w:hAnsi="Times New Roman"/>
          <w:sz w:val="14"/>
          <w:szCs w:val="14"/>
          <w:color w:val="auto"/>
        </w:rPr>
        <w:t>”), then such Payment shall be reduced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unless Executive elects in writing a different order (provided, however, that such election shall be subject to Company approval): reduction of cash payments; cancellation of accelerated vesting of stock awards; reduction of employee benefits. In the event that acceleration of vesting of stock award compensation is to be reduced, such acceleration of vesting shall be cancelled in the reverse order of the date of grant of Executive’s stock awards unless Executive elects in writing a different order for cancellation.</w:t>
      </w:r>
    </w:p>
    <w:p>
      <w:pPr>
        <w:spacing w:after="0" w:line="1" w:lineRule="exact"/>
        <w:rPr>
          <w:sz w:val="20"/>
          <w:szCs w:val="20"/>
          <w:color w:val="auto"/>
        </w:rPr>
      </w:pPr>
    </w:p>
    <w:p>
      <w:pPr>
        <w:jc w:val="both"/>
        <w:ind w:firstLine="515"/>
        <w:spacing w:after="0" w:line="259" w:lineRule="auto"/>
        <w:rPr>
          <w:sz w:val="20"/>
          <w:szCs w:val="20"/>
          <w:color w:val="auto"/>
        </w:rPr>
      </w:pPr>
      <w:r>
        <w:rPr>
          <w:rFonts w:ascii="Times New Roman" w:cs="Times New Roman" w:eastAsia="Times New Roman" w:hAnsi="Times New Roman"/>
          <w:sz w:val="14"/>
          <w:szCs w:val="14"/>
          <w:color w:val="auto"/>
        </w:rPr>
        <w:t>The Company for general audit purposes shall engage a nationally recognized public accounting firm (the “</w:t>
      </w:r>
      <w:r>
        <w:rPr>
          <w:rFonts w:ascii="Times New Roman" w:cs="Times New Roman" w:eastAsia="Times New Roman" w:hAnsi="Times New Roman"/>
          <w:sz w:val="14"/>
          <w:szCs w:val="14"/>
          <w:b w:val="1"/>
          <w:bCs w:val="1"/>
          <w:color w:val="auto"/>
        </w:rPr>
        <w:t>Accounting Firm</w:t>
      </w:r>
      <w:r>
        <w:rPr>
          <w:rFonts w:ascii="Times New Roman" w:cs="Times New Roman" w:eastAsia="Times New Roman" w:hAnsi="Times New Roman"/>
          <w:sz w:val="14"/>
          <w:szCs w:val="14"/>
          <w:color w:val="auto"/>
        </w:rPr>
        <w:t>”) to perform the foregoing calculations. The Company shall bear all expenses with respect to the determinations by such accounting firm required to be made hereunder. The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349" w:right="319" w:bottom="1440" w:gutter="0" w:footer="0" w:header="0"/>
        </w:sectPr>
      </w:pPr>
    </w:p>
    <w:bookmarkStart w:id="132" w:name="page133"/>
    <w:bookmarkEnd w:id="132"/>
    <w:p>
      <w:pPr>
        <w:jc w:val="both"/>
        <w:ind w:firstLine="515"/>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4.3 Release. </w:t>
      </w:r>
      <w:r>
        <w:rPr>
          <w:rFonts w:ascii="Times New Roman" w:cs="Times New Roman" w:eastAsia="Times New Roman" w:hAnsi="Times New Roman"/>
          <w:sz w:val="14"/>
          <w:szCs w:val="14"/>
          <w:color w:val="auto"/>
        </w:rPr>
        <w:t>Notwithstanding the foregoing, Executive’s right to receive the amounts provided for in Sections 4.1(ii) and 4.2, and the Change of Control acceleration in any stock option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shall be subject to and conditioned upon Executive’s execution and non-revocation of a release of claims in substantially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Release</w:t>
      </w:r>
      <w:r>
        <w:rPr>
          <w:rFonts w:ascii="Times New Roman" w:cs="Times New Roman" w:eastAsia="Times New Roman" w:hAnsi="Times New Roman"/>
          <w:sz w:val="14"/>
          <w:szCs w:val="14"/>
          <w:color w:val="auto"/>
        </w:rPr>
        <w:t>”) (as such form may be modified to take into account changes in the law) within fifty (50) days following the termination date. Such Release shall specifically relate to all of Executive’s rights and claims in existence at the time of such execution and shall confirm Executive’s obligations under the Proprietary Information Agreement (as defined below). It is understood that Executive has a certain period to consider whether to execute such Release, as set forth in the Release, and Executive may revoke such Release within seven (7) business days after execution. In the event Executive does not execute such Release within the applicable period, or if Executive revokes such Release within the subsequent seven (7) business day period, none of the aforesaid benefits set forth in Sections 4.1(ii), 4.2, and the Change of Control acceleration in any stock option agreement shall be payable to Executive under this Agreement and this Agreement shall be null and void.</w:t>
      </w:r>
    </w:p>
    <w:p>
      <w:pPr>
        <w:spacing w:after="0" w:line="2"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4.4 Section 409A. </w:t>
      </w:r>
      <w:r>
        <w:rPr>
          <w:rFonts w:ascii="Times New Roman" w:cs="Times New Roman" w:eastAsia="Times New Roman" w:hAnsi="Times New Roman"/>
          <w:sz w:val="14"/>
          <w:szCs w:val="14"/>
          <w:color w:val="auto"/>
        </w:rPr>
        <w:t>Notwithstanding any provision to the contrary in this Agreement, if Executive is deemed by the Company at the time of the Separation from Service to be a “specified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4.4 shall be paid in a lump sum to Executive (or Executive’s estate or beneficiaries), and any remaining payments due under the Agreement shall be paid as otherwise provided herein. For purposes of Section 409A of the Code, Executive’s right to receive the payments of compensation pursuant to the Agreement shall be treated as a right to receive a series of separate payments and accordingly, each payment shall at all times be considered a separate and distinct payment.</w:t>
      </w:r>
    </w:p>
    <w:p>
      <w:pPr>
        <w:spacing w:after="0" w:line="1" w:lineRule="exact"/>
        <w:rPr>
          <w:sz w:val="20"/>
          <w:szCs w:val="20"/>
          <w:color w:val="auto"/>
        </w:rPr>
      </w:pPr>
    </w:p>
    <w:p>
      <w:pPr>
        <w:jc w:val="both"/>
        <w:ind w:firstLine="515"/>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4.5 Mitigation. </w:t>
      </w:r>
      <w:r>
        <w:rPr>
          <w:rFonts w:ascii="Times New Roman" w:cs="Times New Roman" w:eastAsia="Times New Roman" w:hAnsi="Times New Roman"/>
          <w:sz w:val="14"/>
          <w:szCs w:val="14"/>
          <w:color w:val="auto"/>
        </w:rPr>
        <w:t>Executive shall not be required to mitigate damages or the amount of any payment provided under this Agreement by seeking other employment or otherwise, nor shall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amount of any payment provided for under this Agreement be reduced by any compensation earned by Executive as a result of employment by another employer or by any retirement benefits received by Executive after the date of the Covered Termination, or otherwise.</w:t>
      </w:r>
    </w:p>
    <w:p>
      <w:pPr>
        <w:spacing w:after="0" w:line="16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PROPRIETARY INFORMATION OBLIGATIONS</w:t>
      </w:r>
    </w:p>
    <w:p>
      <w:pPr>
        <w:spacing w:after="0" w:line="27" w:lineRule="exact"/>
        <w:rPr>
          <w:sz w:val="20"/>
          <w:szCs w:val="20"/>
          <w:color w:val="auto"/>
        </w:rPr>
      </w:pPr>
    </w:p>
    <w:p>
      <w:pPr>
        <w:jc w:val="both"/>
        <w:ind w:firstLine="515"/>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5.1 Agreement. </w:t>
      </w:r>
      <w:r>
        <w:rPr>
          <w:rFonts w:ascii="Times New Roman" w:cs="Times New Roman" w:eastAsia="Times New Roman" w:hAnsi="Times New Roman"/>
          <w:sz w:val="14"/>
          <w:szCs w:val="14"/>
          <w:color w:val="auto"/>
        </w:rPr>
        <w:t>Executive agrees to continue to abide by the Proprietary Information and Inventions Agreement (the “Proprietary Information and Inventions Agreement”) which was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completed at Executive’s original date of hire.</w:t>
      </w:r>
    </w:p>
    <w:p>
      <w:pPr>
        <w:jc w:val="both"/>
        <w:ind w:firstLine="515"/>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5.2 Remedies. </w:t>
      </w:r>
      <w:r>
        <w:rPr>
          <w:rFonts w:ascii="Times New Roman" w:cs="Times New Roman" w:eastAsia="Times New Roman" w:hAnsi="Times New Roman"/>
          <w:sz w:val="14"/>
          <w:szCs w:val="14"/>
          <w:color w:val="auto"/>
        </w:rPr>
        <w:t>Executive’s duties under the Proprietary Information and Inventions Agreement shall survive termination of Executive’s employment with the Company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termination of this Agreement. Executive acknowledges that a remedy at law for any breach or threatened breach by Executive of the provisions of the Proprietary Information and Inventions Agreement would be inadequate, and Executive therefore agrees that the Company shall be entitled to injunctive relief in case of any such breach or threatened breach.</w:t>
      </w:r>
    </w:p>
    <w:p>
      <w:pPr>
        <w:spacing w:after="0" w:line="3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347" w:right="319" w:bottom="1440" w:gutter="0" w:footer="0" w:header="0"/>
        </w:sectPr>
      </w:pPr>
    </w:p>
    <w:bookmarkStart w:id="133" w:name="page134"/>
    <w:bookmarkEnd w:id="133"/>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OUTSIDE ACTIVITIES</w:t>
      </w:r>
    </w:p>
    <w:p>
      <w:pPr>
        <w:spacing w:after="0" w:line="27" w:lineRule="exact"/>
        <w:rPr>
          <w:sz w:val="20"/>
          <w:szCs w:val="20"/>
          <w:color w:val="auto"/>
        </w:rPr>
      </w:pPr>
    </w:p>
    <w:p>
      <w:pPr>
        <w:jc w:val="both"/>
        <w:ind w:firstLine="51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6.1 No Other Employment. </w:t>
      </w:r>
      <w:r>
        <w:rPr>
          <w:rFonts w:ascii="Times New Roman" w:cs="Times New Roman" w:eastAsia="Times New Roman" w:hAnsi="Times New Roman"/>
          <w:sz w:val="14"/>
          <w:szCs w:val="14"/>
          <w:color w:val="auto"/>
        </w:rPr>
        <w:t>Except with the prior written consent of the Board, Executive shall not during the term of Executive’s employment with the Company, undertake or engage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any other employment, occupation, or business enterprise. Notwithstanding the foregoing, during the term of Executive’s employment with the Company, Executive may (a) undertake or engage in any other employment, occupation or business enterprise in which Executive is a passive investor, and/or (b) engage in civic and not-for-profit activities, in each case, so long as such activities do not materially interfere with the performance of Executive’s duties hereunder.</w:t>
      </w:r>
    </w:p>
    <w:p>
      <w:pPr>
        <w:jc w:val="both"/>
        <w:ind w:firstLine="51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6.2 No Conflicting Business Interests. </w:t>
      </w:r>
      <w:r>
        <w:rPr>
          <w:rFonts w:ascii="Times New Roman" w:cs="Times New Roman" w:eastAsia="Times New Roman" w:hAnsi="Times New Roman"/>
          <w:sz w:val="14"/>
          <w:szCs w:val="14"/>
          <w:color w:val="auto"/>
        </w:rPr>
        <w:t>During the term of Executive’s employment by the Company, except on behalf of the Company, Executive shall not directly or indirectly,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whether as an officer, director, stockholder, partner, proprietor, associate, representative, consultant, or in any capacity whatsoever engage in, become financially interested in, be employed by, or have any business connection with any other person, corporation, firm, partnership, or other entity whatsoever which were known by Executive to compete directly with the Company, throughout the world, in any line of business engaged in (or planned to be engaged in) by the Company;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anything above to the contrary notwithstanding, Executive may own, as a passive investor, securities of any competitor corporation, so long as Executive’s direct holdings in any one such corporation shall not in the aggregate constitute more than 1% of the voting stock of such corporation.</w:t>
      </w:r>
    </w:p>
    <w:p>
      <w:pPr>
        <w:spacing w:after="0" w:line="33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NONINTERFERENCE</w:t>
      </w:r>
    </w:p>
    <w:p>
      <w:pPr>
        <w:spacing w:after="0" w:line="195" w:lineRule="exact"/>
        <w:rPr>
          <w:sz w:val="20"/>
          <w:szCs w:val="20"/>
          <w:color w:val="auto"/>
        </w:rPr>
      </w:pPr>
    </w:p>
    <w:p>
      <w:pPr>
        <w:jc w:val="both"/>
        <w:ind w:firstLine="515"/>
        <w:spacing w:after="0" w:line="268" w:lineRule="auto"/>
        <w:rPr>
          <w:sz w:val="20"/>
          <w:szCs w:val="20"/>
          <w:color w:val="auto"/>
        </w:rPr>
      </w:pPr>
      <w:r>
        <w:rPr>
          <w:rFonts w:ascii="Times New Roman" w:cs="Times New Roman" w:eastAsia="Times New Roman" w:hAnsi="Times New Roman"/>
          <w:sz w:val="14"/>
          <w:szCs w:val="14"/>
          <w:color w:val="auto"/>
        </w:rPr>
        <w:t>While employed by the Company, and for one (1) year immediately following the date on which Executive terminates employment or otherwise ceases providing services to the Company, Executive agrees not to interfere with the business of the Company by soliciting or attempting to solicit any employee of the Company to terminate such employee’s employment in order to become an employee, consultant, or independent contractor to or for any pharmaceutical or biotechnology competitor of the Company. Executive’s duties under this Article VII shall survive termination of Executive’s employment with the Company and the termination of this Agreement.</w:t>
      </w:r>
    </w:p>
    <w:p>
      <w:pPr>
        <w:spacing w:after="0" w:line="1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DEBARMENT</w:t>
      </w:r>
    </w:p>
    <w:p>
      <w:pPr>
        <w:spacing w:after="0" w:line="217"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4"/>
          <w:szCs w:val="14"/>
          <w:color w:val="auto"/>
        </w:rPr>
        <w:t>You certify that you have never been: (a) debarred by any relevant authorities, pursuant to any applicable law, including, but not limited to, Section 306(a) and (b) of the US Federal Food, Drug, and Cosmetic Act; (b) convicted of any of the felonies identified among the Exclusion Authorities listed on the</w:t>
      </w:r>
    </w:p>
    <w:p>
      <w:pPr>
        <w:spacing w:after="0" w:line="1" w:lineRule="exact"/>
        <w:rPr>
          <w:sz w:val="20"/>
          <w:szCs w:val="20"/>
          <w:color w:val="auto"/>
        </w:rPr>
      </w:pPr>
    </w:p>
    <w:p>
      <w:pPr>
        <w:jc w:val="both"/>
        <w:ind w:firstLine="515"/>
        <w:spacing w:after="0" w:line="264" w:lineRule="auto"/>
        <w:rPr>
          <w:sz w:val="20"/>
          <w:szCs w:val="20"/>
          <w:color w:val="auto"/>
        </w:rPr>
      </w:pPr>
      <w:r>
        <w:rPr>
          <w:rFonts w:ascii="Times New Roman" w:cs="Times New Roman" w:eastAsia="Times New Roman" w:hAnsi="Times New Roman"/>
          <w:sz w:val="14"/>
          <w:szCs w:val="14"/>
          <w:color w:val="auto"/>
        </w:rPr>
        <w:t>U.S. Department of Health and Human Services (HHS) Office of Inspector General website; or (c) listed as being suspended, debarred, or excluded, or otherwise ineligible to participate in Federal procurement or non-procurement programs, including, but not limited to, being listed on the List of Excluded Individuals/Entities (LEIE) database on the HHS Office of Inspector General website. If you become suspended, debarred, or excluded pursuant to any of the foregoing, you must notify the Company immediately in writing.</w:t>
      </w:r>
    </w:p>
    <w:p>
      <w:pPr>
        <w:spacing w:after="0" w:line="22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326" w:right="319" w:bottom="1440" w:gutter="0" w:footer="0" w:header="0"/>
        </w:sectPr>
      </w:pPr>
    </w:p>
    <w:bookmarkStart w:id="134" w:name="page135"/>
    <w:bookmarkEnd w:id="134"/>
    <w:p>
      <w:pPr>
        <w:spacing w:after="0" w:line="101" w:lineRule="exact"/>
        <w:rPr>
          <w:sz w:val="20"/>
          <w:szCs w:val="20"/>
          <w:color w:val="auto"/>
        </w:rPr>
      </w:pPr>
    </w:p>
    <w:p>
      <w:pPr>
        <w:jc w:val="both"/>
        <w:ind w:firstLine="515"/>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9.1 Notices. </w:t>
      </w:r>
      <w:r>
        <w:rPr>
          <w:rFonts w:ascii="Times New Roman" w:cs="Times New Roman" w:eastAsia="Times New Roman" w:hAnsi="Times New Roman"/>
          <w:sz w:val="14"/>
          <w:szCs w:val="14"/>
          <w:color w:val="auto"/>
        </w:rPr>
        <w:t>Any notices provided hereunder must be in writing and shall be deemed effective upon the earlier of personal delivery (including personal delivery by telex) or the third day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after mailing by first class mail, to the Company at its primary office location and to Executive at Executive’s address as listed on the Company payroll.</w:t>
      </w:r>
    </w:p>
    <w:p>
      <w:pPr>
        <w:spacing w:after="0" w:line="1"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9.2 Section 409A. </w:t>
      </w:r>
      <w:r>
        <w:rPr>
          <w:rFonts w:ascii="Times New Roman" w:cs="Times New Roman" w:eastAsia="Times New Roman" w:hAnsi="Times New Roman"/>
          <w:sz w:val="14"/>
          <w:szCs w:val="14"/>
          <w:color w:val="auto"/>
        </w:rPr>
        <w:t>To the extend applicable, this Agreement shall be interpreted in accordance with Section 409A of the Code and Department of Treasury regulations and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interpretative guidance issued thereunder, including without limitation any such regulations or other such guidance that may be issued after the Commencement Date (“</w:t>
      </w:r>
      <w:r>
        <w:rPr>
          <w:rFonts w:ascii="Times New Roman" w:cs="Times New Roman" w:eastAsia="Times New Roman" w:hAnsi="Times New Roman"/>
          <w:sz w:val="14"/>
          <w:szCs w:val="14"/>
          <w:b w:val="1"/>
          <w:bCs w:val="1"/>
          <w:color w:val="auto"/>
        </w:rPr>
        <w:t>Section 409A</w:t>
      </w:r>
      <w:r>
        <w:rPr>
          <w:rFonts w:ascii="Times New Roman" w:cs="Times New Roman" w:eastAsia="Times New Roman" w:hAnsi="Times New Roman"/>
          <w:sz w:val="14"/>
          <w:szCs w:val="14"/>
          <w:color w:val="auto"/>
        </w:rPr>
        <w:t>”). Notwithstanding any provision of this Agreement to the contrary, in the event that following the Commencement Date, the Company determines in good faith that any compensation or benefits payable under this Agreement may not be either exempt from or compliant with Section 409A, the Company may adopt such amendments to this Agreement or adopt other policies or procedures (including amendments, policies and procedures with retroactive effect), or take any other commercially reasonable actions necessary or appropriate to preserve the intended tax treatment of the compensation and benefits payable hereunder, including without limitation actions intended to (i) exempt the compensation and benefits payable under this Agreement from Section 409A, and/or</w:t>
      </w:r>
    </w:p>
    <w:p>
      <w:pPr>
        <w:spacing w:after="0" w:line="1" w:lineRule="exact"/>
        <w:rPr>
          <w:sz w:val="20"/>
          <w:szCs w:val="20"/>
          <w:color w:val="auto"/>
        </w:rPr>
      </w:pPr>
    </w:p>
    <w:p>
      <w:pPr>
        <w:ind w:firstLine="6"/>
        <w:spacing w:after="0" w:line="256" w:lineRule="auto"/>
        <w:tabs>
          <w:tab w:leader="none" w:pos="214"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requirements of Section 409A, provided, that this Section 8.2 does not, and shall not be construed so as to, create any obligation on the part of the Company to adopt any such amendments, policies or procedures or to take any other such actions or to create any liability on the part of the Company for any failure to do so.</w:t>
      </w:r>
    </w:p>
    <w:p>
      <w:pPr>
        <w:jc w:val="both"/>
        <w:ind w:firstLine="515"/>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9.3 Severability. </w:t>
      </w:r>
      <w:r>
        <w:rPr>
          <w:rFonts w:ascii="Times New Roman" w:cs="Times New Roman" w:eastAsia="Times New Roman" w:hAnsi="Times New Roman"/>
          <w:sz w:val="14"/>
          <w:szCs w:val="14"/>
          <w:color w:val="auto"/>
        </w:rPr>
        <w:t>Whenever possible, each provision of this Agreement will be interpreted in such manner as to be effective and valid under applicable law, but if any provision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ind w:firstLine="515"/>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9.4 Waiver. </w:t>
      </w:r>
      <w:r>
        <w:rPr>
          <w:rFonts w:ascii="Times New Roman" w:cs="Times New Roman" w:eastAsia="Times New Roman" w:hAnsi="Times New Roman"/>
          <w:sz w:val="14"/>
          <w:szCs w:val="14"/>
          <w:color w:val="auto"/>
        </w:rPr>
        <w:t>If either party should waive any breach of any provisions of this Agreement, they shall not thereby be deemed to have waived any preceding or succeeding breach of the same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any other provision of this Agreement.</w:t>
      </w:r>
    </w:p>
    <w:p>
      <w:pPr>
        <w:jc w:val="both"/>
        <w:ind w:firstLine="515"/>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9.5 Complete Agreement. </w:t>
      </w:r>
      <w:r>
        <w:rPr>
          <w:rFonts w:ascii="Times New Roman" w:cs="Times New Roman" w:eastAsia="Times New Roman" w:hAnsi="Times New Roman"/>
          <w:sz w:val="14"/>
          <w:szCs w:val="14"/>
          <w:color w:val="auto"/>
        </w:rPr>
        <w:t>This Agreement and Exhibits A, B, and C hereto constitute the entire agreement between Executive and the Company and are the complete, final,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exclusive embodiment of their agreement with regard to this subject matter (except for the Equity Incentive Plan and the Inducement Plan, and any successors thereto). As of the Effective Date, this Agreement supersedes any prior agreement between Executive and the Company or any predecessor employer in its entirety Executive and the Company acknowledge and agree that this Agreement is entered into without reliance on any promise or representation other than those expressly contained herein or therein and cannot be modified or amended except in a writing signed by a duly authorized officer of the Company.</w:t>
      </w:r>
    </w:p>
    <w:p>
      <w:pPr>
        <w:jc w:val="both"/>
        <w:ind w:firstLine="515"/>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9.6 Counterparts and Electronic Signatures. </w:t>
      </w:r>
      <w:r>
        <w:rPr>
          <w:rFonts w:ascii="Times New Roman" w:cs="Times New Roman" w:eastAsia="Times New Roman" w:hAnsi="Times New Roman"/>
          <w:sz w:val="14"/>
          <w:szCs w:val="14"/>
          <w:color w:val="auto"/>
        </w:rPr>
        <w:t>This Agreement may be executed in separate counterparts, any one of which need not contain signatures of more than one party, but all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taken together will constitute one and the same Agreement. The parties agree that execution of this Agreement by industry standard electronic signature software and/or by exchanging PDF signatures shall have the same legal force and effect as the exchange of original signatures, and that in any proceeding arising under or relating to this Agreement, each party hereby waives any right to raise any defense or waiver based</w:t>
      </w: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440" w:right="319" w:bottom="1440" w:gutter="0" w:footer="0" w:header="0"/>
        </w:sectPr>
      </w:pPr>
    </w:p>
    <w:bookmarkStart w:id="135" w:name="page136"/>
    <w:bookmarkEnd w:id="135"/>
    <w:p>
      <w:pPr>
        <w:ind w:left="520"/>
        <w:spacing w:after="0"/>
        <w:rPr>
          <w:sz w:val="20"/>
          <w:szCs w:val="20"/>
          <w:color w:val="auto"/>
        </w:rPr>
      </w:pPr>
      <w:r>
        <w:rPr>
          <w:rFonts w:ascii="Times New Roman" w:cs="Times New Roman" w:eastAsia="Times New Roman" w:hAnsi="Times New Roman"/>
          <w:sz w:val="14"/>
          <w:szCs w:val="14"/>
          <w:color w:val="auto"/>
        </w:rPr>
        <w:t>upon execution of this Agreement by means of such electronic signatures or maintenance of the executed agreement electronically.</w:t>
      </w:r>
    </w:p>
    <w:p>
      <w:pPr>
        <w:spacing w:after="0" w:line="202" w:lineRule="exact"/>
        <w:rPr>
          <w:sz w:val="20"/>
          <w:szCs w:val="20"/>
          <w:color w:val="auto"/>
        </w:rPr>
      </w:pPr>
    </w:p>
    <w:p>
      <w:pPr>
        <w:ind w:left="5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9.7</w:t>
        <w:tab/>
        <w:t xml:space="preserve">Headings. </w:t>
      </w:r>
      <w:r>
        <w:rPr>
          <w:rFonts w:ascii="Times New Roman" w:cs="Times New Roman" w:eastAsia="Times New Roman" w:hAnsi="Times New Roman"/>
          <w:sz w:val="14"/>
          <w:szCs w:val="14"/>
          <w:color w:val="auto"/>
        </w:rPr>
        <w:t>The headings of the sections hereof are inserted for convenience only and shall not be deemed to constitute a part hereof nor to affect the meaning thereof.</w:t>
      </w:r>
    </w:p>
    <w:p>
      <w:pPr>
        <w:spacing w:after="0" w:line="183" w:lineRule="exact"/>
        <w:rPr>
          <w:sz w:val="20"/>
          <w:szCs w:val="20"/>
          <w:color w:val="auto"/>
        </w:rPr>
      </w:pPr>
    </w:p>
    <w:p>
      <w:pPr>
        <w:jc w:val="both"/>
        <w:ind w:firstLine="515"/>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9.8 Successors and Assigns. </w:t>
      </w:r>
      <w:r>
        <w:rPr>
          <w:rFonts w:ascii="Times New Roman" w:cs="Times New Roman" w:eastAsia="Times New Roman" w:hAnsi="Times New Roman"/>
          <w:sz w:val="14"/>
          <w:szCs w:val="14"/>
          <w:color w:val="auto"/>
        </w:rPr>
        <w:t>This Agreement is intended to bind and inure to the benefit of and be enforceable by Executive and the Company, and their respective successors, assigns,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heirs, executors, and administrators, except that Executive may not assign any of Executive’s duties hereunder and Executive may not assign any of Executive’s rights hereunder, without the written consent of the Company, which shall not be withheld unreasonably.</w:t>
      </w:r>
    </w:p>
    <w:p>
      <w:pPr>
        <w:spacing w:after="0" w:line="2" w:lineRule="exact"/>
        <w:rPr>
          <w:sz w:val="20"/>
          <w:szCs w:val="20"/>
          <w:color w:val="auto"/>
        </w:rPr>
      </w:pPr>
    </w:p>
    <w:p>
      <w:pPr>
        <w:jc w:val="both"/>
        <w:ind w:firstLine="51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9.9 Arbitration. </w:t>
      </w:r>
      <w:r>
        <w:rPr>
          <w:rFonts w:ascii="Times New Roman" w:cs="Times New Roman" w:eastAsia="Times New Roman" w:hAnsi="Times New Roman"/>
          <w:sz w:val="14"/>
          <w:szCs w:val="14"/>
          <w:color w:val="auto"/>
        </w:rPr>
        <w:t>In the event of any contractual, statutory or tort dispute or claim relating to or arising out of Executive’s employment relationship with the Company (including but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limited to any claims of wrongful termination or age, sex, race, or other discrimination, but not including workers’ compensation claims), Executive and the Company agree that all such disputes will be finally resolved by binding arbitration conducted by a single neutral arbitrator associated with the American Arbitration Association in Menlo Park, California. Executive and the Company hereby waive their respective rights to have any such disputes or claims tried to a judge or jury. However, the Company agrees that this arbitration provision will not apply to any claim, by either Executive or the Company, for injunctive relief. The administrative costs of any arbitration proceeding between Executive and the Company and the fees and costs of the arbitrator shall be borne by the Company.</w:t>
      </w:r>
    </w:p>
    <w:p>
      <w:pPr>
        <w:spacing w:after="0" w:line="159"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4"/>
          <w:szCs w:val="14"/>
          <w:b w:val="1"/>
          <w:bCs w:val="1"/>
          <w:color w:val="auto"/>
        </w:rPr>
        <w:t>9.10 Attorneys’ Fees</w:t>
      </w:r>
      <w:r>
        <w:rPr>
          <w:rFonts w:ascii="Times New Roman" w:cs="Times New Roman" w:eastAsia="Times New Roman" w:hAnsi="Times New Roman"/>
          <w:sz w:val="14"/>
          <w:szCs w:val="14"/>
          <w:color w:val="auto"/>
        </w:rPr>
        <w:t>. If either party hereto brings any action to enforce rights hereunder, each party in any such action shall be responsible for its own attorneys’ fees and costs incurred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such action.</w:t>
      </w:r>
    </w:p>
    <w:p>
      <w:pPr>
        <w:jc w:val="both"/>
        <w:ind w:firstLine="515"/>
        <w:spacing w:after="0" w:line="256" w:lineRule="auto"/>
        <w:rPr>
          <w:sz w:val="20"/>
          <w:szCs w:val="20"/>
          <w:color w:val="auto"/>
        </w:rPr>
      </w:pPr>
      <w:r>
        <w:rPr>
          <w:rFonts w:ascii="Times New Roman" w:cs="Times New Roman" w:eastAsia="Times New Roman" w:hAnsi="Times New Roman"/>
          <w:sz w:val="14"/>
          <w:szCs w:val="14"/>
          <w:b w:val="1"/>
          <w:bCs w:val="1"/>
          <w:color w:val="auto"/>
        </w:rPr>
        <w:t>9.11 Acknowledgement</w:t>
      </w:r>
      <w:r>
        <w:rPr>
          <w:rFonts w:ascii="Times New Roman" w:cs="Times New Roman" w:eastAsia="Times New Roman" w:hAnsi="Times New Roman"/>
          <w:sz w:val="14"/>
          <w:szCs w:val="14"/>
          <w:color w:val="auto"/>
        </w:rPr>
        <w:t>. Executive acknowledges that Executive (a) has had the opportunity to discuss this matter with and obtain advice from independent counsel of Executive’s 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choice and has been advised to do so by the Company, (b) has carefully read and fully understands all the provisions of this Agreement, and (c) is knowingly and voluntarily entering into this Agreement. Executive represents that Executive (i) is familiar with the restrictive covenants set forth in the Proprietary Information and Inventions Agreement and (ii) is fully aware of his/her obligations thereunder.</w:t>
      </w:r>
    </w:p>
    <w:p>
      <w:pPr>
        <w:ind w:left="52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9.12</w:t>
        <w:tab/>
        <w:t xml:space="preserve">Choice of Law. </w:t>
      </w:r>
      <w:r>
        <w:rPr>
          <w:rFonts w:ascii="Times New Roman" w:cs="Times New Roman" w:eastAsia="Times New Roman" w:hAnsi="Times New Roman"/>
          <w:sz w:val="14"/>
          <w:szCs w:val="14"/>
          <w:color w:val="auto"/>
        </w:rPr>
        <w:t>All questions concerning the construction, validity and interpretation of this Agreement will be governed by the law of the State of New Jersey.</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Agreement on the respective dates set forth</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below:</w:t>
      </w:r>
    </w:p>
    <w:p>
      <w:pPr>
        <w:spacing w:after="0" w:line="36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GERON CORPORATION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 John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-3810</wp:posOffset>
            </wp:positionV>
            <wp:extent cx="67119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67119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John A. Scarlett, MD</w:t>
      </w:r>
    </w:p>
    <w:p>
      <w:pPr>
        <w:spacing w:after="0"/>
        <w:rPr>
          <w:sz w:val="20"/>
          <w:szCs w:val="20"/>
          <w:color w:val="auto"/>
        </w:rPr>
      </w:pPr>
      <w:r>
        <w:rPr>
          <w:rFonts w:ascii="Times New Roman" w:cs="Times New Roman" w:eastAsia="Times New Roman" w:hAnsi="Times New Roman"/>
          <w:sz w:val="14"/>
          <w:szCs w:val="14"/>
          <w:color w:val="auto"/>
        </w:rPr>
        <w:t>Chairman of the Board, President &amp; CEO</w:t>
      </w:r>
    </w:p>
    <w:p>
      <w:pPr>
        <w:spacing w:after="0"/>
        <w:rPr>
          <w:sz w:val="20"/>
          <w:szCs w:val="20"/>
          <w:color w:val="auto"/>
        </w:rPr>
      </w:pPr>
      <w:r>
        <w:rPr>
          <w:rFonts w:ascii="Times New Roman" w:cs="Times New Roman" w:eastAsia="Times New Roman" w:hAnsi="Times New Roman"/>
          <w:sz w:val="14"/>
          <w:szCs w:val="14"/>
          <w:color w:val="auto"/>
        </w:rPr>
        <w:t>Date: 21 – Jun - 2022</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Accepted and agreed this [ 21] day of </w:t>
      </w:r>
      <w:r>
        <w:rPr>
          <w:rFonts w:ascii="Times New Roman" w:cs="Times New Roman" w:eastAsia="Times New Roman" w:hAnsi="Times New Roman"/>
          <w:sz w:val="14"/>
          <w:szCs w:val="14"/>
          <w:u w:val="single" w:color="auto"/>
          <w:color w:val="auto"/>
        </w:rPr>
        <w:t>June</w:t>
      </w:r>
      <w:r>
        <w:rPr>
          <w:rFonts w:ascii="Times New Roman" w:cs="Times New Roman" w:eastAsia="Times New Roman" w:hAnsi="Times New Roman"/>
          <w:sz w:val="14"/>
          <w:szCs w:val="14"/>
          <w:color w:val="auto"/>
        </w:rPr>
        <w:t>,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Faye Feller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1087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61087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Faye Feller</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349" w:right="319" w:bottom="1440" w:gutter="0" w:footer="0" w:header="0"/>
        </w:sectPr>
      </w:pPr>
    </w:p>
    <w:bookmarkStart w:id="136" w:name="page137"/>
    <w:bookmarkEnd w:id="136"/>
    <w:tbl>
      <w:tblPr>
        <w:tblLayout w:type="fixed"/>
        <w:tblInd w:w="11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Exhibit 19.1</w:t>
            </w:r>
          </w:p>
        </w:tc>
      </w:tr>
      <w:tr>
        <w:trPr>
          <w:trHeight w:val="515"/>
        </w:trPr>
        <w:tc>
          <w:tcPr>
            <w:tcW w:w="4960" w:type="dxa"/>
            <w:vAlign w:val="bottom"/>
          </w:tcPr>
          <w:p>
            <w:pPr>
              <w:jc w:val="center"/>
              <w:ind w:left="1646"/>
              <w:spacing w:after="0"/>
              <w:rPr>
                <w:sz w:val="20"/>
                <w:szCs w:val="20"/>
                <w:color w:val="auto"/>
              </w:rPr>
            </w:pPr>
            <w:r>
              <w:rPr>
                <w:rFonts w:ascii="Arial" w:cs="Arial" w:eastAsia="Arial" w:hAnsi="Arial"/>
                <w:sz w:val="16"/>
                <w:szCs w:val="16"/>
                <w:b w:val="1"/>
                <w:bCs w:val="1"/>
                <w:color w:val="auto"/>
                <w:w w:val="98"/>
              </w:rPr>
              <w:t>GERON CORPORATION</w:t>
            </w:r>
          </w:p>
        </w:tc>
        <w:tc>
          <w:tcPr>
            <w:tcW w:w="1740" w:type="dxa"/>
            <w:vAlign w:val="bottom"/>
          </w:tcPr>
          <w:p>
            <w:pPr>
              <w:spacing w:after="0"/>
              <w:rPr>
                <w:sz w:val="24"/>
                <w:szCs w:val="24"/>
                <w:color w:val="auto"/>
              </w:rPr>
            </w:pPr>
          </w:p>
        </w:tc>
      </w:tr>
      <w:tr>
        <w:trPr>
          <w:trHeight w:val="193"/>
        </w:trPr>
        <w:tc>
          <w:tcPr>
            <w:tcW w:w="4960" w:type="dxa"/>
            <w:vAlign w:val="bottom"/>
          </w:tcPr>
          <w:p>
            <w:pPr>
              <w:jc w:val="center"/>
              <w:ind w:left="1646"/>
              <w:spacing w:after="0"/>
              <w:rPr>
                <w:sz w:val="20"/>
                <w:szCs w:val="20"/>
                <w:color w:val="auto"/>
              </w:rPr>
            </w:pPr>
            <w:r>
              <w:rPr>
                <w:rFonts w:ascii="Arial" w:cs="Arial" w:eastAsia="Arial" w:hAnsi="Arial"/>
                <w:sz w:val="16"/>
                <w:szCs w:val="16"/>
                <w:b w:val="1"/>
                <w:bCs w:val="1"/>
                <w:color w:val="auto"/>
                <w:w w:val="98"/>
              </w:rPr>
              <w:t>INSIDER TRADING POLICY</w:t>
            </w:r>
          </w:p>
        </w:tc>
        <w:tc>
          <w:tcPr>
            <w:tcW w:w="1740" w:type="dxa"/>
            <w:vAlign w:val="bottom"/>
          </w:tcPr>
          <w:p>
            <w:pPr>
              <w:spacing w:after="0"/>
              <w:rPr>
                <w:sz w:val="16"/>
                <w:szCs w:val="16"/>
                <w:color w:val="auto"/>
              </w:rPr>
            </w:pPr>
          </w:p>
        </w:tc>
      </w:tr>
      <w:tr>
        <w:trPr>
          <w:trHeight w:val="216"/>
        </w:trPr>
        <w:tc>
          <w:tcPr>
            <w:tcW w:w="4960" w:type="dxa"/>
            <w:vAlign w:val="bottom"/>
          </w:tcPr>
          <w:p>
            <w:pPr>
              <w:jc w:val="center"/>
              <w:ind w:left="1646"/>
              <w:spacing w:after="0"/>
              <w:rPr>
                <w:sz w:val="20"/>
                <w:szCs w:val="20"/>
                <w:color w:val="auto"/>
              </w:rPr>
            </w:pPr>
            <w:r>
              <w:rPr>
                <w:rFonts w:ascii="Arial" w:cs="Arial" w:eastAsia="Arial" w:hAnsi="Arial"/>
                <w:sz w:val="16"/>
                <w:szCs w:val="16"/>
                <w:b w:val="1"/>
                <w:bCs w:val="1"/>
                <w:color w:val="auto"/>
                <w:w w:val="97"/>
              </w:rPr>
              <w:t>(REVISED FEBRUARY 17, 2026)</w:t>
            </w:r>
          </w:p>
        </w:tc>
        <w:tc>
          <w:tcPr>
            <w:tcW w:w="1740" w:type="dxa"/>
            <w:vAlign w:val="bottom"/>
          </w:tcPr>
          <w:p>
            <w:pPr>
              <w:spacing w:after="0"/>
              <w:rPr>
                <w:sz w:val="18"/>
                <w:szCs w:val="18"/>
                <w:color w:val="auto"/>
              </w:rPr>
            </w:pPr>
          </w:p>
        </w:tc>
      </w:tr>
      <w:tr>
        <w:trPr>
          <w:trHeight w:val="400"/>
        </w:trPr>
        <w:tc>
          <w:tcPr>
            <w:tcW w:w="4960" w:type="dxa"/>
            <w:vAlign w:val="bottom"/>
          </w:tcPr>
          <w:p>
            <w:pPr>
              <w:spacing w:after="0"/>
              <w:rPr>
                <w:sz w:val="20"/>
                <w:szCs w:val="20"/>
                <w:color w:val="auto"/>
              </w:rPr>
            </w:pPr>
            <w:r>
              <w:rPr>
                <w:rFonts w:ascii="Arial" w:cs="Arial" w:eastAsia="Arial" w:hAnsi="Arial"/>
                <w:sz w:val="20"/>
                <w:szCs w:val="20"/>
                <w:b w:val="1"/>
                <w:bCs w:val="1"/>
                <w:color w:val="365F91"/>
              </w:rPr>
              <w:t>Table of Contents</w:t>
            </w:r>
          </w:p>
        </w:tc>
        <w:tc>
          <w:tcPr>
            <w:tcW w:w="1740" w:type="dxa"/>
            <w:vAlign w:val="bottom"/>
          </w:tcPr>
          <w:p>
            <w:pPr>
              <w:spacing w:after="0"/>
              <w:rPr>
                <w:sz w:val="24"/>
                <w:szCs w:val="24"/>
                <w:color w:val="auto"/>
              </w:rPr>
            </w:pPr>
          </w:p>
        </w:tc>
      </w:tr>
      <w:tr>
        <w:trPr>
          <w:trHeight w:val="190"/>
        </w:trPr>
        <w:tc>
          <w:tcPr>
            <w:tcW w:w="4960" w:type="dxa"/>
            <w:vAlign w:val="bottom"/>
          </w:tcPr>
          <w:p>
            <w:pPr>
              <w:spacing w:after="0"/>
              <w:rPr>
                <w:sz w:val="20"/>
                <w:szCs w:val="20"/>
                <w:color w:val="auto"/>
              </w:rPr>
            </w:pPr>
            <w:r>
              <w:rPr>
                <w:rFonts w:ascii="Arial" w:cs="Arial" w:eastAsia="Arial" w:hAnsi="Arial"/>
                <w:sz w:val="14"/>
                <w:szCs w:val="14"/>
                <w:color w:val="auto"/>
              </w:rPr>
              <w:t>Introduction</w:t>
            </w:r>
          </w:p>
        </w:tc>
        <w:tc>
          <w:tcPr>
            <w:tcW w:w="1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Statement of Policy</w:t>
            </w:r>
          </w:p>
        </w:tc>
        <w:tc>
          <w:tcPr>
            <w:tcW w:w="1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36"/>
        </w:trPr>
        <w:tc>
          <w:tcPr>
            <w:tcW w:w="4960" w:type="dxa"/>
            <w:vAlign w:val="bottom"/>
          </w:tcPr>
          <w:p>
            <w:pPr>
              <w:spacing w:after="0"/>
              <w:rPr>
                <w:sz w:val="20"/>
                <w:szCs w:val="20"/>
                <w:color w:val="auto"/>
              </w:rPr>
            </w:pPr>
            <w:r>
              <w:rPr>
                <w:rFonts w:ascii="Arial" w:cs="Arial" w:eastAsia="Arial" w:hAnsi="Arial"/>
                <w:sz w:val="14"/>
                <w:szCs w:val="14"/>
                <w:color w:val="auto"/>
              </w:rPr>
              <w:t>Transactions Subject to this Policy</w:t>
            </w:r>
          </w:p>
        </w:tc>
        <w:tc>
          <w:tcPr>
            <w:tcW w:w="17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Persons Subject to this Policy</w:t>
            </w:r>
          </w:p>
        </w:tc>
        <w:tc>
          <w:tcPr>
            <w:tcW w:w="17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Material Nonpublic Information</w:t>
            </w:r>
          </w:p>
        </w:tc>
        <w:tc>
          <w:tcPr>
            <w:tcW w:w="17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36"/>
        </w:trPr>
        <w:tc>
          <w:tcPr>
            <w:tcW w:w="4960" w:type="dxa"/>
            <w:vAlign w:val="bottom"/>
          </w:tcPr>
          <w:p>
            <w:pPr>
              <w:spacing w:after="0"/>
              <w:rPr>
                <w:sz w:val="20"/>
                <w:szCs w:val="20"/>
                <w:color w:val="auto"/>
              </w:rPr>
            </w:pPr>
            <w:r>
              <w:rPr>
                <w:rFonts w:ascii="Arial" w:cs="Arial" w:eastAsia="Arial" w:hAnsi="Arial"/>
                <w:sz w:val="14"/>
                <w:szCs w:val="14"/>
                <w:color w:val="auto"/>
              </w:rPr>
              <w:t>Quarterly Trading Blackouts</w:t>
            </w:r>
          </w:p>
        </w:tc>
        <w:tc>
          <w:tcPr>
            <w:tcW w:w="17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Event-Specific Trading Blackouts</w:t>
            </w:r>
          </w:p>
        </w:tc>
        <w:tc>
          <w:tcPr>
            <w:tcW w:w="17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Exceptions to this Policy</w:t>
            </w:r>
          </w:p>
        </w:tc>
        <w:tc>
          <w:tcPr>
            <w:tcW w:w="17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36"/>
        </w:trPr>
        <w:tc>
          <w:tcPr>
            <w:tcW w:w="4960" w:type="dxa"/>
            <w:vAlign w:val="bottom"/>
          </w:tcPr>
          <w:p>
            <w:pPr>
              <w:spacing w:after="0"/>
              <w:rPr>
                <w:sz w:val="20"/>
                <w:szCs w:val="20"/>
                <w:color w:val="auto"/>
              </w:rPr>
            </w:pPr>
            <w:r>
              <w:rPr>
                <w:rFonts w:ascii="Arial" w:cs="Arial" w:eastAsia="Arial" w:hAnsi="Arial"/>
                <w:sz w:val="14"/>
                <w:szCs w:val="14"/>
                <w:color w:val="auto"/>
              </w:rPr>
              <w:t>Special and Prohibited Transactions</w:t>
            </w:r>
          </w:p>
        </w:tc>
        <w:tc>
          <w:tcPr>
            <w:tcW w:w="17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Pre-Clearance and Advance Notice of Transactions</w:t>
            </w:r>
          </w:p>
        </w:tc>
        <w:tc>
          <w:tcPr>
            <w:tcW w:w="1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Short-Swing Trading, Control Stock and Section 16 Reports</w:t>
            </w:r>
          </w:p>
        </w:tc>
        <w:tc>
          <w:tcPr>
            <w:tcW w:w="1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36"/>
        </w:trPr>
        <w:tc>
          <w:tcPr>
            <w:tcW w:w="4960" w:type="dxa"/>
            <w:vAlign w:val="bottom"/>
          </w:tcPr>
          <w:p>
            <w:pPr>
              <w:spacing w:after="0"/>
              <w:rPr>
                <w:sz w:val="20"/>
                <w:szCs w:val="20"/>
                <w:color w:val="auto"/>
              </w:rPr>
            </w:pPr>
            <w:r>
              <w:rPr>
                <w:rFonts w:ascii="Arial" w:cs="Arial" w:eastAsia="Arial" w:hAnsi="Arial"/>
                <w:sz w:val="14"/>
                <w:szCs w:val="14"/>
                <w:color w:val="auto"/>
              </w:rPr>
              <w:t>Prohibition of Trading During Pension Plan Blackouts</w:t>
            </w:r>
          </w:p>
        </w:tc>
        <w:tc>
          <w:tcPr>
            <w:tcW w:w="1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Policy’s Duration</w:t>
            </w:r>
          </w:p>
        </w:tc>
        <w:tc>
          <w:tcPr>
            <w:tcW w:w="1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Individual Responsibility</w:t>
            </w:r>
          </w:p>
        </w:tc>
        <w:tc>
          <w:tcPr>
            <w:tcW w:w="17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36"/>
        </w:trPr>
        <w:tc>
          <w:tcPr>
            <w:tcW w:w="4960" w:type="dxa"/>
            <w:vAlign w:val="bottom"/>
          </w:tcPr>
          <w:p>
            <w:pPr>
              <w:spacing w:after="0"/>
              <w:rPr>
                <w:sz w:val="20"/>
                <w:szCs w:val="20"/>
                <w:color w:val="auto"/>
              </w:rPr>
            </w:pPr>
            <w:r>
              <w:rPr>
                <w:rFonts w:ascii="Arial" w:cs="Arial" w:eastAsia="Arial" w:hAnsi="Arial"/>
                <w:sz w:val="14"/>
                <w:szCs w:val="14"/>
                <w:color w:val="auto"/>
              </w:rPr>
              <w:t>Penalties</w:t>
            </w:r>
          </w:p>
        </w:tc>
        <w:tc>
          <w:tcPr>
            <w:tcW w:w="17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Amendments</w:t>
            </w:r>
          </w:p>
        </w:tc>
        <w:tc>
          <w:tcPr>
            <w:tcW w:w="17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7"/>
        </w:trPr>
        <w:tc>
          <w:tcPr>
            <w:tcW w:w="4960" w:type="dxa"/>
            <w:vAlign w:val="bottom"/>
          </w:tcPr>
          <w:p>
            <w:pPr>
              <w:spacing w:after="0"/>
              <w:rPr>
                <w:sz w:val="20"/>
                <w:szCs w:val="20"/>
                <w:color w:val="auto"/>
              </w:rPr>
            </w:pPr>
            <w:r>
              <w:rPr>
                <w:rFonts w:ascii="Arial" w:cs="Arial" w:eastAsia="Arial" w:hAnsi="Arial"/>
                <w:sz w:val="14"/>
                <w:szCs w:val="14"/>
                <w:color w:val="auto"/>
              </w:rPr>
              <w:t>Frequently Asked Questions</w:t>
            </w:r>
          </w:p>
        </w:tc>
        <w:tc>
          <w:tcPr>
            <w:tcW w:w="17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36"/>
        </w:trPr>
        <w:tc>
          <w:tcPr>
            <w:tcW w:w="4960" w:type="dxa"/>
            <w:vAlign w:val="bottom"/>
          </w:tcPr>
          <w:p>
            <w:pPr>
              <w:spacing w:after="0"/>
              <w:rPr>
                <w:sz w:val="20"/>
                <w:szCs w:val="20"/>
                <w:color w:val="auto"/>
              </w:rPr>
            </w:pPr>
            <w:r>
              <w:rPr>
                <w:rFonts w:ascii="Arial" w:cs="Arial" w:eastAsia="Arial" w:hAnsi="Arial"/>
                <w:sz w:val="14"/>
                <w:szCs w:val="14"/>
                <w:color w:val="auto"/>
              </w:rPr>
              <w:t>Rule 10b5-1 Trading Plan Guidelines</w:t>
            </w:r>
          </w:p>
        </w:tc>
        <w:tc>
          <w:tcPr>
            <w:tcW w:w="17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425"/>
        </w:trPr>
        <w:tc>
          <w:tcPr>
            <w:tcW w:w="4960" w:type="dxa"/>
            <w:vAlign w:val="bottom"/>
          </w:tcPr>
          <w:p>
            <w:pPr>
              <w:spacing w:after="0"/>
              <w:rPr>
                <w:sz w:val="20"/>
                <w:szCs w:val="20"/>
                <w:color w:val="auto"/>
              </w:rPr>
            </w:pPr>
            <w:r>
              <w:rPr>
                <w:rFonts w:ascii="Arial" w:cs="Arial" w:eastAsia="Arial" w:hAnsi="Arial"/>
                <w:sz w:val="14"/>
                <w:szCs w:val="14"/>
                <w:b w:val="1"/>
                <w:bCs w:val="1"/>
                <w:color w:val="auto"/>
              </w:rPr>
              <w:t>INTRODUCTION</w:t>
            </w:r>
          </w:p>
        </w:tc>
        <w:tc>
          <w:tcPr>
            <w:tcW w:w="1740" w:type="dxa"/>
            <w:vAlign w:val="bottom"/>
          </w:tcPr>
          <w:p>
            <w:pPr>
              <w:spacing w:after="0"/>
              <w:rPr>
                <w:sz w:val="24"/>
                <w:szCs w:val="24"/>
                <w:color w:val="auto"/>
              </w:rPr>
            </w:pPr>
          </w:p>
        </w:tc>
      </w:tr>
      <w:tr>
        <w:trPr>
          <w:trHeight w:val="339"/>
        </w:trPr>
        <w:tc>
          <w:tcPr>
            <w:tcW w:w="4960" w:type="dxa"/>
            <w:vAlign w:val="bottom"/>
          </w:tcPr>
          <w:p>
            <w:pPr>
              <w:ind w:left="260"/>
              <w:spacing w:after="0"/>
              <w:rPr>
                <w:sz w:val="20"/>
                <w:szCs w:val="20"/>
                <w:color w:val="auto"/>
              </w:rPr>
            </w:pPr>
            <w:r>
              <w:rPr>
                <w:rFonts w:ascii="Arial" w:cs="Arial" w:eastAsia="Arial" w:hAnsi="Arial"/>
                <w:sz w:val="14"/>
                <w:szCs w:val="14"/>
                <w:color w:val="auto"/>
              </w:rPr>
              <w:t xml:space="preserve">During </w:t>
            </w:r>
            <w:r>
              <w:rPr>
                <w:rFonts w:ascii="Arial" w:cs="Arial" w:eastAsia="Arial" w:hAnsi="Arial"/>
                <w:sz w:val="15"/>
                <w:szCs w:val="15"/>
                <w:color w:val="auto"/>
              </w:rPr>
              <w:t>the course of your relationship with Geron Corporation (the “</w:t>
            </w:r>
          </w:p>
        </w:tc>
        <w:tc>
          <w:tcPr>
            <w:tcW w:w="174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99"/>
              </w:rPr>
              <w:t>Company</w:t>
            </w:r>
            <w:r>
              <w:rPr>
                <w:rFonts w:ascii="Arial" w:cs="Arial" w:eastAsia="Arial" w:hAnsi="Arial"/>
                <w:sz w:val="16"/>
                <w:szCs w:val="16"/>
                <w:color w:val="auto"/>
                <w:w w:val="99"/>
              </w:rPr>
              <w:t>” or “</w:t>
            </w:r>
            <w:r>
              <w:rPr>
                <w:rFonts w:ascii="Arial" w:cs="Arial" w:eastAsia="Arial" w:hAnsi="Arial"/>
                <w:sz w:val="16"/>
                <w:szCs w:val="16"/>
                <w:b w:val="1"/>
                <w:bCs w:val="1"/>
                <w:i w:val="1"/>
                <w:iCs w:val="1"/>
                <w:color w:val="auto"/>
                <w:w w:val="99"/>
              </w:rPr>
              <w:t xml:space="preserve"> Geron</w:t>
            </w:r>
            <w:r>
              <w:rPr>
                <w:rFonts w:ascii="Arial" w:cs="Arial" w:eastAsia="Arial" w:hAnsi="Arial"/>
                <w:sz w:val="16"/>
                <w:szCs w:val="16"/>
                <w:color w:val="auto"/>
                <w:w w:val="99"/>
              </w:rPr>
              <w:t>”),</w:t>
            </w:r>
          </w:p>
        </w:tc>
      </w:tr>
      <w:tr>
        <w:trPr>
          <w:trHeight w:val="197"/>
        </w:trPr>
        <w:tc>
          <w:tcPr>
            <w:tcW w:w="4960" w:type="dxa"/>
            <w:vAlign w:val="bottom"/>
          </w:tcPr>
          <w:p>
            <w:pPr>
              <w:spacing w:after="0"/>
              <w:rPr>
                <w:sz w:val="20"/>
                <w:szCs w:val="20"/>
                <w:color w:val="auto"/>
              </w:rPr>
            </w:pPr>
            <w:r>
              <w:rPr>
                <w:rFonts w:ascii="Arial" w:cs="Arial" w:eastAsia="Arial" w:hAnsi="Arial"/>
                <w:sz w:val="16"/>
                <w:szCs w:val="16"/>
                <w:color w:val="auto"/>
                <w:w w:val="98"/>
              </w:rPr>
              <w:t>you may receive material information that is not yet publicly available (“</w:t>
            </w:r>
          </w:p>
        </w:tc>
        <w:tc>
          <w:tcPr>
            <w:tcW w:w="17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material nonpublic</w:t>
            </w:r>
          </w:p>
        </w:tc>
      </w:tr>
    </w:tbl>
    <w:p>
      <w:pPr>
        <w:ind w:left="1160" w:right="1179"/>
        <w:spacing w:after="0" w:line="247"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information</w:t>
      </w:r>
      <w:r>
        <w:rPr>
          <w:rFonts w:ascii="Arial" w:cs="Arial" w:eastAsia="Arial" w:hAnsi="Arial"/>
          <w:sz w:val="16"/>
          <w:szCs w:val="16"/>
          <w:color w:val="auto"/>
        </w:rPr>
        <w:t>”) about Geron or other publicly traded companies. Material nonpublic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may give you, or someone you pass that information on to, a leg up over others when deciding whether to buy, sell or otherwise transact in Geron’s securities or the securities of another publicly traded company. This policy sets forth guidelines with respect to transactions in Geron securities and in the securities of other applicable publicly traded companies, in each case by all of our employees and directors as well as our consultants who are advised that they are subject to this policy (such advised consultants, the “ </w:t>
      </w:r>
      <w:r>
        <w:rPr>
          <w:rFonts w:ascii="Arial" w:cs="Arial" w:eastAsia="Arial" w:hAnsi="Arial"/>
          <w:sz w:val="16"/>
          <w:szCs w:val="16"/>
          <w:b w:val="1"/>
          <w:bCs w:val="1"/>
          <w:i w:val="1"/>
          <w:iCs w:val="1"/>
          <w:color w:val="auto"/>
        </w:rPr>
        <w:t>designated consultants</w:t>
      </w:r>
      <w:r>
        <w:rPr>
          <w:rFonts w:ascii="Arial" w:cs="Arial" w:eastAsia="Arial" w:hAnsi="Arial"/>
          <w:sz w:val="16"/>
          <w:szCs w:val="16"/>
          <w:color w:val="auto"/>
        </w:rPr>
        <w:t>”) and the other persons or entities subject to this policy as described below.</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For purposes of this policy, the persons serving as Geron’s Insider Trading Compliance</w:t>
      </w:r>
    </w:p>
    <w:p>
      <w:pPr>
        <w:spacing w:after="0" w:line="22" w:lineRule="exact"/>
        <w:rPr>
          <w:sz w:val="20"/>
          <w:szCs w:val="20"/>
          <w:color w:val="auto"/>
        </w:rPr>
      </w:pPr>
    </w:p>
    <w:p>
      <w:pPr>
        <w:ind w:left="1160" w:right="1179"/>
        <w:spacing w:after="0" w:line="248" w:lineRule="auto"/>
        <w:rPr>
          <w:sz w:val="20"/>
          <w:szCs w:val="20"/>
          <w:color w:val="auto"/>
        </w:rPr>
      </w:pPr>
      <w:r>
        <w:rPr>
          <w:rFonts w:ascii="Arial" w:cs="Arial" w:eastAsia="Arial" w:hAnsi="Arial"/>
          <w:sz w:val="16"/>
          <w:szCs w:val="16"/>
          <w:color w:val="auto"/>
        </w:rPr>
        <w:t xml:space="preserve">Officer are the Chief Legal Officer, the Chief Financial Officer and any other person designated by the Chief Legal Officer or the Chief Financial Officer as an alternate (the “ </w:t>
      </w:r>
      <w:r>
        <w:rPr>
          <w:rFonts w:ascii="Arial" w:cs="Arial" w:eastAsia="Arial" w:hAnsi="Arial"/>
          <w:sz w:val="16"/>
          <w:szCs w:val="16"/>
          <w:b w:val="1"/>
          <w:bCs w:val="1"/>
          <w:i w:val="1"/>
          <w:iCs w:val="1"/>
          <w:color w:val="auto"/>
        </w:rPr>
        <w:t>Insider Trading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Compliance Officer</w:t>
      </w:r>
      <w:r>
        <w:rPr>
          <w:rFonts w:ascii="Arial" w:cs="Arial" w:eastAsia="Arial" w:hAnsi="Arial"/>
          <w:sz w:val="16"/>
          <w:szCs w:val="16"/>
          <w:color w:val="auto"/>
        </w:rPr>
        <w:t>”). The Audit Committee (the “</w:t>
      </w:r>
      <w:r>
        <w:rPr>
          <w:rFonts w:ascii="Arial" w:cs="Arial" w:eastAsia="Arial" w:hAnsi="Arial"/>
          <w:sz w:val="16"/>
          <w:szCs w:val="16"/>
          <w:b w:val="1"/>
          <w:bCs w:val="1"/>
          <w:i w:val="1"/>
          <w:iCs w:val="1"/>
          <w:color w:val="auto"/>
        </w:rPr>
        <w:t xml:space="preserve"> Audit Committee</w:t>
      </w:r>
      <w:r>
        <w:rPr>
          <w:rFonts w:ascii="Arial" w:cs="Arial" w:eastAsia="Arial" w:hAnsi="Arial"/>
          <w:sz w:val="16"/>
          <w:szCs w:val="16"/>
          <w:color w:val="auto"/>
        </w:rPr>
        <w:t>”) of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is responsible for oversight of this Policy. Questions regarding this Policy should be directed to the Insider Trading Compliance Officer.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STATEMENT OF POLICY</w:t>
      </w:r>
    </w:p>
    <w:p>
      <w:pPr>
        <w:spacing w:after="0" w:line="180" w:lineRule="exact"/>
        <w:rPr>
          <w:sz w:val="20"/>
          <w:szCs w:val="20"/>
          <w:color w:val="auto"/>
        </w:rPr>
      </w:pPr>
    </w:p>
    <w:p>
      <w:pPr>
        <w:ind w:left="1160" w:right="1179" w:firstLine="258"/>
        <w:spacing w:after="0" w:line="265" w:lineRule="auto"/>
        <w:rPr>
          <w:sz w:val="20"/>
          <w:szCs w:val="20"/>
          <w:color w:val="auto"/>
        </w:rPr>
      </w:pPr>
      <w:r>
        <w:rPr>
          <w:rFonts w:ascii="Arial" w:cs="Arial" w:eastAsia="Arial" w:hAnsi="Arial"/>
          <w:sz w:val="16"/>
          <w:szCs w:val="16"/>
          <w:color w:val="auto"/>
        </w:rPr>
        <w:t xml:space="preserve">It is the policy of Geron that an employee, director or designated consultant of Geron (or any other person or entity subject to this policy) who is aware of material nonpublic information relating to Geron </w:t>
      </w:r>
      <w:r>
        <w:rPr>
          <w:rFonts w:ascii="Arial" w:cs="Arial" w:eastAsia="Arial" w:hAnsi="Arial"/>
          <w:sz w:val="16"/>
          <w:szCs w:val="16"/>
          <w:b w:val="1"/>
          <w:bCs w:val="1"/>
          <w:color w:val="auto"/>
        </w:rPr>
        <w:t>may not</w:t>
      </w:r>
      <w:r>
        <w:rPr>
          <w:rFonts w:ascii="Arial" w:cs="Arial" w:eastAsia="Arial" w:hAnsi="Arial"/>
          <w:sz w:val="16"/>
          <w:szCs w:val="16"/>
          <w:color w:val="auto"/>
        </w:rPr>
        <w:t>, directly or indirectly:</w:t>
      </w:r>
    </w:p>
    <w:p>
      <w:pPr>
        <w:spacing w:after="0" w:line="132" w:lineRule="exact"/>
        <w:rPr>
          <w:sz w:val="20"/>
          <w:szCs w:val="20"/>
          <w:color w:val="auto"/>
        </w:rPr>
      </w:pPr>
    </w:p>
    <w:p>
      <w:pPr>
        <w:ind w:left="2000" w:right="1539" w:hanging="267"/>
        <w:spacing w:after="0" w:line="267" w:lineRule="auto"/>
        <w:tabs>
          <w:tab w:leader="none" w:pos="2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engage in any transactions in Geron’s securities, except as otherwise specified under the heading “Exceptions to this Policy” below;</w:t>
      </w:r>
    </w:p>
    <w:p>
      <w:pPr>
        <w:spacing w:after="0" w:line="52" w:lineRule="exact"/>
        <w:rPr>
          <w:rFonts w:ascii="Arial" w:cs="Arial" w:eastAsia="Arial" w:hAnsi="Arial"/>
          <w:sz w:val="16"/>
          <w:szCs w:val="16"/>
          <w:color w:val="auto"/>
        </w:rPr>
      </w:pPr>
    </w:p>
    <w:p>
      <w:pPr>
        <w:ind w:left="2000" w:hanging="267"/>
        <w:spacing w:after="0"/>
        <w:tabs>
          <w:tab w:leader="none" w:pos="2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recommend the purchase or sale of any of Geron’s securities;</w:t>
      </w:r>
    </w:p>
    <w:p>
      <w:pPr>
        <w:spacing w:after="0" w:line="95" w:lineRule="exact"/>
        <w:rPr>
          <w:rFonts w:ascii="Arial" w:cs="Arial" w:eastAsia="Arial" w:hAnsi="Arial"/>
          <w:sz w:val="16"/>
          <w:szCs w:val="16"/>
          <w:color w:val="auto"/>
        </w:rPr>
      </w:pPr>
    </w:p>
    <w:p>
      <w:pPr>
        <w:ind w:left="2000" w:right="1219" w:hanging="267"/>
        <w:spacing w:after="0" w:line="252" w:lineRule="auto"/>
        <w:tabs>
          <w:tab w:leader="none" w:pos="2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disclose material nonpublic information to persons within Geron whose jobs do not require them to have that information, or outside of Geron to other persons, such as family, friends, business associates and investors, unless the disclosure is made in accordance with Geron’s policies regarding the protection or authorized external disclosure of information regarding Geron; or</w:t>
      </w:r>
    </w:p>
    <w:p>
      <w:pPr>
        <w:spacing w:after="0" w:line="65" w:lineRule="exact"/>
        <w:rPr>
          <w:rFonts w:ascii="Arial" w:cs="Arial" w:eastAsia="Arial" w:hAnsi="Arial"/>
          <w:sz w:val="16"/>
          <w:szCs w:val="16"/>
          <w:color w:val="auto"/>
        </w:rPr>
      </w:pPr>
    </w:p>
    <w:p>
      <w:pPr>
        <w:ind w:left="2000" w:hanging="267"/>
        <w:spacing w:after="0"/>
        <w:tabs>
          <w:tab w:leader="none" w:pos="2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assist anyone engaged in the above activities.</w:t>
      </w:r>
    </w:p>
    <w:p>
      <w:pPr>
        <w:spacing w:after="0" w:line="170" w:lineRule="exact"/>
        <w:rPr>
          <w:sz w:val="20"/>
          <w:szCs w:val="20"/>
          <w:color w:val="auto"/>
        </w:rPr>
      </w:pPr>
    </w:p>
    <w:p>
      <w:pPr>
        <w:ind w:left="1160" w:right="1219" w:firstLine="258"/>
        <w:spacing w:after="0" w:line="279" w:lineRule="auto"/>
        <w:rPr>
          <w:sz w:val="20"/>
          <w:szCs w:val="20"/>
          <w:color w:val="auto"/>
        </w:rPr>
      </w:pPr>
      <w:r>
        <w:rPr>
          <w:rFonts w:ascii="Arial" w:cs="Arial" w:eastAsia="Arial" w:hAnsi="Arial"/>
          <w:sz w:val="15"/>
          <w:szCs w:val="15"/>
          <w:color w:val="auto"/>
        </w:rPr>
        <w:t xml:space="preserve">The prohibition against insider trading is absolute. It applies </w:t>
      </w:r>
      <w:r>
        <w:rPr>
          <w:rFonts w:ascii="Arial" w:cs="Arial" w:eastAsia="Arial" w:hAnsi="Arial"/>
          <w:sz w:val="15"/>
          <w:szCs w:val="15"/>
          <w:b w:val="1"/>
          <w:bCs w:val="1"/>
          <w:i w:val="1"/>
          <w:iCs w:val="1"/>
          <w:color w:val="auto"/>
        </w:rPr>
        <w:t>even if</w:t>
      </w:r>
      <w:r>
        <w:rPr>
          <w:rFonts w:ascii="Arial" w:cs="Arial" w:eastAsia="Arial" w:hAnsi="Arial"/>
          <w:sz w:val="15"/>
          <w:szCs w:val="15"/>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w:t>
      </w:r>
    </w:p>
    <w:p>
      <w:pPr>
        <w:sectPr>
          <w:pgSz w:w="11900" w:h="16838" w:orient="portrait"/>
          <w:cols w:equalWidth="0" w:num="1">
            <w:col w:w="9019"/>
          </w:cols>
          <w:pgMar w:left="1440" w:top="619" w:right="1440" w:bottom="0" w:gutter="0" w:footer="0" w:header="0"/>
        </w:sectPr>
      </w:pPr>
    </w:p>
    <w:bookmarkStart w:id="137" w:name="page138"/>
    <w:bookmarkEnd w:id="137"/>
    <w:p>
      <w:pPr>
        <w:ind w:left="1160"/>
        <w:spacing w:after="0"/>
        <w:rPr>
          <w:sz w:val="20"/>
          <w:szCs w:val="20"/>
          <w:color w:val="auto"/>
        </w:rPr>
      </w:pPr>
      <w:r>
        <w:rPr>
          <w:rFonts w:ascii="Arial" w:cs="Arial" w:eastAsia="Arial" w:hAnsi="Arial"/>
          <w:sz w:val="16"/>
          <w:szCs w:val="16"/>
          <w:color w:val="auto"/>
        </w:rPr>
        <w:t xml:space="preserve">aware of </w:t>
      </w:r>
      <w:r>
        <w:rPr>
          <w:rFonts w:ascii="Arial" w:cs="Arial" w:eastAsia="Arial" w:hAnsi="Arial"/>
          <w:sz w:val="16"/>
          <w:szCs w:val="16"/>
          <w:b w:val="1"/>
          <w:bCs w:val="1"/>
          <w:color w:val="auto"/>
        </w:rPr>
        <w:t>any</w:t>
      </w:r>
      <w:r>
        <w:rPr>
          <w:rFonts w:ascii="Arial" w:cs="Arial" w:eastAsia="Arial" w:hAnsi="Arial"/>
          <w:sz w:val="16"/>
          <w:szCs w:val="16"/>
          <w:color w:val="auto"/>
        </w:rPr>
        <w:t xml:space="preserve"> material nonpublic information relating to Geron at the time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-84455</wp:posOffset>
            </wp:positionV>
            <wp:extent cx="7160260" cy="105156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5" w:lineRule="exact"/>
        <w:rPr>
          <w:sz w:val="20"/>
          <w:szCs w:val="20"/>
          <w:color w:val="auto"/>
        </w:rPr>
      </w:pPr>
    </w:p>
    <w:p>
      <w:pPr>
        <w:ind w:left="1160" w:right="1159" w:firstLine="258"/>
        <w:spacing w:after="0" w:line="252" w:lineRule="auto"/>
        <w:rPr>
          <w:sz w:val="20"/>
          <w:szCs w:val="20"/>
          <w:color w:val="auto"/>
        </w:rPr>
      </w:pPr>
      <w:r>
        <w:rPr>
          <w:rFonts w:ascii="Arial" w:cs="Arial" w:eastAsia="Arial" w:hAnsi="Arial"/>
          <w:sz w:val="16"/>
          <w:szCs w:val="16"/>
          <w:color w:val="auto"/>
        </w:rPr>
        <w:t>The U.S. federal securities laws do not recognize any mitigating circumstances to insider trading. In addition, even the appearance of an improper transaction must be avoided to preserve Geron’s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51" w:lineRule="exact"/>
        <w:rPr>
          <w:sz w:val="20"/>
          <w:szCs w:val="20"/>
          <w:color w:val="auto"/>
        </w:rPr>
      </w:pPr>
    </w:p>
    <w:p>
      <w:pPr>
        <w:ind w:left="1160" w:right="1319" w:firstLine="258"/>
        <w:spacing w:after="0" w:line="265" w:lineRule="auto"/>
        <w:rPr>
          <w:sz w:val="20"/>
          <w:szCs w:val="20"/>
          <w:color w:val="auto"/>
        </w:rPr>
      </w:pPr>
      <w:r>
        <w:rPr>
          <w:rFonts w:ascii="Arial" w:cs="Arial" w:eastAsia="Arial" w:hAnsi="Arial"/>
          <w:sz w:val="15"/>
          <w:szCs w:val="15"/>
          <w:color w:val="auto"/>
        </w:rPr>
        <w:t>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Geron that no employee, director or designated consultant of Geron (or any other person or entity subject to this policy) may either</w:t>
      </w:r>
    </w:p>
    <w:p>
      <w:pPr>
        <w:spacing w:after="0" w:line="4" w:lineRule="exact"/>
        <w:rPr>
          <w:sz w:val="20"/>
          <w:szCs w:val="20"/>
          <w:color w:val="auto"/>
        </w:rPr>
      </w:pPr>
    </w:p>
    <w:p>
      <w:pPr>
        <w:ind w:left="1160" w:right="1179"/>
        <w:spacing w:after="0" w:line="248" w:lineRule="auto"/>
        <w:rPr>
          <w:sz w:val="20"/>
          <w:szCs w:val="20"/>
          <w:color w:val="auto"/>
        </w:rPr>
      </w:pPr>
      <w:r>
        <w:rPr>
          <w:rFonts w:ascii="Arial" w:cs="Arial" w:eastAsia="Arial" w:hAnsi="Arial"/>
          <w:sz w:val="16"/>
          <w:szCs w:val="16"/>
          <w:color w:val="auto"/>
        </w:rPr>
        <w:t xml:space="preserve">(a) recommend to another person or entity that they buy, hold or sell Geron’s securities </w:t>
      </w:r>
      <w:r>
        <w:rPr>
          <w:rFonts w:ascii="Arial" w:cs="Arial" w:eastAsia="Arial" w:hAnsi="Arial"/>
          <w:sz w:val="16"/>
          <w:szCs w:val="16"/>
          <w:b w:val="1"/>
          <w:bCs w:val="1"/>
          <w:color w:val="auto"/>
        </w:rPr>
        <w:t>at any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time </w:t>
      </w:r>
      <w:r>
        <w:rPr>
          <w:rFonts w:ascii="Arial" w:cs="Arial" w:eastAsia="Arial" w:hAnsi="Arial"/>
          <w:sz w:val="16"/>
          <w:szCs w:val="16"/>
          <w:color w:val="auto"/>
        </w:rPr>
        <w:t>or (b) disclose material nonpublic information to persons within Geron whose jobs do not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them to have that information, or outside of Geron to other persons (unless the disclosure is made in accordance with Geron’s policies regarding the protection or authorized external disclosure of information regarding Geron).</w:t>
      </w:r>
    </w:p>
    <w:p>
      <w:pPr>
        <w:spacing w:after="0" w:line="153" w:lineRule="exact"/>
        <w:rPr>
          <w:sz w:val="20"/>
          <w:szCs w:val="20"/>
          <w:color w:val="auto"/>
        </w:rPr>
      </w:pPr>
    </w:p>
    <w:p>
      <w:pPr>
        <w:ind w:left="1160" w:right="1299" w:firstLine="322"/>
        <w:spacing w:after="0" w:line="274" w:lineRule="auto"/>
        <w:rPr>
          <w:sz w:val="20"/>
          <w:szCs w:val="20"/>
          <w:color w:val="auto"/>
        </w:rPr>
      </w:pPr>
      <w:r>
        <w:rPr>
          <w:rFonts w:ascii="Arial" w:cs="Arial" w:eastAsia="Arial" w:hAnsi="Arial"/>
          <w:sz w:val="15"/>
          <w:szCs w:val="15"/>
          <w:color w:val="auto"/>
        </w:rPr>
        <w:t>In addition, it is the policy of Geron that no person subject to this policy who, in the course of his or her relationship with Geron, learns of any confidential information that is material to another publicly traded company, including but not limited to a customer, supplier, partner or collaborator of Geron or an economically-linked company such as a competitor of Geron, may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60" w:right="1539"/>
        <w:spacing w:after="0" w:line="281" w:lineRule="auto"/>
        <w:rPr>
          <w:sz w:val="20"/>
          <w:szCs w:val="20"/>
          <w:color w:val="auto"/>
        </w:rPr>
      </w:pPr>
      <w:r>
        <w:rPr>
          <w:rFonts w:ascii="Arial" w:cs="Arial" w:eastAsia="Arial" w:hAnsi="Arial"/>
          <w:sz w:val="16"/>
          <w:szCs w:val="16"/>
          <w:color w:val="auto"/>
        </w:rPr>
        <w:t>trade in that other company’s securities until the information becomes public or is no longer material to that other company.</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There are no exceptions to this policy, except as specifically noted above or below.</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TRANSACTIONS SUBJECT TO THIS POLICY</w:t>
      </w:r>
    </w:p>
    <w:p>
      <w:pPr>
        <w:spacing w:after="0" w:line="180" w:lineRule="exact"/>
        <w:rPr>
          <w:sz w:val="20"/>
          <w:szCs w:val="20"/>
          <w:color w:val="auto"/>
        </w:rPr>
      </w:pPr>
    </w:p>
    <w:p>
      <w:pPr>
        <w:ind w:left="1160" w:right="1359" w:firstLine="258"/>
        <w:spacing w:after="0" w:line="270" w:lineRule="auto"/>
        <w:rPr>
          <w:sz w:val="20"/>
          <w:szCs w:val="20"/>
          <w:color w:val="auto"/>
        </w:rPr>
      </w:pPr>
      <w:r>
        <w:rPr>
          <w:rFonts w:ascii="Arial" w:cs="Arial" w:eastAsia="Arial" w:hAnsi="Arial"/>
          <w:sz w:val="15"/>
          <w:szCs w:val="15"/>
          <w:color w:val="auto"/>
        </w:rPr>
        <w:t>This policy applies to all transactions in securities issued by Geron, as well as derivative securities that are not issued by Geron, such as exchange-traded put or call options or swaps</w:t>
      </w:r>
    </w:p>
    <w:p>
      <w:pPr>
        <w:spacing w:after="0" w:line="1" w:lineRule="exact"/>
        <w:rPr>
          <w:sz w:val="20"/>
          <w:szCs w:val="20"/>
          <w:color w:val="auto"/>
        </w:rPr>
      </w:pPr>
    </w:p>
    <w:p>
      <w:pPr>
        <w:ind w:left="1160" w:right="1159"/>
        <w:spacing w:after="0" w:line="248" w:lineRule="auto"/>
        <w:rPr>
          <w:sz w:val="20"/>
          <w:szCs w:val="20"/>
          <w:color w:val="auto"/>
        </w:rPr>
      </w:pPr>
      <w:r>
        <w:rPr>
          <w:rFonts w:ascii="Arial" w:cs="Arial" w:eastAsia="Arial" w:hAnsi="Arial"/>
          <w:sz w:val="16"/>
          <w:szCs w:val="16"/>
          <w:color w:val="auto"/>
        </w:rPr>
        <w:t xml:space="preserve">relating to Geron’s securities. Accordingly, for purposes of this policy, the terms “ </w:t>
      </w:r>
      <w:r>
        <w:rPr>
          <w:rFonts w:ascii="Arial" w:cs="Arial" w:eastAsia="Arial" w:hAnsi="Arial"/>
          <w:sz w:val="16"/>
          <w:szCs w:val="16"/>
          <w:b w:val="1"/>
          <w:bCs w:val="1"/>
          <w:i w:val="1"/>
          <w:iCs w:val="1"/>
          <w:color w:val="auto"/>
        </w:rPr>
        <w:t>trade</w:t>
      </w:r>
      <w:r>
        <w:rPr>
          <w:rFonts w:ascii="Arial" w:cs="Arial" w:eastAsia="Arial" w:hAnsi="Arial"/>
          <w:sz w:val="16"/>
          <w:szCs w:val="16"/>
          <w:color w:val="auto"/>
        </w:rPr>
        <w:t>,” “</w:t>
      </w:r>
      <w:r>
        <w:rPr>
          <w:rFonts w:ascii="Arial" w:cs="Arial" w:eastAsia="Arial" w:hAnsi="Arial"/>
          <w:sz w:val="16"/>
          <w:szCs w:val="16"/>
          <w:b w:val="1"/>
          <w:bCs w:val="1"/>
          <w:i w:val="1"/>
          <w:iCs w:val="1"/>
          <w:color w:val="auto"/>
        </w:rPr>
        <w:t>trading</w:t>
      </w:r>
      <w:r>
        <w:rPr>
          <w:rFonts w:ascii="Arial" w:cs="Arial" w:eastAsia="Arial" w:hAnsi="Arial"/>
          <w:sz w:val="16"/>
          <w:szCs w:val="16"/>
          <w:color w:val="auto"/>
        </w:rPr>
        <w:t>” and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 include not only purchases and sales of Geron’s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PERSONS SUBJECT TO THIS POLICY</w:t>
      </w:r>
    </w:p>
    <w:p>
      <w:pPr>
        <w:spacing w:after="0" w:line="180" w:lineRule="exact"/>
        <w:rPr>
          <w:sz w:val="20"/>
          <w:szCs w:val="20"/>
          <w:color w:val="auto"/>
        </w:rPr>
      </w:pPr>
    </w:p>
    <w:p>
      <w:pPr>
        <w:ind w:left="1160" w:right="1159" w:firstLine="258"/>
        <w:spacing w:after="0" w:line="248" w:lineRule="auto"/>
        <w:rPr>
          <w:sz w:val="20"/>
          <w:szCs w:val="20"/>
          <w:color w:val="auto"/>
        </w:rPr>
      </w:pPr>
      <w:r>
        <w:rPr>
          <w:rFonts w:ascii="Arial" w:cs="Arial" w:eastAsia="Arial" w:hAnsi="Arial"/>
          <w:sz w:val="16"/>
          <w:szCs w:val="16"/>
          <w:color w:val="auto"/>
        </w:rPr>
        <w:t xml:space="preserve">This policy applies to you and all other employees, directors and designated consultants of Geron and its subsidiaries. This policy also applies to members of your family who reside with you, any other persons with whom you share a household, any family members who do not live in your household but whose transactions in Geron’s securities are directed by you or are subject to your influence or control and any other individuals or entities whose transactions in securities you influence, direct or control (including, e.g., a venture or other investment fund,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Geron’s securities. The foregoing persons who are deemed subject to this policy are referred to in this policy as “ </w:t>
      </w:r>
      <w:r>
        <w:rPr>
          <w:rFonts w:ascii="Arial" w:cs="Arial" w:eastAsia="Arial" w:hAnsi="Arial"/>
          <w:sz w:val="16"/>
          <w:szCs w:val="16"/>
          <w:b w:val="1"/>
          <w:bCs w:val="1"/>
          <w:i w:val="1"/>
          <w:iCs w:val="1"/>
          <w:color w:val="auto"/>
        </w:rPr>
        <w:t>Related Persons</w:t>
      </w:r>
      <w:r>
        <w:rPr>
          <w:rFonts w:ascii="Arial" w:cs="Arial" w:eastAsia="Arial" w:hAnsi="Arial"/>
          <w:sz w:val="16"/>
          <w:szCs w:val="16"/>
          <w:color w:val="auto"/>
        </w:rPr>
        <w:t xml:space="preserve"> .” You are responsible for making sure that your Related Persons comply with this policy.</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MATERIAL NONPUBLIC INFORMATION</w:t>
      </w: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6"/>
          <w:szCs w:val="16"/>
          <w:b w:val="1"/>
          <w:bCs w:val="1"/>
          <w:i w:val="1"/>
          <w:iCs w:val="1"/>
          <w:color w:val="auto"/>
        </w:rPr>
        <w:t>Material information</w:t>
      </w:r>
    </w:p>
    <w:p>
      <w:pPr>
        <w:spacing w:after="0" w:line="181" w:lineRule="exact"/>
        <w:rPr>
          <w:sz w:val="20"/>
          <w:szCs w:val="20"/>
          <w:color w:val="auto"/>
        </w:rPr>
      </w:pPr>
    </w:p>
    <w:p>
      <w:pPr>
        <w:ind w:left="1160" w:right="1179" w:firstLine="258"/>
        <w:spacing w:after="0" w:line="254" w:lineRule="auto"/>
        <w:rPr>
          <w:sz w:val="20"/>
          <w:szCs w:val="20"/>
          <w:color w:val="auto"/>
        </w:rPr>
      </w:pPr>
      <w:r>
        <w:rPr>
          <w:rFonts w:ascii="Arial" w:cs="Arial" w:eastAsia="Arial" w:hAnsi="Arial"/>
          <w:sz w:val="16"/>
          <w:szCs w:val="16"/>
          <w:color w:val="auto"/>
        </w:rPr>
        <w:t xml:space="preserve">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 A good general rule of thumb: </w:t>
      </w:r>
      <w:r>
        <w:rPr>
          <w:rFonts w:ascii="Arial" w:cs="Arial" w:eastAsia="Arial" w:hAnsi="Arial"/>
          <w:sz w:val="16"/>
          <w:szCs w:val="16"/>
          <w:b w:val="1"/>
          <w:bCs w:val="1"/>
          <w:i w:val="1"/>
          <w:iCs w:val="1"/>
          <w:color w:val="auto"/>
        </w:rPr>
        <w:t>when in doubt, do not trade</w:t>
      </w:r>
      <w:r>
        <w:rPr>
          <w:rFonts w:ascii="Arial" w:cs="Arial" w:eastAsia="Arial" w:hAnsi="Arial"/>
          <w:sz w:val="16"/>
          <w:szCs w:val="16"/>
          <w:color w:val="auto"/>
        </w:rPr>
        <w:t>.</w:t>
      </w:r>
    </w:p>
    <w:p>
      <w:pPr>
        <w:spacing w:after="0" w:line="130" w:lineRule="exact"/>
        <w:rPr>
          <w:sz w:val="20"/>
          <w:szCs w:val="20"/>
          <w:color w:val="auto"/>
        </w:rPr>
      </w:pPr>
    </w:p>
    <w:p>
      <w:pPr>
        <w:ind w:left="1160" w:right="1279" w:firstLine="258"/>
        <w:spacing w:after="0" w:line="277" w:lineRule="auto"/>
        <w:rPr>
          <w:sz w:val="20"/>
          <w:szCs w:val="20"/>
          <w:color w:val="auto"/>
        </w:rPr>
      </w:pPr>
      <w:r>
        <w:rPr>
          <w:rFonts w:ascii="Arial" w:cs="Arial" w:eastAsia="Arial" w:hAnsi="Arial"/>
          <w:sz w:val="15"/>
          <w:szCs w:val="15"/>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w:t>
      </w:r>
    </w:p>
    <w:p>
      <w:pPr>
        <w:sectPr>
          <w:pgSz w:w="11900" w:h="16838" w:orient="portrait"/>
          <w:cols w:equalWidth="0" w:num="1">
            <w:col w:w="9019"/>
          </w:cols>
          <w:pgMar w:left="1440" w:top="90" w:right="1440" w:bottom="0" w:gutter="0" w:footer="0" w:header="0"/>
        </w:sectPr>
      </w:pPr>
    </w:p>
    <w:bookmarkStart w:id="138" w:name="page139"/>
    <w:bookmarkEnd w:id="138"/>
    <w:p>
      <w:pPr>
        <w:spacing w:after="0" w:line="9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material information as well; use this list merely as a non-exhaustive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financial or sales results or forecasts;</w:t>
      </w:r>
    </w:p>
    <w:p>
      <w:pPr>
        <w:spacing w:after="0" w:line="24"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changes in previously provided guidance;</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status of product or product candidate development or regulatory approvals;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clinical data relating to products or product candidates;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timelines for pre-clinical studies or clinical trials;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acquisitions or dispositions of assets, divisions or companies;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public or private sales of debt or equity securities;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stock splits, dividends or changes in dividend policy;</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the establishment of a repurchase program for Geron’s securities;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gain or loss of a significant licensor, licensee or supplier;</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changes or new corporate partner relationships or collaborations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notice of issuance or denial of patents;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regulatory developments;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management, Board or control changes;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employee layoffs;</w:t>
      </w:r>
    </w:p>
    <w:p>
      <w:pPr>
        <w:spacing w:after="0" w:line="10" w:lineRule="exact"/>
        <w:rPr>
          <w:rFonts w:ascii="Times New Roman" w:cs="Times New Roman" w:eastAsia="Times New Roman" w:hAnsi="Times New Roman"/>
          <w:sz w:val="14"/>
          <w:szCs w:val="14"/>
          <w:color w:val="auto"/>
        </w:rPr>
      </w:pPr>
    </w:p>
    <w:p>
      <w:pPr>
        <w:ind w:left="1660" w:right="1479" w:hanging="249"/>
        <w:spacing w:after="0" w:line="255" w:lineRule="auto"/>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a disruption in Geron’s operations or breach or unauthorized access of its property or assets, including its facilities and information technology infrastructure;</w:t>
      </w: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tender offers or proxy fights;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accounting restatements;</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litigation or settlements; and</w:t>
      </w:r>
    </w:p>
    <w:p>
      <w:pPr>
        <w:spacing w:after="0" w:line="1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impending bankruptcy.</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6"/>
          <w:szCs w:val="16"/>
          <w:b w:val="1"/>
          <w:bCs w:val="1"/>
          <w:i w:val="1"/>
          <w:iCs w:val="1"/>
          <w:color w:val="auto"/>
        </w:rPr>
        <w:t>When information is considered public</w:t>
      </w:r>
    </w:p>
    <w:p>
      <w:pPr>
        <w:spacing w:after="0" w:line="170" w:lineRule="exact"/>
        <w:rPr>
          <w:sz w:val="20"/>
          <w:szCs w:val="20"/>
          <w:color w:val="auto"/>
        </w:rPr>
      </w:pPr>
    </w:p>
    <w:p>
      <w:pPr>
        <w:ind w:left="1160" w:right="1159" w:firstLine="258"/>
        <w:spacing w:after="0" w:line="249" w:lineRule="auto"/>
        <w:rPr>
          <w:sz w:val="20"/>
          <w:szCs w:val="20"/>
          <w:color w:val="auto"/>
        </w:rPr>
      </w:pPr>
      <w:r>
        <w:rPr>
          <w:rFonts w:ascii="Arial" w:cs="Arial" w:eastAsia="Arial" w:hAnsi="Arial"/>
          <w:sz w:val="16"/>
          <w:szCs w:val="16"/>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full trading day has elapsed since the information was publicly disclosed. For example, if we announce material nonpublic information before trading begins on Wednesday, then during an open trading window you may execute a transaction in our securities on Thursday; if we announce material nonpublic information after trading ends on Wednesday, then during an open trading window you may execute a transaction in our securities on Friday. Depending on the particular circumstances, Geron may determine that a longer waiting period should apply to the release of specific material nonpublic information.</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QUARTERLY TRADING BLACKOUTS</w:t>
      </w:r>
    </w:p>
    <w:p>
      <w:pPr>
        <w:spacing w:after="0" w:line="180" w:lineRule="exact"/>
        <w:rPr>
          <w:sz w:val="20"/>
          <w:szCs w:val="20"/>
          <w:color w:val="auto"/>
        </w:rPr>
      </w:pPr>
    </w:p>
    <w:p>
      <w:pPr>
        <w:ind w:left="1160" w:right="1439" w:firstLine="258"/>
        <w:spacing w:after="0" w:line="266" w:lineRule="auto"/>
        <w:rPr>
          <w:sz w:val="20"/>
          <w:szCs w:val="20"/>
          <w:color w:val="auto"/>
        </w:rPr>
      </w:pPr>
      <w:r>
        <w:rPr>
          <w:rFonts w:ascii="Arial" w:cs="Arial" w:eastAsia="Arial" w:hAnsi="Arial"/>
          <w:sz w:val="15"/>
          <w:szCs w:val="15"/>
          <w:color w:val="auto"/>
        </w:rPr>
        <w:t>To minimize even the appearance of insider trading among our insiders, we have established “quarterly trading blackout periods” during which all Geron employees, directors, designated consultants and their Related Persons—regardless of whether they are aware of material nonpublic information or not—may not conduct any trades in Geron securities. That means that, except as described in this policy, all Geron employees, directors, designated</w:t>
      </w:r>
    </w:p>
    <w:p>
      <w:pPr>
        <w:spacing w:after="0" w:line="2" w:lineRule="exact"/>
        <w:rPr>
          <w:sz w:val="20"/>
          <w:szCs w:val="20"/>
          <w:color w:val="auto"/>
        </w:rPr>
      </w:pPr>
    </w:p>
    <w:p>
      <w:pPr>
        <w:ind w:left="1160" w:right="1199"/>
        <w:spacing w:after="0" w:line="268" w:lineRule="auto"/>
        <w:rPr>
          <w:sz w:val="20"/>
          <w:szCs w:val="20"/>
          <w:color w:val="auto"/>
        </w:rPr>
      </w:pPr>
      <w:r>
        <w:rPr>
          <w:rFonts w:ascii="Arial" w:cs="Arial" w:eastAsia="Arial" w:hAnsi="Arial"/>
          <w:sz w:val="15"/>
          <w:szCs w:val="15"/>
          <w:color w:val="auto"/>
        </w:rPr>
        <w:t xml:space="preserve">consultants and their Related Persons will be able to trade in Geron securities </w:t>
      </w:r>
      <w:r>
        <w:rPr>
          <w:rFonts w:ascii="Arial" w:cs="Arial" w:eastAsia="Arial" w:hAnsi="Arial"/>
          <w:sz w:val="15"/>
          <w:szCs w:val="15"/>
          <w:u w:val="single" w:color="auto"/>
          <w:color w:val="auto"/>
        </w:rPr>
        <w:t>only</w:t>
      </w:r>
      <w:r>
        <w:rPr>
          <w:rFonts w:ascii="Arial" w:cs="Arial" w:eastAsia="Arial" w:hAnsi="Arial"/>
          <w:sz w:val="15"/>
          <w:szCs w:val="15"/>
          <w:color w:val="auto"/>
        </w:rPr>
        <w:t xml:space="preserve"> during limited open trading window periods that generally will begin after one full trading day has elapsed since the public dissemination of Geron’s financial results covering the immediately preceding quarterly or annual period, as applicable, and will end at the beginning of the next quarterly trading blackout period, as described in the next paragraph. Of course, even during an</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60" w:right="1379"/>
        <w:spacing w:after="0" w:line="281" w:lineRule="auto"/>
        <w:rPr>
          <w:sz w:val="20"/>
          <w:szCs w:val="20"/>
          <w:color w:val="auto"/>
        </w:rPr>
      </w:pPr>
      <w:r>
        <w:rPr>
          <w:rFonts w:ascii="Arial" w:cs="Arial" w:eastAsia="Arial" w:hAnsi="Arial"/>
          <w:sz w:val="16"/>
          <w:szCs w:val="16"/>
          <w:color w:val="auto"/>
        </w:rPr>
        <w:t>open trading window period, you may not (unless an exception applies) conduct any trades in Geron securities if you are otherwise in possession of material nonpublic information.</w:t>
      </w:r>
    </w:p>
    <w:p>
      <w:pPr>
        <w:spacing w:after="0" w:line="117" w:lineRule="exact"/>
        <w:rPr>
          <w:sz w:val="20"/>
          <w:szCs w:val="20"/>
          <w:color w:val="auto"/>
        </w:rPr>
      </w:pPr>
    </w:p>
    <w:p>
      <w:pPr>
        <w:ind w:left="1160" w:right="1179" w:firstLine="258"/>
        <w:spacing w:after="0" w:line="250" w:lineRule="auto"/>
        <w:rPr>
          <w:sz w:val="20"/>
          <w:szCs w:val="20"/>
          <w:color w:val="auto"/>
        </w:rPr>
      </w:pPr>
      <w:r>
        <w:rPr>
          <w:rFonts w:ascii="Arial" w:cs="Arial" w:eastAsia="Arial" w:hAnsi="Arial"/>
          <w:sz w:val="16"/>
          <w:szCs w:val="16"/>
          <w:color w:val="auto"/>
        </w:rPr>
        <w:t>For purposes of this policy, each “</w:t>
      </w:r>
      <w:r>
        <w:rPr>
          <w:rFonts w:ascii="Arial" w:cs="Arial" w:eastAsia="Arial" w:hAnsi="Arial"/>
          <w:sz w:val="16"/>
          <w:szCs w:val="16"/>
          <w:b w:val="1"/>
          <w:bCs w:val="1"/>
          <w:i w:val="1"/>
          <w:iCs w:val="1"/>
          <w:color w:val="auto"/>
        </w:rPr>
        <w:t>quarterly trading blackout period</w:t>
      </w:r>
      <w:r>
        <w:rPr>
          <w:rFonts w:ascii="Arial" w:cs="Arial" w:eastAsia="Arial" w:hAnsi="Arial"/>
          <w:sz w:val="16"/>
          <w:szCs w:val="16"/>
          <w:color w:val="auto"/>
        </w:rPr>
        <w:t>” will generally begin at the end of the day that is two weeks before the end of each fiscal quarter and will end after one full trading day has elapsed since the public dissemination of Geron’s financial results for that quarter. Please note that the quarterly trading blackout period may commence early or may be extended if, in the judgment of the Insider Trading Compliance Officer, there exists undisclosed information that would make trades by insiders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54" w:lineRule="exact"/>
        <w:rPr>
          <w:sz w:val="20"/>
          <w:szCs w:val="20"/>
          <w:color w:val="auto"/>
        </w:rPr>
      </w:pPr>
    </w:p>
    <w:p>
      <w:pPr>
        <w:ind w:left="1160" w:right="1639" w:firstLine="258"/>
        <w:spacing w:after="0" w:line="301" w:lineRule="auto"/>
        <w:rPr>
          <w:sz w:val="20"/>
          <w:szCs w:val="20"/>
          <w:color w:val="auto"/>
        </w:rPr>
      </w:pPr>
      <w:r>
        <w:rPr>
          <w:rFonts w:ascii="Arial" w:cs="Arial" w:eastAsia="Arial" w:hAnsi="Arial"/>
          <w:sz w:val="15"/>
          <w:szCs w:val="15"/>
          <w:color w:val="auto"/>
        </w:rPr>
        <w:t>A Geron employee, director or designated consultant who believes that special circumstances require him or her to trade during a quarterly trading blackout period (or an</w:t>
      </w:r>
    </w:p>
    <w:p>
      <w:pPr>
        <w:sectPr>
          <w:pgSz w:w="11900" w:h="16929" w:orient="portrait"/>
          <w:cols w:equalWidth="0" w:num="1">
            <w:col w:w="9019"/>
          </w:cols>
          <w:pgMar w:left="1440" w:top="71" w:right="1440" w:bottom="0" w:gutter="0" w:footer="0" w:header="0"/>
        </w:sectPr>
      </w:pPr>
    </w:p>
    <w:bookmarkStart w:id="139" w:name="page140"/>
    <w:bookmarkEnd w:id="139"/>
    <w:p>
      <w:pPr>
        <w:ind w:left="1160"/>
        <w:spacing w:after="0"/>
        <w:rPr>
          <w:sz w:val="20"/>
          <w:szCs w:val="20"/>
          <w:color w:val="auto"/>
        </w:rPr>
      </w:pPr>
      <w:r>
        <w:rPr>
          <w:rFonts w:ascii="Arial" w:cs="Arial" w:eastAsia="Arial" w:hAnsi="Arial"/>
          <w:sz w:val="16"/>
          <w:szCs w:val="16"/>
          <w:color w:val="auto"/>
        </w:rPr>
        <w:t>event-specific trading blackout as described in the next paragraph) should consult the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-90805</wp:posOffset>
            </wp:positionV>
            <wp:extent cx="7160260" cy="10515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59"/>
        <w:spacing w:after="0" w:line="265" w:lineRule="auto"/>
        <w:rPr>
          <w:sz w:val="20"/>
          <w:szCs w:val="20"/>
          <w:color w:val="auto"/>
        </w:rPr>
      </w:pPr>
      <w:r>
        <w:rPr>
          <w:rFonts w:ascii="Arial" w:cs="Arial" w:eastAsia="Arial" w:hAnsi="Arial"/>
          <w:sz w:val="15"/>
          <w:szCs w:val="15"/>
          <w:color w:val="auto"/>
        </w:rPr>
        <w:t>Trading Compliance Officer. Permission to trade during a quarterly trading blackout period will be granted only where the circumstances are extenuating, the person seeking such permission represents to the satisfaction of the Insider Trading Compliance Officer that the person is not in fact aware of any material nonpublic information relating to Geron or its securities, and the Insider Trading Compliance Officer otherwise determines, in his or her sole discretion, that an exception may be granted under the circumstances. As described under “Individual Responsibility” below, the responsibility for determining whether an individual is aware of material nonpublic information rests with that individual, and any action on the part of Geron or any employee or director of Geron pursuant to this policy (or otherwise), including but not limited to granting permission to trade during a quarterly blackout period, does not in any way constitute legal advice or insulate an individual from liability under applicable securities laws.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EVENT-SPECIFIC TRADING BLACKOUTS</w:t>
      </w:r>
    </w:p>
    <w:p>
      <w:pPr>
        <w:spacing w:after="0" w:line="180" w:lineRule="exact"/>
        <w:rPr>
          <w:sz w:val="20"/>
          <w:szCs w:val="20"/>
          <w:color w:val="auto"/>
        </w:rPr>
      </w:pPr>
    </w:p>
    <w:p>
      <w:pPr>
        <w:ind w:left="1160" w:right="1219" w:firstLine="258"/>
        <w:spacing w:after="0" w:line="249" w:lineRule="auto"/>
        <w:rPr>
          <w:sz w:val="20"/>
          <w:szCs w:val="20"/>
          <w:color w:val="auto"/>
        </w:rPr>
      </w:pPr>
      <w:r>
        <w:rPr>
          <w:rFonts w:ascii="Arial" w:cs="Arial" w:eastAsia="Arial" w:hAnsi="Arial"/>
          <w:sz w:val="16"/>
          <w:szCs w:val="16"/>
          <w:color w:val="auto"/>
        </w:rPr>
        <w:t>From time to time, an event may occur that is material to Geron and is known by only a few directors, officers, employees and/or designated consultants. So long as the event remains material and nonpublic, the persons designated by the Insider Trading Compliance Officer may not trade in Geron’s securities. In that situation, Geron will notify the designated individuals that neither they nor their Related Persons may trade in Geron’s securities, which designated individuals may, in the Insider Trading Compliance Officer’s discretion, include all Geron employees, directors and designated consultants.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w:t>
      </w:r>
    </w:p>
    <w:p>
      <w:pPr>
        <w:spacing w:after="0" w:line="155" w:lineRule="exact"/>
        <w:rPr>
          <w:sz w:val="20"/>
          <w:szCs w:val="20"/>
          <w:color w:val="auto"/>
        </w:rPr>
      </w:pPr>
    </w:p>
    <w:p>
      <w:pPr>
        <w:jc w:val="both"/>
        <w:ind w:left="1160" w:right="1539" w:firstLine="258"/>
        <w:spacing w:after="0" w:line="259" w:lineRule="auto"/>
        <w:rPr>
          <w:sz w:val="20"/>
          <w:szCs w:val="20"/>
          <w:color w:val="auto"/>
        </w:rPr>
      </w:pPr>
      <w:r>
        <w:rPr>
          <w:rFonts w:ascii="Arial" w:cs="Arial" w:eastAsia="Arial" w:hAnsi="Arial"/>
          <w:sz w:val="16"/>
          <w:szCs w:val="16"/>
          <w:color w:val="auto"/>
        </w:rPr>
        <w:t>The quarterly and event-specific trading blackouts do not apply to those transactions to which this policy does not apply, as described under the heading “Exceptions to this Policy” below.</w:t>
      </w:r>
    </w:p>
    <w:p>
      <w:pPr>
        <w:spacing w:after="0" w:line="13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EXCEPTIONS TO THIS POLICY</w:t>
      </w:r>
    </w:p>
    <w:p>
      <w:pPr>
        <w:spacing w:after="0" w:line="180" w:lineRule="exact"/>
        <w:rPr>
          <w:sz w:val="20"/>
          <w:szCs w:val="20"/>
          <w:color w:val="auto"/>
        </w:rPr>
      </w:pPr>
    </w:p>
    <w:p>
      <w:pPr>
        <w:ind w:left="1160" w:right="1439" w:firstLine="258"/>
        <w:spacing w:after="0" w:line="260" w:lineRule="auto"/>
        <w:rPr>
          <w:sz w:val="20"/>
          <w:szCs w:val="20"/>
          <w:color w:val="auto"/>
        </w:rPr>
      </w:pPr>
      <w:r>
        <w:rPr>
          <w:rFonts w:ascii="Arial" w:cs="Arial" w:eastAsia="Arial" w:hAnsi="Arial"/>
          <w:sz w:val="16"/>
          <w:szCs w:val="16"/>
          <w:color w:val="auto"/>
        </w:rPr>
        <w:t>This policy does not apply in the case of the following transactions, except as specifically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60" w:right="1179" w:firstLine="251"/>
        <w:spacing w:after="0" w:line="212" w:lineRule="auto"/>
        <w:tabs>
          <w:tab w:leader="none" w:pos="1675" w:val="left"/>
        </w:tabs>
        <w:numPr>
          <w:ilvl w:val="0"/>
          <w:numId w:val="106"/>
        </w:numPr>
        <w:rPr>
          <w:rFonts w:ascii="Arial" w:cs="Arial" w:eastAsia="Arial" w:hAnsi="Arial"/>
          <w:sz w:val="14"/>
          <w:szCs w:val="14"/>
          <w:b w:val="1"/>
          <w:bCs w:val="1"/>
          <w:color w:val="auto"/>
        </w:rPr>
      </w:pPr>
      <w:r>
        <w:rPr>
          <w:rFonts w:ascii="Arial" w:cs="Arial" w:eastAsia="Arial" w:hAnsi="Arial"/>
          <w:sz w:val="16"/>
          <w:szCs w:val="16"/>
          <w:b w:val="1"/>
          <w:bCs w:val="1"/>
          <w:i w:val="1"/>
          <w:iCs w:val="1"/>
          <w:color w:val="auto"/>
        </w:rPr>
        <w:t xml:space="preserve">Option Exercises. </w:t>
      </w:r>
      <w:r>
        <w:rPr>
          <w:rFonts w:ascii="Arial" w:cs="Arial" w:eastAsia="Arial" w:hAnsi="Arial"/>
          <w:sz w:val="16"/>
          <w:szCs w:val="16"/>
          <w:color w:val="auto"/>
        </w:rPr>
        <w:t>This policy does not apply to the exercise of options granted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Geron’s equity compensation plans for which payment is made in cash or, where permitted under the option, by a net exercise transaction with the Company. This policy does, however, apply to any sale of stock underlying the exercised options, whether or not for the purpose of generating the cash needed to pay the exercise price or pay taxes. For this reason, you may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effect a broker-assisted cashless exercise or same-day sale (these broker-assisted cashless exercise and same-day sale transactions always include a market sale of stock underlying the options) during a trading blackout period or any time that you are aware of material nonpublic information.</w:t>
      </w:r>
    </w:p>
    <w:p>
      <w:pPr>
        <w:spacing w:after="0" w:line="126" w:lineRule="exact"/>
        <w:rPr>
          <w:rFonts w:ascii="Arial" w:cs="Arial" w:eastAsia="Arial" w:hAnsi="Arial"/>
          <w:sz w:val="14"/>
          <w:szCs w:val="14"/>
          <w:b w:val="1"/>
          <w:bCs w:val="1"/>
          <w:color w:val="auto"/>
        </w:rPr>
      </w:pPr>
    </w:p>
    <w:p>
      <w:pPr>
        <w:ind w:left="1160" w:right="1199" w:firstLine="251"/>
        <w:spacing w:after="0" w:line="225" w:lineRule="auto"/>
        <w:tabs>
          <w:tab w:leader="none" w:pos="1675" w:val="left"/>
        </w:tabs>
        <w:numPr>
          <w:ilvl w:val="0"/>
          <w:numId w:val="106"/>
        </w:numPr>
        <w:rPr>
          <w:rFonts w:ascii="Arial" w:cs="Arial" w:eastAsia="Arial" w:hAnsi="Arial"/>
          <w:sz w:val="13"/>
          <w:szCs w:val="13"/>
          <w:b w:val="1"/>
          <w:bCs w:val="1"/>
          <w:color w:val="auto"/>
        </w:rPr>
      </w:pPr>
      <w:r>
        <w:rPr>
          <w:rFonts w:ascii="Arial" w:cs="Arial" w:eastAsia="Arial" w:hAnsi="Arial"/>
          <w:sz w:val="15"/>
          <w:szCs w:val="15"/>
          <w:b w:val="1"/>
          <w:bCs w:val="1"/>
          <w:i w:val="1"/>
          <w:iCs w:val="1"/>
          <w:color w:val="auto"/>
        </w:rPr>
        <w:t xml:space="preserve">Tax Withholding Transactions. </w:t>
      </w:r>
      <w:r>
        <w:rPr>
          <w:rFonts w:ascii="Arial" w:cs="Arial" w:eastAsia="Arial" w:hAnsi="Arial"/>
          <w:sz w:val="15"/>
          <w:szCs w:val="15"/>
          <w:color w:val="auto"/>
        </w:rPr>
        <w:t>This policy does not apply to the surrender of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directly to Geron to satisfy tax withholding obligations as a result of the issuance of shares upon vesting or exercise of restricted stock units, options or other equity awards granted under Geron’s equity compensation plans. Of course, any market sale of the stock received upon</w:t>
      </w:r>
    </w:p>
    <w:p>
      <w:pPr>
        <w:spacing w:after="0" w:line="1" w:lineRule="exact"/>
        <w:rPr>
          <w:sz w:val="20"/>
          <w:szCs w:val="20"/>
          <w:color w:val="auto"/>
        </w:rPr>
      </w:pPr>
    </w:p>
    <w:p>
      <w:pPr>
        <w:ind w:left="1160" w:right="1359"/>
        <w:spacing w:after="0" w:line="203" w:lineRule="auto"/>
        <w:rPr>
          <w:sz w:val="20"/>
          <w:szCs w:val="20"/>
          <w:color w:val="auto"/>
        </w:rPr>
      </w:pPr>
      <w:r>
        <w:rPr>
          <w:rFonts w:ascii="Arial" w:cs="Arial" w:eastAsia="Arial" w:hAnsi="Arial"/>
          <w:sz w:val="16"/>
          <w:szCs w:val="16"/>
          <w:color w:val="auto"/>
        </w:rPr>
        <w:t xml:space="preserve">exercise or vesting of any such equity awards,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pursuant to mandatory sell to cover policies maintained by Geron, remains subject to all provisions of this policy, whether or not</w:t>
      </w:r>
    </w:p>
    <w:p>
      <w:pPr>
        <w:ind w:left="1160"/>
        <w:spacing w:after="0"/>
        <w:rPr>
          <w:sz w:val="20"/>
          <w:szCs w:val="20"/>
          <w:color w:val="auto"/>
        </w:rPr>
      </w:pPr>
      <w:r>
        <w:rPr>
          <w:rFonts w:ascii="Arial" w:cs="Arial" w:eastAsia="Arial" w:hAnsi="Arial"/>
          <w:sz w:val="16"/>
          <w:szCs w:val="16"/>
          <w:color w:val="auto"/>
        </w:rPr>
        <w:t>for the purpose of generating the cash needed to pay the exercise price or pay taxes.</w:t>
      </w:r>
    </w:p>
    <w:p>
      <w:pPr>
        <w:spacing w:after="0" w:line="135" w:lineRule="exact"/>
        <w:rPr>
          <w:sz w:val="20"/>
          <w:szCs w:val="20"/>
          <w:color w:val="auto"/>
        </w:rPr>
      </w:pPr>
    </w:p>
    <w:p>
      <w:pPr>
        <w:ind w:left="1160" w:right="1159" w:firstLine="251"/>
        <w:spacing w:after="0" w:line="226" w:lineRule="auto"/>
        <w:tabs>
          <w:tab w:leader="none" w:pos="1675" w:val="left"/>
        </w:tabs>
        <w:numPr>
          <w:ilvl w:val="0"/>
          <w:numId w:val="107"/>
        </w:numPr>
        <w:rPr>
          <w:rFonts w:ascii="Arial" w:cs="Arial" w:eastAsia="Arial" w:hAnsi="Arial"/>
          <w:sz w:val="13"/>
          <w:szCs w:val="13"/>
          <w:b w:val="1"/>
          <w:bCs w:val="1"/>
          <w:color w:val="auto"/>
        </w:rPr>
      </w:pPr>
      <w:r>
        <w:rPr>
          <w:rFonts w:ascii="Arial" w:cs="Arial" w:eastAsia="Arial" w:hAnsi="Arial"/>
          <w:sz w:val="15"/>
          <w:szCs w:val="15"/>
          <w:b w:val="1"/>
          <w:bCs w:val="1"/>
          <w:i w:val="1"/>
          <w:iCs w:val="1"/>
          <w:color w:val="auto"/>
        </w:rPr>
        <w:t xml:space="preserve">ESPP. </w:t>
      </w:r>
      <w:r>
        <w:rPr>
          <w:rFonts w:ascii="Arial" w:cs="Arial" w:eastAsia="Arial" w:hAnsi="Arial"/>
          <w:sz w:val="15"/>
          <w:szCs w:val="15"/>
          <w:color w:val="auto"/>
        </w:rPr>
        <w:t>This policy does not apply to the purchase of stock by employees under Geron’s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Employee Stock Purchase Plan (“ </w:t>
      </w:r>
      <w:r>
        <w:rPr>
          <w:rFonts w:ascii="Arial" w:cs="Arial" w:eastAsia="Arial" w:hAnsi="Arial"/>
          <w:sz w:val="15"/>
          <w:szCs w:val="15"/>
          <w:b w:val="1"/>
          <w:bCs w:val="1"/>
          <w:i w:val="1"/>
          <w:iCs w:val="1"/>
          <w:color w:val="auto"/>
        </w:rPr>
        <w:t>ESPP</w:t>
      </w:r>
      <w:r>
        <w:rPr>
          <w:rFonts w:ascii="Arial" w:cs="Arial" w:eastAsia="Arial" w:hAnsi="Arial"/>
          <w:sz w:val="15"/>
          <w:szCs w:val="15"/>
          <w:color w:val="auto"/>
        </w:rPr>
        <w:t>”) on periodic designated dates in accordance with the ESPP. This policy does however apply to an employee’s initial election to participate in the ESPP, changes (other than complete withdrawals) to an employee’s election to participate in the ESPP for any enrollment period, or to the subsequent sale of the stock acquired pursuant to the ESPP. Accordingly, such elections or changes (other than complete withdrawals) thereto may not be effected during a trading blackout period or when an employee is otherwise in possession of material non-public information relating to Geron or any of its securities.</w:t>
      </w:r>
    </w:p>
    <w:p>
      <w:pPr>
        <w:spacing w:after="0" w:line="128" w:lineRule="exact"/>
        <w:rPr>
          <w:rFonts w:ascii="Arial" w:cs="Arial" w:eastAsia="Arial" w:hAnsi="Arial"/>
          <w:sz w:val="13"/>
          <w:szCs w:val="13"/>
          <w:b w:val="1"/>
          <w:bCs w:val="1"/>
          <w:color w:val="auto"/>
        </w:rPr>
      </w:pPr>
    </w:p>
    <w:p>
      <w:pPr>
        <w:ind w:left="1660" w:hanging="249"/>
        <w:spacing w:after="0"/>
        <w:tabs>
          <w:tab w:leader="none" w:pos="1660" w:val="left"/>
        </w:tabs>
        <w:numPr>
          <w:ilvl w:val="0"/>
          <w:numId w:val="107"/>
        </w:numPr>
        <w:rPr>
          <w:rFonts w:ascii="Arial" w:cs="Arial" w:eastAsia="Arial" w:hAnsi="Arial"/>
          <w:sz w:val="13"/>
          <w:szCs w:val="13"/>
          <w:b w:val="1"/>
          <w:bCs w:val="1"/>
          <w:color w:val="auto"/>
        </w:rPr>
      </w:pPr>
      <w:r>
        <w:rPr>
          <w:rFonts w:ascii="Arial" w:cs="Arial" w:eastAsia="Arial" w:hAnsi="Arial"/>
          <w:sz w:val="15"/>
          <w:szCs w:val="15"/>
          <w:b w:val="1"/>
          <w:bCs w:val="1"/>
          <w:i w:val="1"/>
          <w:iCs w:val="1"/>
          <w:color w:val="auto"/>
        </w:rPr>
        <w:t xml:space="preserve">Directors’ Market Value Stock Purchase Plan. </w:t>
      </w:r>
      <w:r>
        <w:rPr>
          <w:rFonts w:ascii="Arial" w:cs="Arial" w:eastAsia="Arial" w:hAnsi="Arial"/>
          <w:sz w:val="15"/>
          <w:szCs w:val="15"/>
          <w:color w:val="auto"/>
        </w:rPr>
        <w:t>This policy does not apply to purchases</w:t>
      </w:r>
    </w:p>
    <w:p>
      <w:pPr>
        <w:spacing w:after="0" w:line="3" w:lineRule="exact"/>
        <w:rPr>
          <w:sz w:val="20"/>
          <w:szCs w:val="20"/>
          <w:color w:val="auto"/>
        </w:rPr>
      </w:pPr>
    </w:p>
    <w:p>
      <w:pPr>
        <w:ind w:left="1160" w:right="1279"/>
        <w:spacing w:after="0" w:line="203" w:lineRule="auto"/>
        <w:rPr>
          <w:sz w:val="20"/>
          <w:szCs w:val="20"/>
          <w:color w:val="auto"/>
        </w:rPr>
      </w:pPr>
      <w:r>
        <w:rPr>
          <w:rFonts w:ascii="Arial" w:cs="Arial" w:eastAsia="Arial" w:hAnsi="Arial"/>
          <w:sz w:val="16"/>
          <w:szCs w:val="16"/>
          <w:color w:val="auto"/>
        </w:rPr>
        <w:t>of stock from the Company under Geron’s Directors’ Market Value Stock Purchase Plan (the “</w:t>
      </w:r>
      <w:r>
        <w:rPr>
          <w:rFonts w:ascii="Arial" w:cs="Arial" w:eastAsia="Arial" w:hAnsi="Arial"/>
          <w:sz w:val="16"/>
          <w:szCs w:val="16"/>
          <w:b w:val="1"/>
          <w:bCs w:val="1"/>
          <w:i w:val="1"/>
          <w:iCs w:val="1"/>
          <w:color w:val="auto"/>
        </w:rPr>
        <w:t>Directors’ Plan</w:t>
      </w:r>
      <w:r>
        <w:rPr>
          <w:rFonts w:ascii="Arial" w:cs="Arial" w:eastAsia="Arial" w:hAnsi="Arial"/>
          <w:sz w:val="16"/>
          <w:szCs w:val="16"/>
          <w:color w:val="auto"/>
        </w:rPr>
        <w:t xml:space="preserve"> ”) on periodic designated dates in accordance with the Directors’ Plan and</w:t>
      </w:r>
    </w:p>
    <w:p>
      <w:pPr>
        <w:ind w:left="1160" w:right="1159"/>
        <w:spacing w:after="0" w:line="224" w:lineRule="auto"/>
        <w:rPr>
          <w:sz w:val="20"/>
          <w:szCs w:val="20"/>
          <w:color w:val="auto"/>
        </w:rPr>
      </w:pPr>
      <w:r>
        <w:rPr>
          <w:rFonts w:ascii="Arial" w:cs="Arial" w:eastAsia="Arial" w:hAnsi="Arial"/>
          <w:sz w:val="15"/>
          <w:szCs w:val="15"/>
          <w:color w:val="auto"/>
        </w:rPr>
        <w:t xml:space="preserve">Geron’s Non-Employee Directors’ Compensation Policy (the “ </w:t>
      </w:r>
      <w:r>
        <w:rPr>
          <w:rFonts w:ascii="Arial" w:cs="Arial" w:eastAsia="Arial" w:hAnsi="Arial"/>
          <w:sz w:val="15"/>
          <w:szCs w:val="15"/>
          <w:b w:val="1"/>
          <w:bCs w:val="1"/>
          <w:i w:val="1"/>
          <w:iCs w:val="1"/>
          <w:color w:val="auto"/>
        </w:rPr>
        <w:t>Directors’ Compensation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Policy</w:t>
      </w:r>
      <w:r>
        <w:rPr>
          <w:rFonts w:ascii="Arial" w:cs="Arial" w:eastAsia="Arial" w:hAnsi="Arial"/>
          <w:sz w:val="15"/>
          <w:szCs w:val="15"/>
          <w:color w:val="auto"/>
        </w:rPr>
        <w:t>”). This policy does apply, however, to a director’s election to receive stock in lieu of cash</w:t>
      </w:r>
    </w:p>
    <w:p>
      <w:pPr>
        <w:ind w:left="1160" w:right="1159"/>
        <w:spacing w:after="0" w:line="216" w:lineRule="auto"/>
        <w:rPr>
          <w:sz w:val="20"/>
          <w:szCs w:val="20"/>
          <w:color w:val="auto"/>
        </w:rPr>
      </w:pPr>
      <w:r>
        <w:rPr>
          <w:rFonts w:ascii="Arial" w:cs="Arial" w:eastAsia="Arial" w:hAnsi="Arial"/>
          <w:sz w:val="15"/>
          <w:szCs w:val="15"/>
          <w:color w:val="auto"/>
        </w:rPr>
        <w:t>compensation under the Directors’ Plan and the Directors’ Compensation Policy, and to a director’s sale of stock purchased under the Directors’ Plan. Accordingly, such elections may not</w:t>
      </w:r>
    </w:p>
    <w:p>
      <w:pPr>
        <w:spacing w:after="0" w:line="1" w:lineRule="exact"/>
        <w:rPr>
          <w:sz w:val="20"/>
          <w:szCs w:val="20"/>
          <w:color w:val="auto"/>
        </w:rPr>
      </w:pPr>
    </w:p>
    <w:p>
      <w:pPr>
        <w:ind w:left="1160" w:right="1159"/>
        <w:spacing w:after="0" w:line="230" w:lineRule="auto"/>
        <w:rPr>
          <w:sz w:val="20"/>
          <w:szCs w:val="20"/>
          <w:color w:val="auto"/>
        </w:rPr>
      </w:pPr>
      <w:r>
        <w:rPr>
          <w:rFonts w:ascii="Arial" w:cs="Arial" w:eastAsia="Arial" w:hAnsi="Arial"/>
          <w:sz w:val="16"/>
          <w:szCs w:val="16"/>
          <w:color w:val="auto"/>
        </w:rPr>
        <w:t>be effected during a trading blackout period or when a director is otherwise in possession of material non-public information relating to Geron or any of its securities.</w:t>
      </w:r>
    </w:p>
    <w:p>
      <w:pPr>
        <w:spacing w:after="0" w:line="117" w:lineRule="exact"/>
        <w:rPr>
          <w:sz w:val="20"/>
          <w:szCs w:val="20"/>
          <w:color w:val="auto"/>
        </w:rPr>
      </w:pPr>
    </w:p>
    <w:p>
      <w:pPr>
        <w:ind w:left="1160" w:right="1199" w:firstLine="251"/>
        <w:spacing w:after="0" w:line="225" w:lineRule="auto"/>
        <w:tabs>
          <w:tab w:leader="none" w:pos="1675" w:val="left"/>
        </w:tabs>
        <w:numPr>
          <w:ilvl w:val="0"/>
          <w:numId w:val="108"/>
        </w:numPr>
        <w:rPr>
          <w:rFonts w:ascii="Arial" w:cs="Arial" w:eastAsia="Arial" w:hAnsi="Arial"/>
          <w:sz w:val="13"/>
          <w:szCs w:val="13"/>
          <w:b w:val="1"/>
          <w:bCs w:val="1"/>
          <w:color w:val="auto"/>
        </w:rPr>
      </w:pPr>
      <w:r>
        <w:rPr>
          <w:rFonts w:ascii="Arial" w:cs="Arial" w:eastAsia="Arial" w:hAnsi="Arial"/>
          <w:sz w:val="15"/>
          <w:szCs w:val="15"/>
          <w:b w:val="1"/>
          <w:bCs w:val="1"/>
          <w:i w:val="1"/>
          <w:iCs w:val="1"/>
          <w:color w:val="auto"/>
        </w:rPr>
        <w:t xml:space="preserve">10b5-1 Automatic Trading Programs. </w:t>
      </w:r>
      <w:r>
        <w:rPr>
          <w:rFonts w:ascii="Arial" w:cs="Arial" w:eastAsia="Arial" w:hAnsi="Arial"/>
          <w:sz w:val="15"/>
          <w:szCs w:val="15"/>
          <w:color w:val="auto"/>
        </w:rPr>
        <w:t>Under Rule 10b5-1 of the Securities Exchange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Act of 1934, as amended (“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xml:space="preserve"> ”), and as permitted by Geron, employees and directors may establish a trading plan under which a broker is instructed to buy or sell Geron securities based on pre-determined criteria (a “ </w:t>
      </w:r>
      <w:r>
        <w:rPr>
          <w:rFonts w:ascii="Arial" w:cs="Arial" w:eastAsia="Arial" w:hAnsi="Arial"/>
          <w:sz w:val="15"/>
          <w:szCs w:val="15"/>
          <w:b w:val="1"/>
          <w:bCs w:val="1"/>
          <w:i w:val="1"/>
          <w:iCs w:val="1"/>
          <w:color w:val="auto"/>
        </w:rPr>
        <w:t>Trading Plan</w:t>
      </w:r>
      <w:r>
        <w:rPr>
          <w:rFonts w:ascii="Arial" w:cs="Arial" w:eastAsia="Arial" w:hAnsi="Arial"/>
          <w:sz w:val="15"/>
          <w:szCs w:val="15"/>
          <w:color w:val="auto"/>
        </w:rPr>
        <w:t xml:space="preserve"> ”). So long as a Trading Plan is properly established, purchases and sales of Geron securities pursuant to that Trading Plan are not subject to this policy. To be properly established, an employee’s or director’s Trading Plan must be established in compliance with the requirements of Rule 10b5-1 of the Exchange Act and Geron’s 10b5-1 Trading Plan Guidelines (which are attached as Exhibit B to this policy) at a time when such employee or director was not subject to a trading blackout period and such employee or director was not otherwise aware of any material nonpublic information relating to Geron or its securities. Moreover, and pursuant to Geron’s 10b5-1 Trading Plan Guidelines, all 10b5-1 Trading Plans must be reviewed and pre-approved by Geron’ Insider Trading</w:t>
      </w:r>
    </w:p>
    <w:p>
      <w:pPr>
        <w:sectPr>
          <w:pgSz w:w="11900" w:h="16838" w:orient="portrait"/>
          <w:cols w:equalWidth="0" w:num="1">
            <w:col w:w="9019"/>
          </w:cols>
          <w:pgMar w:left="1440" w:top="100" w:right="1440" w:bottom="0" w:gutter="0" w:footer="0" w:header="0"/>
        </w:sectPr>
      </w:pPr>
    </w:p>
    <w:bookmarkStart w:id="140" w:name="page141"/>
    <w:bookmarkEnd w:id="140"/>
    <w:p>
      <w:pPr>
        <w:spacing w:after="0" w:line="20" w:lineRule="exact"/>
        <w:rPr>
          <w:sz w:val="20"/>
          <w:szCs w:val="20"/>
          <w:color w:val="auto"/>
        </w:rPr>
      </w:pPr>
    </w:p>
    <w:p>
      <w:pPr>
        <w:ind w:left="1160"/>
        <w:spacing w:after="0"/>
        <w:rPr>
          <w:sz w:val="20"/>
          <w:szCs w:val="20"/>
          <w:color w:val="auto"/>
        </w:rPr>
      </w:pPr>
      <w:r>
        <w:rPr>
          <w:rFonts w:ascii="Arial" w:cs="Arial" w:eastAsia="Arial" w:hAnsi="Arial"/>
          <w:sz w:val="10"/>
          <w:szCs w:val="10"/>
          <w:color w:val="auto"/>
        </w:rPr>
        <w:t>Comp</w:t>
      </w:r>
      <w:r>
        <w:rPr>
          <w:rFonts w:ascii="Arial" w:cs="Arial" w:eastAsia="Arial" w:hAnsi="Arial"/>
          <w:sz w:val="15"/>
          <w:szCs w:val="15"/>
          <w:color w:val="auto"/>
          <w:vertAlign w:val="subscript"/>
        </w:rPr>
        <w:t>withall</w:t>
      </w:r>
      <w:r>
        <w:rPr>
          <w:rFonts w:ascii="Arial" w:cs="Arial" w:eastAsia="Arial" w:hAnsi="Arial"/>
          <w:sz w:val="10"/>
          <w:szCs w:val="10"/>
          <w:color w:val="auto"/>
        </w:rPr>
        <w:t>iance</w:t>
      </w:r>
      <w:r>
        <w:rPr>
          <w:rFonts w:ascii="Arial" w:cs="Arial" w:eastAsia="Arial" w:hAnsi="Arial"/>
          <w:sz w:val="15"/>
          <w:szCs w:val="15"/>
          <w:color w:val="auto"/>
          <w:vertAlign w:val="subscript"/>
        </w:rPr>
        <w:t>pertinent</w:t>
      </w:r>
      <w:r>
        <w:rPr>
          <w:rFonts w:ascii="Arial" w:cs="Arial" w:eastAsia="Arial" w:hAnsi="Arial"/>
          <w:sz w:val="10"/>
          <w:szCs w:val="10"/>
          <w:color w:val="auto"/>
        </w:rPr>
        <w:t>Officer</w:t>
      </w:r>
      <w:r>
        <w:rPr>
          <w:rFonts w:ascii="Arial" w:cs="Arial" w:eastAsia="Arial" w:hAnsi="Arial"/>
          <w:sz w:val="15"/>
          <w:szCs w:val="15"/>
          <w:color w:val="auto"/>
          <w:vertAlign w:val="subscript"/>
        </w:rPr>
        <w:t>company</w:t>
      </w:r>
      <w:r>
        <w:rPr>
          <w:rFonts w:ascii="Arial" w:cs="Arial" w:eastAsia="Arial" w:hAnsi="Arial"/>
          <w:sz w:val="10"/>
          <w:szCs w:val="10"/>
          <w:color w:val="auto"/>
        </w:rPr>
        <w:t xml:space="preserve">before </w:t>
      </w:r>
      <w:r>
        <w:rPr>
          <w:rFonts w:ascii="Arial" w:cs="Arial" w:eastAsia="Arial" w:hAnsi="Arial"/>
          <w:sz w:val="15"/>
          <w:szCs w:val="15"/>
          <w:color w:val="auto"/>
          <w:vertAlign w:val="subscript"/>
        </w:rPr>
        <w:t>policies</w:t>
      </w:r>
      <w:r>
        <w:rPr>
          <w:rFonts w:ascii="Arial" w:cs="Arial" w:eastAsia="Arial" w:hAnsi="Arial"/>
          <w:sz w:val="10"/>
          <w:szCs w:val="10"/>
          <w:color w:val="auto"/>
        </w:rPr>
        <w:t>beingestablished</w:t>
      </w:r>
      <w:r>
        <w:rPr>
          <w:rFonts w:ascii="Arial" w:cs="Arial" w:eastAsia="Arial" w:hAnsi="Arial"/>
          <w:sz w:val="15"/>
          <w:szCs w:val="15"/>
          <w:color w:val="auto"/>
          <w:vertAlign w:val="subscript"/>
        </w:rPr>
        <w:t>andapplicable</w:t>
      </w:r>
      <w:r>
        <w:rPr>
          <w:rFonts w:ascii="Arial" w:cs="Arial" w:eastAsia="Arial" w:hAnsi="Arial"/>
          <w:sz w:val="10"/>
          <w:szCs w:val="10"/>
          <w:color w:val="auto"/>
        </w:rPr>
        <w:t>toconfirm</w:t>
      </w:r>
      <w:r>
        <w:rPr>
          <w:rFonts w:ascii="Arial" w:cs="Arial" w:eastAsia="Arial" w:hAnsi="Arial"/>
          <w:sz w:val="15"/>
          <w:szCs w:val="15"/>
          <w:color w:val="auto"/>
          <w:vertAlign w:val="subscript"/>
        </w:rPr>
        <w:t>securities</w:t>
      </w:r>
      <w:r>
        <w:rPr>
          <w:rFonts w:ascii="Arial" w:cs="Arial" w:eastAsia="Arial" w:hAnsi="Arial"/>
          <w:sz w:val="10"/>
          <w:szCs w:val="10"/>
          <w:color w:val="auto"/>
        </w:rPr>
        <w:t>that the</w:t>
      </w:r>
      <w:r>
        <w:rPr>
          <w:rFonts w:ascii="Arial" w:cs="Arial" w:eastAsia="Arial" w:hAnsi="Arial"/>
          <w:sz w:val="15"/>
          <w:szCs w:val="15"/>
          <w:color w:val="auto"/>
          <w:vertAlign w:val="subscript"/>
        </w:rPr>
        <w:t>laws</w:t>
      </w:r>
      <w:r>
        <w:rPr>
          <w:rFonts w:ascii="Arial" w:cs="Arial" w:eastAsia="Arial" w:hAnsi="Arial"/>
          <w:sz w:val="10"/>
          <w:szCs w:val="10"/>
          <w:color w:val="auto"/>
        </w:rPr>
        <w:t>10b5</w:t>
      </w:r>
      <w:r>
        <w:rPr>
          <w:rFonts w:ascii="Arial" w:cs="Arial" w:eastAsia="Arial" w:hAnsi="Arial"/>
          <w:sz w:val="15"/>
          <w:szCs w:val="15"/>
          <w:color w:val="auto"/>
          <w:vertAlign w:val="subscript"/>
        </w:rPr>
        <w:t>.</w:t>
      </w:r>
      <w:r>
        <w:rPr>
          <w:rFonts w:ascii="Arial" w:cs="Arial" w:eastAsia="Arial" w:hAnsi="Arial"/>
          <w:sz w:val="10"/>
          <w:szCs w:val="10"/>
          <w:color w:val="auto"/>
        </w:rPr>
        <w:t>-1 Trading Plan 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-19685</wp:posOffset>
            </wp:positionV>
            <wp:extent cx="7160260" cy="105156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74" w:lineRule="exact"/>
        <w:rPr>
          <w:sz w:val="20"/>
          <w:szCs w:val="20"/>
          <w:color w:val="auto"/>
        </w:rPr>
      </w:pPr>
    </w:p>
    <w:p>
      <w:pPr>
        <w:ind w:left="1160" w:right="1259" w:firstLine="251"/>
        <w:spacing w:after="0" w:line="221" w:lineRule="auto"/>
        <w:tabs>
          <w:tab w:leader="none" w:pos="1675" w:val="left"/>
        </w:tabs>
        <w:numPr>
          <w:ilvl w:val="0"/>
          <w:numId w:val="109"/>
        </w:numPr>
        <w:rPr>
          <w:rFonts w:ascii="Arial" w:cs="Arial" w:eastAsia="Arial" w:hAnsi="Arial"/>
          <w:sz w:val="14"/>
          <w:szCs w:val="14"/>
          <w:b w:val="1"/>
          <w:bCs w:val="1"/>
          <w:color w:val="auto"/>
        </w:rPr>
      </w:pPr>
      <w:r>
        <w:rPr>
          <w:rFonts w:ascii="Arial" w:cs="Arial" w:eastAsia="Arial" w:hAnsi="Arial"/>
          <w:sz w:val="16"/>
          <w:szCs w:val="16"/>
          <w:b w:val="1"/>
          <w:bCs w:val="1"/>
          <w:i w:val="1"/>
          <w:iCs w:val="1"/>
          <w:color w:val="auto"/>
        </w:rPr>
        <w:t xml:space="preserve">Domestic Relations Order </w:t>
      </w:r>
      <w:r>
        <w:rPr>
          <w:rFonts w:ascii="Arial" w:cs="Arial" w:eastAsia="Arial" w:hAnsi="Arial"/>
          <w:sz w:val="16"/>
          <w:szCs w:val="16"/>
          <w:color w:val="auto"/>
        </w:rPr>
        <w:t>. This policy does not apply to the acquisition or disposition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Geron securities pursuant to a domestic relations order, as defined in the Internal Revenue Code of 1986, as amended, or Title I of the Employee Retirement Income Security Act of 1974, as amended, or the rules thereunder.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SPECIAL AND PROHIBITED TRANSACTIONS</w:t>
      </w:r>
    </w:p>
    <w:p>
      <w:pPr>
        <w:spacing w:after="0" w:line="180" w:lineRule="exact"/>
        <w:rPr>
          <w:sz w:val="20"/>
          <w:szCs w:val="20"/>
          <w:color w:val="auto"/>
        </w:rPr>
      </w:pPr>
    </w:p>
    <w:p>
      <w:pPr>
        <w:ind w:left="1160" w:right="1179" w:firstLine="251"/>
        <w:spacing w:after="0" w:line="257" w:lineRule="auto"/>
        <w:tabs>
          <w:tab w:leader="none" w:pos="1675"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Inherently Speculative Transactions. </w:t>
      </w:r>
      <w:r>
        <w:rPr>
          <w:rFonts w:ascii="Arial" w:cs="Arial" w:eastAsia="Arial" w:hAnsi="Arial"/>
          <w:sz w:val="16"/>
          <w:szCs w:val="16"/>
          <w:color w:val="auto"/>
        </w:rPr>
        <w:t>No Geron employee, director or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may engage in short sales, transactions in put options, call options or other derivative securities on an exchange or in any other organized market, or in any other inherently speculative transactions with respect to Geron’s stock.</w:t>
      </w:r>
    </w:p>
    <w:p>
      <w:pPr>
        <w:spacing w:after="0" w:line="49" w:lineRule="exact"/>
        <w:rPr>
          <w:rFonts w:ascii="Arial" w:cs="Arial" w:eastAsia="Arial" w:hAnsi="Arial"/>
          <w:sz w:val="16"/>
          <w:szCs w:val="16"/>
          <w:b w:val="1"/>
          <w:bCs w:val="1"/>
          <w:color w:val="auto"/>
        </w:rPr>
      </w:pPr>
    </w:p>
    <w:p>
      <w:pPr>
        <w:ind w:left="1160" w:right="1299" w:firstLine="251"/>
        <w:spacing w:after="0" w:line="250" w:lineRule="auto"/>
        <w:tabs>
          <w:tab w:leader="none" w:pos="1675"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Geron employees, directors and designated consultants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prohibited from engaging in any hedging and other transactions described in this paragraph. Hedging or monetization transactions can be accomplished through a number of possible mechanisms, including through the use of financial instruments such as prepaid variable forwards, equity swaps, collars and exchange funds. Such hedging transactions may permit a Geron employee, director or designated consultant to continue to own Geron’s securities obtained through employee benefit plans or otherwise, but without the full risks and rewards of ownership. When that occurs, the Geron employee, director or designated consultant may no longer have the same objectives as Geron’s other stockholders.</w:t>
      </w:r>
    </w:p>
    <w:p>
      <w:pPr>
        <w:spacing w:after="0" w:line="154" w:lineRule="exact"/>
        <w:rPr>
          <w:rFonts w:ascii="Arial" w:cs="Arial" w:eastAsia="Arial" w:hAnsi="Arial"/>
          <w:sz w:val="16"/>
          <w:szCs w:val="16"/>
          <w:b w:val="1"/>
          <w:bCs w:val="1"/>
          <w:color w:val="auto"/>
        </w:rPr>
      </w:pPr>
    </w:p>
    <w:p>
      <w:pPr>
        <w:ind w:left="1160" w:right="1179" w:firstLine="251"/>
        <w:spacing w:after="0" w:line="250" w:lineRule="auto"/>
        <w:tabs>
          <w:tab w:leader="none" w:pos="1675"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Margin Accounts and Pledged Securities. </w:t>
      </w:r>
      <w:r>
        <w:rPr>
          <w:rFonts w:ascii="Arial" w:cs="Arial" w:eastAsia="Arial" w:hAnsi="Arial"/>
          <w:sz w:val="16"/>
          <w:szCs w:val="16"/>
          <w:color w:val="auto"/>
        </w:rPr>
        <w:t>Securities held in a margin account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Geron’s securities, Geron employees, directors and designated consultants are prohibited from holding Geron’s securities in a margin account or otherwise pledging Geron’s securities as collateral for a loan.</w:t>
      </w:r>
    </w:p>
    <w:p>
      <w:pPr>
        <w:spacing w:after="0" w:line="152" w:lineRule="exact"/>
        <w:rPr>
          <w:rFonts w:ascii="Arial" w:cs="Arial" w:eastAsia="Arial" w:hAnsi="Arial"/>
          <w:sz w:val="16"/>
          <w:szCs w:val="16"/>
          <w:b w:val="1"/>
          <w:bCs w:val="1"/>
          <w:color w:val="auto"/>
        </w:rPr>
      </w:pPr>
    </w:p>
    <w:p>
      <w:pPr>
        <w:ind w:left="1160" w:right="1199" w:firstLine="251"/>
        <w:spacing w:after="0" w:line="248" w:lineRule="auto"/>
        <w:tabs>
          <w:tab w:leader="none" w:pos="1675"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Standing and Limit Orders. </w:t>
      </w:r>
      <w:r>
        <w:rPr>
          <w:rFonts w:ascii="Arial" w:cs="Arial" w:eastAsia="Arial" w:hAnsi="Arial"/>
          <w:sz w:val="16"/>
          <w:szCs w:val="16"/>
          <w:color w:val="auto"/>
        </w:rPr>
        <w:t>Standing and limit orders (except standing and limit orders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Geron employee, director or designated consultant is in possession of material nonpublic information. Geron therefore discourages placing standing or limit orders on Geron’s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56" w:lineRule="exact"/>
        <w:rPr>
          <w:rFonts w:ascii="Arial" w:cs="Arial" w:eastAsia="Arial" w:hAnsi="Arial"/>
          <w:sz w:val="16"/>
          <w:szCs w:val="16"/>
          <w:b w:val="1"/>
          <w:bCs w:val="1"/>
          <w:color w:val="auto"/>
        </w:rPr>
      </w:pPr>
    </w:p>
    <w:p>
      <w:pPr>
        <w:ind w:left="1160" w:right="1239" w:firstLine="251"/>
        <w:spacing w:after="0" w:line="272" w:lineRule="auto"/>
        <w:tabs>
          <w:tab w:leader="none" w:pos="1675"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401(k) Plan Transactions (applicable only to Geron employees who hold shares of Geron stock in their 401(k) Plan under Geron’s now-discontinued practice of 401(k) matching utilizing Geron stock) </w:t>
      </w:r>
      <w:r>
        <w:rPr>
          <w:rFonts w:ascii="Arial" w:cs="Arial" w:eastAsia="Arial" w:hAnsi="Arial"/>
          <w:sz w:val="15"/>
          <w:szCs w:val="15"/>
          <w:color w:val="auto"/>
        </w:rPr>
        <w:t>. This policy applies to certain elections you may make under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401(k) plan, including: an election to make an intra-plan transfer of an existing account balance out of the Geron stock fund; and an election to borrow money against your 401(k) plan account if the loan will result in a liquidation of some or all of your Geron stock fund balance.</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PRE-CLEARANCE AND ADVANCE NOTICE OF TRANSACTIONS</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The following persons are designated “</w:t>
      </w:r>
      <w:r>
        <w:rPr>
          <w:rFonts w:ascii="Arial" w:cs="Arial" w:eastAsia="Arial" w:hAnsi="Arial"/>
          <w:sz w:val="16"/>
          <w:szCs w:val="16"/>
          <w:b w:val="1"/>
          <w:bCs w:val="1"/>
          <w:i w:val="1"/>
          <w:iCs w:val="1"/>
          <w:color w:val="auto"/>
        </w:rPr>
        <w:t>Covered Insiders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this Policy:</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920" w:hanging="251"/>
        <w:spacing w:after="0"/>
        <w:tabs>
          <w:tab w:leader="none" w:pos="19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members of the Board of Directors; and</w:t>
      </w:r>
    </w:p>
    <w:p>
      <w:pPr>
        <w:spacing w:after="0" w:line="181" w:lineRule="exact"/>
        <w:rPr>
          <w:rFonts w:ascii="Arial" w:cs="Arial" w:eastAsia="Arial" w:hAnsi="Arial"/>
          <w:sz w:val="16"/>
          <w:szCs w:val="16"/>
          <w:color w:val="auto"/>
        </w:rPr>
      </w:pPr>
    </w:p>
    <w:p>
      <w:pPr>
        <w:ind w:left="1920" w:hanging="251"/>
        <w:spacing w:after="0"/>
        <w:tabs>
          <w:tab w:leader="none" w:pos="19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Members of Geron’s Executive Leadership Team.</w:t>
      </w:r>
    </w:p>
    <w:p>
      <w:pPr>
        <w:spacing w:after="0" w:line="170" w:lineRule="exact"/>
        <w:rPr>
          <w:sz w:val="20"/>
          <w:szCs w:val="20"/>
          <w:color w:val="auto"/>
        </w:rPr>
      </w:pPr>
    </w:p>
    <w:p>
      <w:pPr>
        <w:ind w:left="1160" w:right="1179" w:firstLine="258"/>
        <w:spacing w:after="0" w:line="279" w:lineRule="auto"/>
        <w:rPr>
          <w:sz w:val="20"/>
          <w:szCs w:val="20"/>
          <w:color w:val="auto"/>
        </w:rPr>
      </w:pPr>
      <w:r>
        <w:rPr>
          <w:rFonts w:ascii="Arial" w:cs="Arial" w:eastAsia="Arial" w:hAnsi="Arial"/>
          <w:sz w:val="15"/>
          <w:szCs w:val="15"/>
          <w:color w:val="auto"/>
        </w:rPr>
        <w:t>In addition to the requirements above, all Covered Insiders and their Related Persons face a further restriction: Even during an open trading window, they may not engage in any transaction in, or enter into, modify or terminate any contract, instruction or written plan or arrangement in, Geron’s securities (including acquisitions and dispositions of Geron’s stock, gifts of Geron stock,</w:t>
      </w:r>
    </w:p>
    <w:p>
      <w:pPr>
        <w:sectPr>
          <w:pgSz w:w="11900" w:h="16858" w:orient="portrait"/>
          <w:cols w:equalWidth="0" w:num="1">
            <w:col w:w="9019"/>
          </w:cols>
          <w:pgMar w:left="1440" w:top="0" w:right="1440" w:bottom="0" w:gutter="0" w:footer="0" w:header="0"/>
        </w:sectPr>
      </w:pPr>
    </w:p>
    <w:bookmarkStart w:id="141" w:name="page142"/>
    <w:bookmarkEnd w:id="141"/>
    <w:p>
      <w:pPr>
        <w:spacing w:after="0" w:line="77" w:lineRule="exact"/>
        <w:rPr>
          <w:sz w:val="20"/>
          <w:szCs w:val="20"/>
          <w:color w:val="auto"/>
        </w:rPr>
      </w:pPr>
    </w:p>
    <w:p>
      <w:pPr>
        <w:ind w:left="1160" w:right="1199"/>
        <w:spacing w:after="0" w:line="241" w:lineRule="auto"/>
        <w:rPr>
          <w:sz w:val="20"/>
          <w:szCs w:val="20"/>
          <w:color w:val="auto"/>
        </w:rPr>
      </w:pPr>
      <w:r>
        <w:rPr>
          <w:rFonts w:ascii="Arial" w:cs="Arial" w:eastAsia="Arial" w:hAnsi="Arial"/>
          <w:sz w:val="15"/>
          <w:szCs w:val="15"/>
          <w:color w:val="auto"/>
        </w:rPr>
        <w:t>the exercise of stock options, the sale of Geron stock issued upon the exercise of stock options, and the sale of Geron’s stock purchased under the ESPP or the Directors’ Plan) without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-187325</wp:posOffset>
            </wp:positionV>
            <wp:extent cx="7160260" cy="105156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79"/>
        <w:spacing w:after="0" w:line="268" w:lineRule="auto"/>
        <w:rPr>
          <w:sz w:val="20"/>
          <w:szCs w:val="20"/>
          <w:color w:val="auto"/>
        </w:rPr>
      </w:pPr>
      <w:r>
        <w:rPr>
          <w:rFonts w:ascii="Arial" w:cs="Arial" w:eastAsia="Arial" w:hAnsi="Arial"/>
          <w:sz w:val="15"/>
          <w:szCs w:val="15"/>
          <w:color w:val="auto"/>
        </w:rPr>
        <w:t>obtaining pre-clearance in writing from the Insider Trading Compliance Officer. The Insider Trading Compliance Officer will then determine whether the Covered Insider may proceed. If after consulting with the Insider Trading Compliance Officer, it is determined that such Covered Insider is in possession of material, non-public information, there can be no transactions involving such security except as otherwise provided under “Exceptions to this Policy” above. Pre-cleared transactions not completed within five trading days will require new pre-clearance.</w:t>
      </w:r>
    </w:p>
    <w:p>
      <w:pPr>
        <w:spacing w:after="0" w:line="131" w:lineRule="exact"/>
        <w:rPr>
          <w:sz w:val="20"/>
          <w:szCs w:val="20"/>
          <w:color w:val="auto"/>
        </w:rPr>
      </w:pPr>
    </w:p>
    <w:p>
      <w:pPr>
        <w:ind w:left="1160" w:right="1499" w:firstLine="258"/>
        <w:spacing w:after="0" w:line="281" w:lineRule="auto"/>
        <w:rPr>
          <w:sz w:val="20"/>
          <w:szCs w:val="20"/>
          <w:color w:val="auto"/>
        </w:rPr>
      </w:pPr>
      <w:r>
        <w:rPr>
          <w:rFonts w:ascii="Arial" w:cs="Arial" w:eastAsia="Arial" w:hAnsi="Arial"/>
          <w:sz w:val="16"/>
          <w:szCs w:val="16"/>
          <w:color w:val="auto"/>
        </w:rPr>
        <w:t>The requirement for pre-clearance as set forth in the above paragraph does not apply to transactions covered in “Exceptions to this Policy” above.</w:t>
      </w:r>
    </w:p>
    <w:p>
      <w:pPr>
        <w:spacing w:after="0" w:line="106" w:lineRule="exact"/>
        <w:rPr>
          <w:sz w:val="20"/>
          <w:szCs w:val="20"/>
          <w:color w:val="auto"/>
        </w:rPr>
      </w:pPr>
    </w:p>
    <w:p>
      <w:pPr>
        <w:ind w:left="1160" w:right="1259" w:firstLine="258"/>
        <w:spacing w:after="0" w:line="255" w:lineRule="auto"/>
        <w:rPr>
          <w:sz w:val="20"/>
          <w:szCs w:val="20"/>
          <w:color w:val="auto"/>
        </w:rPr>
      </w:pPr>
      <w:r>
        <w:rPr>
          <w:rFonts w:ascii="Arial" w:cs="Arial" w:eastAsia="Arial" w:hAnsi="Arial"/>
          <w:sz w:val="16"/>
          <w:szCs w:val="16"/>
          <w:color w:val="auto"/>
          <w:highlight w:val="white"/>
        </w:rPr>
        <w:t>Once any transaction takes place, and regardless of whether such transaction is covered in “Exceptions to this Policy” above, each officer or director who is a Section 16 reporting person pursuant to Section 16(a) of the Securities Exchange Act of 1934, as amended, must immediately notify the Insider Trading Compliance Officer so that Geron may assist in any Section 16 reporting obligations.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SHORT-SWING TRADING, CONTROL STOCK AND SECTION 16 REPORTS</w:t>
      </w:r>
    </w:p>
    <w:p>
      <w:pPr>
        <w:spacing w:after="0" w:line="180" w:lineRule="exact"/>
        <w:rPr>
          <w:sz w:val="20"/>
          <w:szCs w:val="20"/>
          <w:color w:val="auto"/>
        </w:rPr>
      </w:pPr>
    </w:p>
    <w:p>
      <w:pPr>
        <w:ind w:left="1160" w:right="1259" w:firstLine="258"/>
        <w:spacing w:after="0" w:line="271" w:lineRule="auto"/>
        <w:rPr>
          <w:sz w:val="20"/>
          <w:szCs w:val="20"/>
          <w:color w:val="auto"/>
        </w:rPr>
      </w:pPr>
      <w:r>
        <w:rPr>
          <w:rFonts w:ascii="Arial" w:cs="Arial" w:eastAsia="Arial" w:hAnsi="Arial"/>
          <w:sz w:val="15"/>
          <w:szCs w:val="15"/>
          <w:color w:val="auto"/>
        </w:rPr>
        <w:t>Officers and directors subject to the reporting obligations under Section 16 of the Exchange Act should take care to avoid short-swing transactions (within the meaning of Section 16(b) of</w:t>
      </w:r>
    </w:p>
    <w:p>
      <w:pPr>
        <w:ind w:left="1160" w:right="1259"/>
        <w:spacing w:after="0" w:line="257" w:lineRule="auto"/>
        <w:rPr>
          <w:sz w:val="20"/>
          <w:szCs w:val="20"/>
          <w:color w:val="auto"/>
        </w:rPr>
      </w:pPr>
      <w:r>
        <w:rPr>
          <w:rFonts w:ascii="Arial" w:cs="Arial" w:eastAsia="Arial" w:hAnsi="Arial"/>
          <w:sz w:val="16"/>
          <w:szCs w:val="16"/>
          <w:color w:val="auto"/>
        </w:rPr>
        <w:t>the Exchange Act) and the restrictions on sales by control persons (Rule 144 under the Securities Act of 1933, as amended), and should file all appropriate Section 16(a) reports (Forms 3, 4 and 5), and any notices of sale required by Rule 144.</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PROHIBITION OF TRADING DURING PENSION PLAN BLACKOUTS</w:t>
      </w:r>
    </w:p>
    <w:p>
      <w:pPr>
        <w:spacing w:after="0" w:line="180" w:lineRule="exact"/>
        <w:rPr>
          <w:sz w:val="20"/>
          <w:szCs w:val="20"/>
          <w:color w:val="auto"/>
        </w:rPr>
      </w:pPr>
    </w:p>
    <w:p>
      <w:pPr>
        <w:ind w:left="1160" w:right="1159" w:firstLine="258"/>
        <w:spacing w:after="0" w:line="266" w:lineRule="auto"/>
        <w:rPr>
          <w:sz w:val="20"/>
          <w:szCs w:val="20"/>
          <w:color w:val="auto"/>
        </w:rPr>
      </w:pPr>
      <w:r>
        <w:rPr>
          <w:rFonts w:ascii="Arial" w:cs="Arial" w:eastAsia="Arial" w:hAnsi="Arial"/>
          <w:sz w:val="15"/>
          <w:szCs w:val="15"/>
          <w:color w:val="auto"/>
        </w:rPr>
        <w:t xml:space="preserve">No director or Section 16 officer of Geron may, directly or indirectly, purchase, sell or otherwise transfer any equity security of Geron (other than an exempt security) during any “blackout </w:t>
      </w:r>
      <w:r>
        <w:rPr>
          <w:rFonts w:ascii="Arial" w:cs="Arial" w:eastAsia="Arial" w:hAnsi="Arial"/>
          <w:sz w:val="13"/>
          <w:szCs w:val="13"/>
          <w:b w:val="1"/>
          <w:bCs w:val="1"/>
          <w:i w:val="1"/>
          <w:iCs w:val="1"/>
          <w:color w:val="auto"/>
        </w:rPr>
        <w:t>period</w:t>
      </w:r>
      <w:r>
        <w:rPr>
          <w:rFonts w:ascii="Arial" w:cs="Arial" w:eastAsia="Arial" w:hAnsi="Arial"/>
          <w:sz w:val="13"/>
          <w:szCs w:val="13"/>
          <w:color w:val="auto"/>
        </w:rPr>
        <w:t>”</w:t>
      </w:r>
      <w:r>
        <w:rPr>
          <w:rFonts w:ascii="Arial" w:cs="Arial" w:eastAsia="Arial" w:hAnsi="Arial"/>
          <w:sz w:val="15"/>
          <w:szCs w:val="15"/>
          <w:color w:val="auto"/>
        </w:rPr>
        <w:t xml:space="preserve"> (as defined in Regulation BTR under the Exchange Act) if a director or Section 16 officer acquires or previously acquired such equity security in connection with his or her service or employment as a director or Section 16 officer, such as Geron stock held in the Geron 401K Plan. This prohibition does not apply to any transactions that are specifically exempted, including but not limited to, purchases or sales of Geron’s securities made pursuant to, and in compliance with, a Trading Plan; compensatory grants or awards of equity securities pursuant to a plan that, by its terms, permits Section 16 officers and directors to receive automatic grants or awards and specifies the terms of the grants and awards; or acquisitions or dispositions of equity securities involving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gift or by will or the laws of descent or pursuant to a domestic relations order. Geron will notify each director and Section 16 officer of any blackout periods in accordance with the provisions of Regulation BTR. Because Regulation BTR is very complex, no director or Section 16 officer of Geron should engage in any transactions in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60" w:right="1319"/>
        <w:spacing w:after="0" w:line="281" w:lineRule="auto"/>
        <w:rPr>
          <w:sz w:val="20"/>
          <w:szCs w:val="20"/>
          <w:color w:val="auto"/>
        </w:rPr>
      </w:pPr>
      <w:r>
        <w:rPr>
          <w:rFonts w:ascii="Arial" w:cs="Arial" w:eastAsia="Arial" w:hAnsi="Arial"/>
          <w:sz w:val="16"/>
          <w:szCs w:val="16"/>
          <w:color w:val="auto"/>
        </w:rPr>
        <w:t>Geron’s securities, even if believed to be exempt from Regulation BTR, without first consulting with Geron’s Insider Trading Compliance Officer.</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POLICY’S DURATION</w:t>
      </w:r>
    </w:p>
    <w:p>
      <w:pPr>
        <w:spacing w:after="0" w:line="180" w:lineRule="exact"/>
        <w:rPr>
          <w:sz w:val="20"/>
          <w:szCs w:val="20"/>
          <w:color w:val="auto"/>
        </w:rPr>
      </w:pPr>
    </w:p>
    <w:p>
      <w:pPr>
        <w:ind w:left="1160" w:right="1219" w:firstLine="258"/>
        <w:spacing w:after="0" w:line="252" w:lineRule="auto"/>
        <w:rPr>
          <w:sz w:val="20"/>
          <w:szCs w:val="20"/>
          <w:color w:val="auto"/>
        </w:rPr>
      </w:pPr>
      <w:r>
        <w:rPr>
          <w:rFonts w:ascii="Arial" w:cs="Arial" w:eastAsia="Arial" w:hAnsi="Arial"/>
          <w:sz w:val="16"/>
          <w:szCs w:val="16"/>
          <w:color w:val="auto"/>
        </w:rPr>
        <w:t>This policy continues to apply to your transactions in Geron’s securities and the securities of other applicable public companies as more specifically set forth in this policy until your relationship with Geron has ended. However, if you are aware of material nonpublic information when your relationship with Geron ends, you are reminded that the federal securities laws prohibit you from trading in Geron’s securities or the securities of other applicable publicly traded companies until the material nonpublic information has been publicly disseminated or is no longer material.</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INDIVIDUAL RESPONSIBILITY</w:t>
      </w:r>
    </w:p>
    <w:p>
      <w:pPr>
        <w:spacing w:after="0" w:line="180" w:lineRule="exact"/>
        <w:rPr>
          <w:sz w:val="20"/>
          <w:szCs w:val="20"/>
          <w:color w:val="auto"/>
        </w:rPr>
      </w:pPr>
    </w:p>
    <w:p>
      <w:pPr>
        <w:ind w:left="1160" w:right="1219" w:firstLine="322"/>
        <w:spacing w:after="0" w:line="268" w:lineRule="auto"/>
        <w:rPr>
          <w:sz w:val="20"/>
          <w:szCs w:val="20"/>
          <w:color w:val="auto"/>
        </w:rPr>
      </w:pPr>
      <w:r>
        <w:rPr>
          <w:rFonts w:ascii="Arial" w:cs="Arial" w:eastAsia="Arial" w:hAnsi="Arial"/>
          <w:sz w:val="15"/>
          <w:szCs w:val="15"/>
          <w:color w:val="auto"/>
        </w:rPr>
        <w:t>Persons subject to this policy have ethical and legal obligations to maintain the confidentiality of information about Geron and to not engage in transactions in Geron’s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Geron or any employee or director of Geron pursuant to this policy (or otherwise) does not in any way constitute legal advice or insulate an individual from liability under applicable securities laws. You could be subject to severe legal penalties and disciplinary action by Geron for any conduct prohibited by this policy or applicable securities laws. See “Penalties” below.</w:t>
      </w:r>
    </w:p>
    <w:p>
      <w:pPr>
        <w:spacing w:after="0" w:line="32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PENALTIES</w:t>
      </w:r>
    </w:p>
    <w:p>
      <w:pPr>
        <w:spacing w:after="0" w:line="180" w:lineRule="exact"/>
        <w:rPr>
          <w:sz w:val="20"/>
          <w:szCs w:val="20"/>
          <w:color w:val="auto"/>
        </w:rPr>
      </w:pPr>
    </w:p>
    <w:p>
      <w:pPr>
        <w:ind w:left="1160" w:right="1399" w:firstLine="258"/>
        <w:spacing w:after="0" w:line="255" w:lineRule="auto"/>
        <w:rPr>
          <w:sz w:val="20"/>
          <w:szCs w:val="20"/>
          <w:color w:val="auto"/>
        </w:rPr>
      </w:pPr>
      <w:r>
        <w:rPr>
          <w:rFonts w:ascii="Arial" w:cs="Arial" w:eastAsia="Arial" w:hAnsi="Arial"/>
          <w:sz w:val="16"/>
          <w:szCs w:val="16"/>
          <w:color w:val="auto"/>
        </w:rPr>
        <w:t>Anyone who engages in insider trading or otherwise violates this policy may be subject to both civil liability and criminal penalties. Violators also risk disciplinary action by Geron, up to and including termination of employment. Anyone who has questions about this policy should contact their own attorney or Geron’s Insider Trading Compliance Officer, at TradingCompliance@geron.com. Please also see Frequently Asked Questions, which are</w:t>
      </w:r>
    </w:p>
    <w:p>
      <w:pPr>
        <w:sectPr>
          <w:pgSz w:w="11900" w:h="16915" w:orient="portrait"/>
          <w:cols w:equalWidth="0" w:num="1">
            <w:col w:w="9019"/>
          </w:cols>
          <w:pgMar w:left="1440" w:top="90" w:right="1440" w:bottom="0" w:gutter="0" w:footer="0" w:header="0"/>
        </w:sectPr>
      </w:pPr>
    </w:p>
    <w:bookmarkStart w:id="142" w:name="page143"/>
    <w:bookmarkEnd w:id="142"/>
    <w:p>
      <w:pPr>
        <w:ind w:left="1160"/>
        <w:spacing w:after="0"/>
        <w:rPr>
          <w:sz w:val="20"/>
          <w:szCs w:val="20"/>
          <w:color w:val="auto"/>
        </w:rPr>
      </w:pPr>
      <w:r>
        <w:rPr>
          <w:rFonts w:ascii="Arial" w:cs="Arial" w:eastAsia="Arial" w:hAnsi="Arial"/>
          <w:sz w:val="16"/>
          <w:szCs w:val="16"/>
          <w:color w:val="auto"/>
        </w:rPr>
        <w:t xml:space="preserve">attached as </w:t>
      </w:r>
      <w:r>
        <w:rPr>
          <w:rFonts w:ascii="Arial" w:cs="Arial" w:eastAsia="Arial" w:hAnsi="Arial"/>
          <w:sz w:val="16"/>
          <w:szCs w:val="16"/>
          <w:b w:val="1"/>
          <w:bCs w:val="1"/>
          <w:color w:val="auto"/>
        </w:rPr>
        <w:t>Exhibit 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-97155</wp:posOffset>
            </wp:positionV>
            <wp:extent cx="7160260" cy="10515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AMENDMENTS</w:t>
      </w:r>
    </w:p>
    <w:p>
      <w:pPr>
        <w:spacing w:after="0" w:line="180" w:lineRule="exact"/>
        <w:rPr>
          <w:sz w:val="20"/>
          <w:szCs w:val="20"/>
          <w:color w:val="auto"/>
        </w:rPr>
      </w:pPr>
    </w:p>
    <w:p>
      <w:pPr>
        <w:ind w:left="1160" w:right="1439" w:firstLine="258"/>
        <w:spacing w:after="0" w:line="285" w:lineRule="auto"/>
        <w:rPr>
          <w:sz w:val="20"/>
          <w:szCs w:val="20"/>
          <w:color w:val="auto"/>
        </w:rPr>
      </w:pPr>
      <w:r>
        <w:rPr>
          <w:rFonts w:ascii="Arial" w:cs="Arial" w:eastAsia="Arial" w:hAnsi="Arial"/>
          <w:sz w:val="15"/>
          <w:szCs w:val="15"/>
          <w:color w:val="auto"/>
        </w:rPr>
        <w:t>Geron is committed to continuously reviewing and updating its policies and procedures. Geron therefore reserves the right to amend, alter or terminate this policy at any time and for any reason. A current copy of Geron’s policies regarding insider trading may be obtained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INSIDER TRADING POLICY</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FREQUENTLY ASKED QUESTIONS</w:t>
      </w:r>
    </w:p>
    <w:p>
      <w:pPr>
        <w:spacing w:after="0" w:line="166" w:lineRule="exact"/>
        <w:rPr>
          <w:sz w:val="20"/>
          <w:szCs w:val="20"/>
          <w:color w:val="auto"/>
        </w:rPr>
      </w:pPr>
    </w:p>
    <w:p>
      <w:pPr>
        <w:ind w:left="1660" w:hanging="507"/>
        <w:spacing w:after="0"/>
        <w:tabs>
          <w:tab w:leader="none" w:pos="16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is insider trading?</w:t>
      </w:r>
    </w:p>
    <w:p>
      <w:pPr>
        <w:spacing w:after="0" w:line="170" w:lineRule="exact"/>
        <w:rPr>
          <w:rFonts w:ascii="Arial" w:cs="Arial" w:eastAsia="Arial" w:hAnsi="Arial"/>
          <w:sz w:val="16"/>
          <w:szCs w:val="16"/>
          <w:b w:val="1"/>
          <w:bCs w:val="1"/>
          <w:color w:val="auto"/>
        </w:rPr>
      </w:pPr>
    </w:p>
    <w:p>
      <w:pPr>
        <w:ind w:left="1160" w:right="1159" w:firstLine="509"/>
        <w:spacing w:after="0" w:line="248" w:lineRule="auto"/>
        <w:tabs>
          <w:tab w:leader="none" w:pos="1952" w:val="left"/>
        </w:tabs>
        <w:numPr>
          <w:ilvl w:val="1"/>
          <w:numId w:val="112"/>
        </w:numPr>
        <w:rPr>
          <w:rFonts w:ascii="Arial" w:cs="Arial" w:eastAsia="Arial" w:hAnsi="Arial"/>
          <w:sz w:val="16"/>
          <w:szCs w:val="16"/>
          <w:b w:val="1"/>
          <w:bCs w:val="1"/>
          <w:color w:val="auto"/>
        </w:rPr>
      </w:pPr>
      <w:r>
        <w:rPr>
          <w:rFonts w:ascii="Arial" w:cs="Arial" w:eastAsia="Arial" w:hAnsi="Arial"/>
          <w:sz w:val="16"/>
          <w:szCs w:val="16"/>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Geron, you become aware of material nonpublic information about Geron and you trade in Geron’s securities, you have broken the law and violated our insider trading policy. In addition, our insider trading policy provides that if in the course of your relationship with Geron, you learn of any confidential information that is material to another publicly traded company, including but not limited to a customer, supplier, partner or collaborator of Geron or an economically-linked company such as a competitor of Geron, you may not trade in that other company’s securities until the information becomes public or is no longer material to that other company. For example, if you learn of nonpublic information during the course of your relationship with Geron that could affect the stock price of a Geron competitor, you may not trade in that competitor’s stock until the information becomes public or is no longer material.</w:t>
      </w:r>
    </w:p>
    <w:p>
      <w:pPr>
        <w:spacing w:after="0" w:line="150" w:lineRule="exact"/>
        <w:rPr>
          <w:rFonts w:ascii="Arial" w:cs="Arial" w:eastAsia="Arial" w:hAnsi="Arial"/>
          <w:sz w:val="16"/>
          <w:szCs w:val="16"/>
          <w:b w:val="1"/>
          <w:bCs w:val="1"/>
          <w:color w:val="auto"/>
        </w:rPr>
      </w:pPr>
    </w:p>
    <w:p>
      <w:pPr>
        <w:ind w:left="1660" w:hanging="507"/>
        <w:spacing w:after="0"/>
        <w:tabs>
          <w:tab w:leader="none" w:pos="16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Why is insider trading illegal?</w:t>
      </w:r>
    </w:p>
    <w:p>
      <w:pPr>
        <w:spacing w:after="0" w:line="181" w:lineRule="exact"/>
        <w:rPr>
          <w:rFonts w:ascii="Arial" w:cs="Arial" w:eastAsia="Arial" w:hAnsi="Arial"/>
          <w:sz w:val="16"/>
          <w:szCs w:val="16"/>
          <w:b w:val="1"/>
          <w:bCs w:val="1"/>
          <w:color w:val="auto"/>
        </w:rPr>
      </w:pPr>
    </w:p>
    <w:p>
      <w:pPr>
        <w:ind w:left="1160" w:right="1179" w:firstLine="509"/>
        <w:spacing w:after="0" w:line="257" w:lineRule="auto"/>
        <w:tabs>
          <w:tab w:leader="none" w:pos="1980" w:val="left"/>
        </w:tabs>
        <w:numPr>
          <w:ilvl w:val="1"/>
          <w:numId w:val="112"/>
        </w:numPr>
        <w:rPr>
          <w:rFonts w:ascii="Arial" w:cs="Arial" w:eastAsia="Arial" w:hAnsi="Arial"/>
          <w:sz w:val="16"/>
          <w:szCs w:val="16"/>
          <w:b w:val="1"/>
          <w:bCs w:val="1"/>
          <w:color w:val="auto"/>
        </w:rPr>
      </w:pPr>
      <w:r>
        <w:rPr>
          <w:rFonts w:ascii="Arial" w:cs="Arial" w:eastAsia="Arial" w:hAnsi="Arial"/>
          <w:sz w:val="16"/>
          <w:szCs w:val="16"/>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35" w:lineRule="exact"/>
        <w:rPr>
          <w:rFonts w:ascii="Arial" w:cs="Arial" w:eastAsia="Arial" w:hAnsi="Arial"/>
          <w:sz w:val="16"/>
          <w:szCs w:val="16"/>
          <w:b w:val="1"/>
          <w:bCs w:val="1"/>
          <w:color w:val="auto"/>
        </w:rPr>
      </w:pPr>
    </w:p>
    <w:p>
      <w:pPr>
        <w:ind w:left="1660" w:hanging="507"/>
        <w:spacing w:after="0"/>
        <w:tabs>
          <w:tab w:leader="none" w:pos="16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is material nonpublic information?</w:t>
      </w:r>
    </w:p>
    <w:p>
      <w:pPr>
        <w:spacing w:after="0" w:line="181" w:lineRule="exact"/>
        <w:rPr>
          <w:rFonts w:ascii="Arial" w:cs="Arial" w:eastAsia="Arial" w:hAnsi="Arial"/>
          <w:sz w:val="16"/>
          <w:szCs w:val="16"/>
          <w:b w:val="1"/>
          <w:bCs w:val="1"/>
          <w:color w:val="auto"/>
        </w:rPr>
      </w:pPr>
    </w:p>
    <w:p>
      <w:pPr>
        <w:jc w:val="both"/>
        <w:ind w:left="1160" w:right="1499" w:firstLine="509"/>
        <w:spacing w:after="0" w:line="270" w:lineRule="auto"/>
        <w:tabs>
          <w:tab w:leader="none" w:pos="1978" w:val="left"/>
        </w:tabs>
        <w:numPr>
          <w:ilvl w:val="1"/>
          <w:numId w:val="112"/>
        </w:numPr>
        <w:rPr>
          <w:rFonts w:ascii="Arial" w:cs="Arial" w:eastAsia="Arial" w:hAnsi="Arial"/>
          <w:sz w:val="15"/>
          <w:szCs w:val="15"/>
          <w:b w:val="1"/>
          <w:bCs w:val="1"/>
          <w:color w:val="auto"/>
        </w:rPr>
      </w:pPr>
      <w:r>
        <w:rPr>
          <w:rFonts w:ascii="Arial" w:cs="Arial" w:eastAsia="Arial" w:hAnsi="Arial"/>
          <w:sz w:val="15"/>
          <w:szCs w:val="15"/>
          <w:color w:val="auto"/>
        </w:rPr>
        <w:t>Information is material if it would influence a reasonable investor to buy or sell a stock, bond future or other security. This could mean many things: financial or sales results, clinical or regulatory results, potential acquisitions or major contracts to name just a few.</w:t>
      </w:r>
    </w:p>
    <w:p>
      <w:pPr>
        <w:ind w:left="1160" w:right="1399"/>
        <w:spacing w:after="0" w:line="250" w:lineRule="auto"/>
        <w:rPr>
          <w:rFonts w:ascii="Arial" w:cs="Arial" w:eastAsia="Arial" w:hAnsi="Arial"/>
          <w:sz w:val="15"/>
          <w:szCs w:val="15"/>
          <w:b w:val="1"/>
          <w:bCs w:val="1"/>
          <w:color w:val="auto"/>
        </w:rPr>
      </w:pPr>
      <w:r>
        <w:rPr>
          <w:rFonts w:ascii="Arial" w:cs="Arial" w:eastAsia="Arial" w:hAnsi="Arial"/>
          <w:sz w:val="16"/>
          <w:szCs w:val="16"/>
          <w:color w:val="auto"/>
        </w:rPr>
        <w:t>Information is nonpublic if it has not yet been publicly disseminated within the meaning of our insider trading policy.</w:t>
      </w:r>
    </w:p>
    <w:p>
      <w:pPr>
        <w:spacing w:after="0" w:line="151" w:lineRule="exact"/>
        <w:rPr>
          <w:rFonts w:ascii="Arial" w:cs="Arial" w:eastAsia="Arial" w:hAnsi="Arial"/>
          <w:sz w:val="15"/>
          <w:szCs w:val="15"/>
          <w:b w:val="1"/>
          <w:bCs w:val="1"/>
          <w:color w:val="auto"/>
        </w:rPr>
      </w:pPr>
    </w:p>
    <w:p>
      <w:pPr>
        <w:ind w:left="1660" w:hanging="507"/>
        <w:spacing w:after="0"/>
        <w:tabs>
          <w:tab w:leader="none" w:pos="16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Who can be guilty of insider trading?</w:t>
      </w:r>
    </w:p>
    <w:p>
      <w:pPr>
        <w:spacing w:after="0" w:line="181" w:lineRule="exact"/>
        <w:rPr>
          <w:rFonts w:ascii="Arial" w:cs="Arial" w:eastAsia="Arial" w:hAnsi="Arial"/>
          <w:sz w:val="16"/>
          <w:szCs w:val="16"/>
          <w:b w:val="1"/>
          <w:bCs w:val="1"/>
          <w:color w:val="auto"/>
        </w:rPr>
      </w:pPr>
    </w:p>
    <w:p>
      <w:pPr>
        <w:ind w:left="1160" w:right="1179" w:firstLine="509"/>
        <w:spacing w:after="0" w:line="252" w:lineRule="auto"/>
        <w:tabs>
          <w:tab w:leader="none" w:pos="1930" w:val="left"/>
        </w:tabs>
        <w:numPr>
          <w:ilvl w:val="1"/>
          <w:numId w:val="112"/>
        </w:numPr>
        <w:rPr>
          <w:rFonts w:ascii="Arial" w:cs="Arial" w:eastAsia="Arial" w:hAnsi="Arial"/>
          <w:sz w:val="16"/>
          <w:szCs w:val="16"/>
          <w:b w:val="1"/>
          <w:bCs w:val="1"/>
          <w:color w:val="auto"/>
        </w:rPr>
      </w:pPr>
      <w:r>
        <w:rPr>
          <w:rFonts w:ascii="Arial" w:cs="Arial" w:eastAsia="Arial" w:hAnsi="Arial"/>
          <w:sz w:val="16"/>
          <w:szCs w:val="16"/>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Geron. Regardless of who you are, if you know something material about the value of a security that not everyone knows and you trade (or convince someone else to trade) in that security, you may be found guilty of insider trading.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60" w:hanging="507"/>
        <w:spacing w:after="0"/>
        <w:tabs>
          <w:tab w:leader="none" w:pos="1660" w:val="left"/>
        </w:tabs>
        <w:numPr>
          <w:ilvl w:val="0"/>
          <w:numId w:val="11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Does Geron have an insider trading policy?</w:t>
      </w:r>
    </w:p>
    <w:p>
      <w:pPr>
        <w:sectPr>
          <w:pgSz w:w="11900" w:h="16838" w:orient="portrait"/>
          <w:cols w:equalWidth="0" w:num="1">
            <w:col w:w="9019"/>
          </w:cols>
          <w:pgMar w:left="1440" w:top="110" w:right="1440" w:bottom="0" w:gutter="0" w:footer="0" w:header="0"/>
          <w:type w:val="continuous"/>
        </w:sectPr>
      </w:pPr>
    </w:p>
    <w:bookmarkStart w:id="143" w:name="page144"/>
    <w:bookmarkEnd w:id="143"/>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359" w:firstLine="509"/>
        <w:spacing w:after="0" w:line="267" w:lineRule="auto"/>
        <w:tabs>
          <w:tab w:leader="none" w:pos="1958" w:val="left"/>
        </w:tabs>
        <w:numPr>
          <w:ilvl w:val="1"/>
          <w:numId w:val="114"/>
        </w:numPr>
        <w:rPr>
          <w:rFonts w:ascii="Arial" w:cs="Arial" w:eastAsia="Arial" w:hAnsi="Arial"/>
          <w:sz w:val="16"/>
          <w:szCs w:val="16"/>
          <w:b w:val="1"/>
          <w:bCs w:val="1"/>
          <w:color w:val="auto"/>
        </w:rPr>
      </w:pPr>
      <w:r>
        <w:rPr>
          <w:rFonts w:ascii="Arial" w:cs="Arial" w:eastAsia="Arial" w:hAnsi="Arial"/>
          <w:sz w:val="16"/>
          <w:szCs w:val="16"/>
          <w:color w:val="auto"/>
        </w:rPr>
        <w:t>Yes, the insider trading policy is available to read on our website on our Corporate Governance webpage.</w:t>
      </w:r>
    </w:p>
    <w:p>
      <w:pPr>
        <w:spacing w:after="0" w:line="138" w:lineRule="exact"/>
        <w:rPr>
          <w:rFonts w:ascii="Arial" w:cs="Arial" w:eastAsia="Arial" w:hAnsi="Arial"/>
          <w:sz w:val="16"/>
          <w:szCs w:val="16"/>
          <w:b w:val="1"/>
          <w:bCs w:val="1"/>
          <w:color w:val="auto"/>
        </w:rPr>
      </w:pPr>
    </w:p>
    <w:p>
      <w:pPr>
        <w:ind w:left="1660" w:hanging="507"/>
        <w:spacing w:after="0"/>
        <w:tabs>
          <w:tab w:leader="none" w:pos="166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if I work in a foreign office?</w:t>
      </w:r>
    </w:p>
    <w:p>
      <w:pPr>
        <w:spacing w:after="0" w:line="170" w:lineRule="exact"/>
        <w:rPr>
          <w:rFonts w:ascii="Arial" w:cs="Arial" w:eastAsia="Arial" w:hAnsi="Arial"/>
          <w:sz w:val="16"/>
          <w:szCs w:val="16"/>
          <w:b w:val="1"/>
          <w:bCs w:val="1"/>
          <w:color w:val="auto"/>
        </w:rPr>
      </w:pPr>
    </w:p>
    <w:p>
      <w:pPr>
        <w:ind w:left="1160" w:right="1179" w:firstLine="509"/>
        <w:spacing w:after="0" w:line="252" w:lineRule="auto"/>
        <w:tabs>
          <w:tab w:leader="none" w:pos="1933" w:val="left"/>
        </w:tabs>
        <w:numPr>
          <w:ilvl w:val="1"/>
          <w:numId w:val="115"/>
        </w:numPr>
        <w:rPr>
          <w:rFonts w:ascii="Arial" w:cs="Arial" w:eastAsia="Arial" w:hAnsi="Arial"/>
          <w:sz w:val="16"/>
          <w:szCs w:val="16"/>
          <w:b w:val="1"/>
          <w:bCs w:val="1"/>
          <w:color w:val="auto"/>
        </w:rPr>
      </w:pPr>
      <w:r>
        <w:rPr>
          <w:rFonts w:ascii="Arial" w:cs="Arial" w:eastAsia="Arial" w:hAnsi="Arial"/>
          <w:sz w:val="16"/>
          <w:szCs w:val="16"/>
          <w:color w:val="auto"/>
        </w:rPr>
        <w:t>The same rules apply to U.S. and foreign employees and consultants.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Geron director, employee or consultant, our policies apply to you no matter where you work.</w:t>
      </w:r>
    </w:p>
    <w:p>
      <w:pPr>
        <w:spacing w:after="0" w:line="151" w:lineRule="exact"/>
        <w:rPr>
          <w:rFonts w:ascii="Arial" w:cs="Arial" w:eastAsia="Arial" w:hAnsi="Arial"/>
          <w:sz w:val="16"/>
          <w:szCs w:val="16"/>
          <w:b w:val="1"/>
          <w:bCs w:val="1"/>
          <w:color w:val="auto"/>
        </w:rPr>
      </w:pPr>
    </w:p>
    <w:p>
      <w:pPr>
        <w:ind w:left="1160" w:right="1559" w:hanging="7"/>
        <w:spacing w:after="0" w:line="291" w:lineRule="auto"/>
        <w:tabs>
          <w:tab w:leader="none" w:pos="1675"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if I don’t buy or sell anything, but I tell someone else material nonpublic information and they buy or sell?</w:t>
      </w:r>
    </w:p>
    <w:p>
      <w:pPr>
        <w:spacing w:after="0" w:line="101" w:lineRule="exact"/>
        <w:rPr>
          <w:rFonts w:ascii="Arial" w:cs="Arial" w:eastAsia="Arial" w:hAnsi="Arial"/>
          <w:sz w:val="16"/>
          <w:szCs w:val="16"/>
          <w:b w:val="1"/>
          <w:bCs w:val="1"/>
          <w:color w:val="auto"/>
        </w:rPr>
      </w:pPr>
    </w:p>
    <w:p>
      <w:pPr>
        <w:ind w:left="1160" w:right="1239" w:firstLine="509"/>
        <w:spacing w:after="0" w:line="250" w:lineRule="auto"/>
        <w:tabs>
          <w:tab w:leader="none" w:pos="2003" w:val="left"/>
        </w:tabs>
        <w:numPr>
          <w:ilvl w:val="1"/>
          <w:numId w:val="115"/>
        </w:numPr>
        <w:rPr>
          <w:rFonts w:ascii="Arial" w:cs="Arial" w:eastAsia="Arial" w:hAnsi="Arial"/>
          <w:sz w:val="16"/>
          <w:szCs w:val="16"/>
          <w:b w:val="1"/>
          <w:bCs w:val="1"/>
          <w:color w:val="auto"/>
        </w:rPr>
      </w:pPr>
      <w:r>
        <w:rPr>
          <w:rFonts w:ascii="Arial" w:cs="Arial" w:eastAsia="Arial" w:hAnsi="Arial"/>
          <w:sz w:val="16"/>
          <w:szCs w:val="16"/>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Geron, including spouses, family members, friends or business associates (unless the disclosure is made in accordance with Geron’s policies regarding the protection or authorized external disclosure of information regarding Geron). This includes anonymous discussions on the internet about Geron or companies with which Geron does business.</w:t>
      </w:r>
    </w:p>
    <w:p>
      <w:pPr>
        <w:spacing w:after="0" w:line="145" w:lineRule="exact"/>
        <w:rPr>
          <w:rFonts w:ascii="Arial" w:cs="Arial" w:eastAsia="Arial" w:hAnsi="Arial"/>
          <w:sz w:val="16"/>
          <w:szCs w:val="16"/>
          <w:b w:val="1"/>
          <w:bCs w:val="1"/>
          <w:color w:val="auto"/>
        </w:rPr>
      </w:pPr>
    </w:p>
    <w:p>
      <w:pPr>
        <w:ind w:left="1160" w:right="1279" w:hanging="7"/>
        <w:spacing w:after="0" w:line="291" w:lineRule="auto"/>
        <w:tabs>
          <w:tab w:leader="none" w:pos="1675"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if I don’t tell them the information itself; I just tell them whether they should buy or sell?</w:t>
      </w:r>
    </w:p>
    <w:p>
      <w:pPr>
        <w:spacing w:after="0" w:line="101" w:lineRule="exact"/>
        <w:rPr>
          <w:rFonts w:ascii="Arial" w:cs="Arial" w:eastAsia="Arial" w:hAnsi="Arial"/>
          <w:sz w:val="16"/>
          <w:szCs w:val="16"/>
          <w:b w:val="1"/>
          <w:bCs w:val="1"/>
          <w:color w:val="auto"/>
        </w:rPr>
      </w:pPr>
    </w:p>
    <w:p>
      <w:pPr>
        <w:ind w:left="1160" w:right="1179" w:firstLine="509"/>
        <w:spacing w:after="0" w:line="266" w:lineRule="auto"/>
        <w:tabs>
          <w:tab w:leader="none" w:pos="1930" w:val="left"/>
        </w:tabs>
        <w:numPr>
          <w:ilvl w:val="1"/>
          <w:numId w:val="115"/>
        </w:numPr>
        <w:rPr>
          <w:rFonts w:ascii="Arial" w:cs="Arial" w:eastAsia="Arial" w:hAnsi="Arial"/>
          <w:sz w:val="16"/>
          <w:szCs w:val="16"/>
          <w:b w:val="1"/>
          <w:bCs w:val="1"/>
          <w:color w:val="auto"/>
        </w:rPr>
      </w:pPr>
      <w:r>
        <w:rPr>
          <w:rFonts w:ascii="Arial" w:cs="Arial" w:eastAsia="Arial" w:hAnsi="Arial"/>
          <w:sz w:val="16"/>
          <w:szCs w:val="16"/>
          <w:color w:val="auto"/>
        </w:rPr>
        <w:t>That is still tipping, and you can still be responsible for insider trading. You may never recommend to another person that they buy, hold or sell Geron’s common stock or any derivative security related to Geron’s common stock, since that could be a form of tipping.</w:t>
      </w:r>
    </w:p>
    <w:p>
      <w:pPr>
        <w:spacing w:after="0" w:line="129" w:lineRule="exact"/>
        <w:rPr>
          <w:rFonts w:ascii="Arial" w:cs="Arial" w:eastAsia="Arial" w:hAnsi="Arial"/>
          <w:sz w:val="16"/>
          <w:szCs w:val="16"/>
          <w:b w:val="1"/>
          <w:bCs w:val="1"/>
          <w:color w:val="auto"/>
        </w:rPr>
      </w:pPr>
    </w:p>
    <w:p>
      <w:pPr>
        <w:ind w:left="1160" w:right="1699" w:hanging="7"/>
        <w:spacing w:after="0" w:line="291" w:lineRule="auto"/>
        <w:tabs>
          <w:tab w:leader="none" w:pos="1675"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are the sanctions if I trade on material nonpublic information or tip off someone else?</w:t>
      </w:r>
    </w:p>
    <w:p>
      <w:pPr>
        <w:spacing w:after="0" w:line="101" w:lineRule="exact"/>
        <w:rPr>
          <w:rFonts w:ascii="Arial" w:cs="Arial" w:eastAsia="Arial" w:hAnsi="Arial"/>
          <w:sz w:val="16"/>
          <w:szCs w:val="16"/>
          <w:b w:val="1"/>
          <w:bCs w:val="1"/>
          <w:color w:val="auto"/>
        </w:rPr>
      </w:pPr>
    </w:p>
    <w:p>
      <w:pPr>
        <w:ind w:left="1160" w:right="1159" w:firstLine="509"/>
        <w:spacing w:after="0" w:line="252" w:lineRule="auto"/>
        <w:tabs>
          <w:tab w:leader="none" w:pos="2031" w:val="left"/>
        </w:tabs>
        <w:numPr>
          <w:ilvl w:val="1"/>
          <w:numId w:val="115"/>
        </w:numPr>
        <w:rPr>
          <w:rFonts w:ascii="Arial" w:cs="Arial" w:eastAsia="Arial" w:hAnsi="Arial"/>
          <w:sz w:val="16"/>
          <w:szCs w:val="16"/>
          <w:b w:val="1"/>
          <w:bCs w:val="1"/>
          <w:color w:val="auto"/>
        </w:rPr>
      </w:pPr>
      <w:r>
        <w:rPr>
          <w:rFonts w:ascii="Arial" w:cs="Arial" w:eastAsia="Arial" w:hAnsi="Arial"/>
          <w:sz w:val="16"/>
          <w:szCs w:val="16"/>
          <w:color w:val="auto"/>
        </w:rPr>
        <w:t>In addition to disciplinary action by Geron—which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60" w:hanging="507"/>
        <w:spacing w:after="0"/>
        <w:tabs>
          <w:tab w:leader="none" w:pos="16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is “loss avoided”?</w:t>
      </w:r>
    </w:p>
    <w:p>
      <w:pPr>
        <w:spacing w:after="0" w:line="181" w:lineRule="exact"/>
        <w:rPr>
          <w:rFonts w:ascii="Arial" w:cs="Arial" w:eastAsia="Arial" w:hAnsi="Arial"/>
          <w:sz w:val="16"/>
          <w:szCs w:val="16"/>
          <w:b w:val="1"/>
          <w:bCs w:val="1"/>
          <w:color w:val="auto"/>
        </w:rPr>
      </w:pPr>
    </w:p>
    <w:p>
      <w:pPr>
        <w:jc w:val="both"/>
        <w:ind w:left="1160" w:right="1479" w:firstLine="509"/>
        <w:spacing w:after="0" w:line="259" w:lineRule="auto"/>
        <w:tabs>
          <w:tab w:leader="none" w:pos="1978" w:val="left"/>
        </w:tabs>
        <w:numPr>
          <w:ilvl w:val="1"/>
          <w:numId w:val="116"/>
        </w:numPr>
        <w:rPr>
          <w:rFonts w:ascii="Arial" w:cs="Arial" w:eastAsia="Arial" w:hAnsi="Arial"/>
          <w:sz w:val="16"/>
          <w:szCs w:val="16"/>
          <w:b w:val="1"/>
          <w:bCs w:val="1"/>
          <w:color w:val="auto"/>
        </w:rPr>
      </w:pPr>
      <w:r>
        <w:rPr>
          <w:rFonts w:ascii="Arial" w:cs="Arial" w:eastAsia="Arial" w:hAnsi="Arial"/>
          <w:sz w:val="16"/>
          <w:szCs w:val="16"/>
          <w:color w:val="auto"/>
        </w:rPr>
        <w:t>If you sell common stock or a related derivative security before negative news is publicly announced, and as a result of the announcement the stock price declines, you have avoided the loss caused by the negative news.</w:t>
      </w:r>
    </w:p>
    <w:p>
      <w:pPr>
        <w:spacing w:after="0" w:line="134" w:lineRule="exact"/>
        <w:rPr>
          <w:rFonts w:ascii="Arial" w:cs="Arial" w:eastAsia="Arial" w:hAnsi="Arial"/>
          <w:sz w:val="16"/>
          <w:szCs w:val="16"/>
          <w:b w:val="1"/>
          <w:bCs w:val="1"/>
          <w:color w:val="auto"/>
        </w:rPr>
      </w:pPr>
    </w:p>
    <w:p>
      <w:pPr>
        <w:ind w:left="1160" w:right="1499" w:hanging="7"/>
        <w:spacing w:after="0" w:line="291" w:lineRule="auto"/>
        <w:tabs>
          <w:tab w:leader="none" w:pos="1675"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 I restricted from trading securities of any companies other than Geron, for example a customer, partner or competitor of Geron?</w:t>
      </w:r>
    </w:p>
    <w:p>
      <w:pPr>
        <w:spacing w:after="0" w:line="112" w:lineRule="exact"/>
        <w:rPr>
          <w:rFonts w:ascii="Arial" w:cs="Arial" w:eastAsia="Arial" w:hAnsi="Arial"/>
          <w:sz w:val="16"/>
          <w:szCs w:val="16"/>
          <w:b w:val="1"/>
          <w:bCs w:val="1"/>
          <w:color w:val="auto"/>
        </w:rPr>
      </w:pPr>
    </w:p>
    <w:p>
      <w:pPr>
        <w:ind w:left="1160" w:right="1259" w:firstLine="509"/>
        <w:spacing w:after="0" w:line="269" w:lineRule="auto"/>
        <w:tabs>
          <w:tab w:leader="none" w:pos="2018" w:val="left"/>
        </w:tabs>
        <w:numPr>
          <w:ilvl w:val="1"/>
          <w:numId w:val="116"/>
        </w:numPr>
        <w:rPr>
          <w:rFonts w:ascii="Arial" w:cs="Arial" w:eastAsia="Arial" w:hAnsi="Arial"/>
          <w:sz w:val="15"/>
          <w:szCs w:val="15"/>
          <w:b w:val="1"/>
          <w:bCs w:val="1"/>
          <w:color w:val="auto"/>
        </w:rPr>
      </w:pPr>
      <w:r>
        <w:rPr>
          <w:rFonts w:ascii="Arial" w:cs="Arial" w:eastAsia="Arial" w:hAnsi="Arial"/>
          <w:sz w:val="15"/>
          <w:szCs w:val="15"/>
          <w:color w:val="auto"/>
        </w:rPr>
        <w:t>Yes, you may be restricted from doing so due to your awareness of material nonpublic information. U.S. insider trading laws generally restrict everyone aware of material nonpublic information about a company from trading in that company’s securities, regardless of whether the person is directly connected with that company, except in limited circumstances. You should be particularly conscious of this restriction if, through your position at Geron, you sometimes obtain sensitive, material information about other companies and their business dealings with Geron. Please also refer to Question 1 above and our insider trading policy with respect to restrictions on trading in the securities of other public companies.</w:t>
      </w:r>
    </w:p>
    <w:p>
      <w:pPr>
        <w:spacing w:after="0" w:line="128" w:lineRule="exact"/>
        <w:rPr>
          <w:rFonts w:ascii="Arial" w:cs="Arial" w:eastAsia="Arial" w:hAnsi="Arial"/>
          <w:sz w:val="15"/>
          <w:szCs w:val="15"/>
          <w:b w:val="1"/>
          <w:bCs w:val="1"/>
          <w:color w:val="auto"/>
        </w:rPr>
      </w:pPr>
    </w:p>
    <w:p>
      <w:pPr>
        <w:ind w:left="1160" w:right="1359" w:hanging="7"/>
        <w:spacing w:after="0" w:line="291" w:lineRule="auto"/>
        <w:tabs>
          <w:tab w:leader="none" w:pos="1675"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So if I do not trade Geron securities when I have material nonpublic information, and I don’t “tip” other people, I am in the clear, right?</w:t>
      </w:r>
    </w:p>
    <w:p>
      <w:pPr>
        <w:spacing w:after="0" w:line="112" w:lineRule="exact"/>
        <w:rPr>
          <w:rFonts w:ascii="Arial" w:cs="Arial" w:eastAsia="Arial" w:hAnsi="Arial"/>
          <w:sz w:val="16"/>
          <w:szCs w:val="16"/>
          <w:b w:val="1"/>
          <w:bCs w:val="1"/>
          <w:color w:val="auto"/>
        </w:rPr>
      </w:pPr>
    </w:p>
    <w:p>
      <w:pPr>
        <w:ind w:left="1160" w:right="1219" w:firstLine="509"/>
        <w:spacing w:after="0" w:line="252" w:lineRule="auto"/>
        <w:tabs>
          <w:tab w:leader="none" w:pos="1937" w:val="left"/>
        </w:tabs>
        <w:numPr>
          <w:ilvl w:val="1"/>
          <w:numId w:val="116"/>
        </w:numPr>
        <w:rPr>
          <w:rFonts w:ascii="Arial" w:cs="Arial" w:eastAsia="Arial" w:hAnsi="Arial"/>
          <w:sz w:val="16"/>
          <w:szCs w:val="16"/>
          <w:b w:val="1"/>
          <w:bCs w:val="1"/>
          <w:color w:val="auto"/>
        </w:rPr>
      </w:pPr>
      <w:r>
        <w:rPr>
          <w:rFonts w:ascii="Arial" w:cs="Arial" w:eastAsia="Arial" w:hAnsi="Arial"/>
          <w:sz w:val="16"/>
          <w:szCs w:val="16"/>
          <w:color w:val="auto"/>
        </w:rPr>
        <w:t>Not necessarily. Even if you do not violate U.S. law, you may still violate our policies. For example, employees and consultants may violate our policies by breaching their confidentiality obligations or by recommending Geron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spacing w:after="0" w:line="140" w:lineRule="exact"/>
        <w:rPr>
          <w:rFonts w:ascii="Arial" w:cs="Arial" w:eastAsia="Arial" w:hAnsi="Arial"/>
          <w:sz w:val="16"/>
          <w:szCs w:val="16"/>
          <w:b w:val="1"/>
          <w:bCs w:val="1"/>
          <w:color w:val="auto"/>
        </w:rPr>
      </w:pPr>
    </w:p>
    <w:p>
      <w:pPr>
        <w:ind w:left="1660" w:hanging="507"/>
        <w:spacing w:after="0"/>
        <w:tabs>
          <w:tab w:leader="none" w:pos="166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So when can I buy or sell my Geron securities?</w:t>
      </w:r>
    </w:p>
    <w:p>
      <w:pPr>
        <w:sectPr>
          <w:pgSz w:w="11900" w:h="16873" w:orient="portrait"/>
          <w:cols w:equalWidth="0" w:num="1">
            <w:col w:w="9019"/>
          </w:cols>
          <w:pgMar w:left="1440" w:top="198" w:right="1440" w:bottom="0" w:gutter="0" w:footer="0" w:header="0"/>
        </w:sectPr>
      </w:pPr>
    </w:p>
    <w:bookmarkStart w:id="144" w:name="page145"/>
    <w:bookmarkEnd w:id="144"/>
    <w:p>
      <w:pPr>
        <w:ind w:left="1160" w:right="1179" w:firstLine="509"/>
        <w:spacing w:after="0" w:line="248" w:lineRule="auto"/>
        <w:tabs>
          <w:tab w:leader="none" w:pos="1992" w:val="left"/>
        </w:tabs>
        <w:numPr>
          <w:ilvl w:val="1"/>
          <w:numId w:val="11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 xml:space="preserve">If you are aware of material nonpublic information, you may not buy or sell our common stock until one full trading day has elapsed since the information was publicly disclosed. At that point, the information is considered publicly disseminated for purposes of our insider trading policy. For example, if we announce material nonpublic information before trading begins on Wednesday, then during an open trading window you may execute a transaction in our securities on Thursday; if we announce material nonpublic information after trading ends on Wednesday, then during an open trading window you may execute a transaction in our securities on Friday. </w:t>
      </w:r>
      <w:r>
        <w:rPr>
          <w:rFonts w:ascii="Arial" w:cs="Arial" w:eastAsia="Arial" w:hAnsi="Arial"/>
          <w:sz w:val="16"/>
          <w:szCs w:val="16"/>
          <w:b w:val="1"/>
          <w:bCs w:val="1"/>
          <w:color w:val="auto"/>
        </w:rPr>
        <w:t>Even if you are not aware of any material nonpublic information, you</w:t>
      </w:r>
      <w:r>
        <w:rPr>
          <w:rFonts w:ascii="Arial" w:cs="Arial" w:eastAsia="Arial" w:hAnsi="Arial"/>
          <w:sz w:val="16"/>
          <w:szCs w:val="16"/>
          <w:color w:val="auto"/>
        </w:rPr>
        <w:t xml:space="preserve"> </w:t>
      </w:r>
      <w:r>
        <w:rPr>
          <w:rFonts w:ascii="Arial" w:cs="Arial" w:eastAsia="Arial" w:hAnsi="Arial"/>
          <w:sz w:val="16"/>
          <w:szCs w:val="16"/>
          <w:b w:val="1"/>
          <w:bCs w:val="1"/>
          <w:color w:val="auto"/>
        </w:rPr>
        <w:t>may not trade our common stock during any trading “blackout” period to which you are subject</w:t>
      </w:r>
      <w:r>
        <w:rPr>
          <w:rFonts w:ascii="Arial" w:cs="Arial" w:eastAsia="Arial" w:hAnsi="Arial"/>
          <w:sz w:val="16"/>
          <w:szCs w:val="16"/>
          <w:color w:val="auto"/>
        </w:rPr>
        <w:t>. Our insider trading policy describes the standing quarterly trading blackout period that</w:t>
      </w:r>
      <w:r>
        <w:rPr>
          <w:rFonts w:ascii="Arial" w:cs="Arial" w:eastAsia="Arial" w:hAnsi="Arial"/>
          <w:sz w:val="16"/>
          <w:szCs w:val="16"/>
          <w:b w:val="1"/>
          <w:bCs w:val="1"/>
          <w:color w:val="auto"/>
        </w:rPr>
        <w:t xml:space="preserve"> </w:t>
      </w:r>
      <w:r>
        <w:rPr>
          <w:rFonts w:ascii="Arial" w:cs="Arial" w:eastAsia="Arial" w:hAnsi="Arial"/>
          <w:sz w:val="16"/>
          <w:szCs w:val="16"/>
          <w:color w:val="auto"/>
        </w:rPr>
        <w:t>all Geron employees, directors, designated consultants and their Related Persons are subject to, and additional event-driven trading blackout periods you and your Related Persons may be subject to.</w:t>
      </w:r>
    </w:p>
    <w:p>
      <w:pPr>
        <w:spacing w:after="0" w:line="159" w:lineRule="exact"/>
        <w:rPr>
          <w:rFonts w:ascii="Arial" w:cs="Arial" w:eastAsia="Arial" w:hAnsi="Arial"/>
          <w:sz w:val="16"/>
          <w:szCs w:val="16"/>
          <w:b w:val="1"/>
          <w:bCs w:val="1"/>
          <w:color w:val="auto"/>
        </w:rPr>
      </w:pPr>
    </w:p>
    <w:p>
      <w:pPr>
        <w:ind w:left="1160" w:right="1659" w:hanging="7"/>
        <w:spacing w:after="0" w:line="265" w:lineRule="auto"/>
        <w:tabs>
          <w:tab w:leader="none" w:pos="1675"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If I have an open order to buy or sell Geron securities on the date a blackout period commences, can I leave it to my broker to cancel the open order and avoid executing the trade?</w:t>
      </w:r>
    </w:p>
    <w:p>
      <w:pPr>
        <w:spacing w:after="0" w:line="120" w:lineRule="exact"/>
        <w:rPr>
          <w:rFonts w:ascii="Arial" w:cs="Arial" w:eastAsia="Arial" w:hAnsi="Arial"/>
          <w:sz w:val="16"/>
          <w:szCs w:val="16"/>
          <w:b w:val="1"/>
          <w:bCs w:val="1"/>
          <w:color w:val="auto"/>
        </w:rPr>
      </w:pPr>
    </w:p>
    <w:p>
      <w:pPr>
        <w:jc w:val="both"/>
        <w:ind w:left="1160" w:right="1299" w:firstLine="509"/>
        <w:spacing w:after="0" w:line="316" w:lineRule="auto"/>
        <w:tabs>
          <w:tab w:leader="none" w:pos="1948" w:val="left"/>
        </w:tabs>
        <w:numPr>
          <w:ilvl w:val="1"/>
          <w:numId w:val="118"/>
        </w:numPr>
        <w:rPr>
          <w:rFonts w:ascii="Arial" w:cs="Arial" w:eastAsia="Arial" w:hAnsi="Arial"/>
          <w:sz w:val="15"/>
          <w:szCs w:val="15"/>
          <w:b w:val="1"/>
          <w:bCs w:val="1"/>
          <w:color w:val="auto"/>
        </w:rPr>
      </w:pPr>
      <w:r>
        <w:rPr>
          <w:rFonts w:ascii="Arial" w:cs="Arial" w:eastAsia="Arial" w:hAnsi="Arial"/>
          <w:sz w:val="15"/>
          <w:szCs w:val="15"/>
          <w:color w:val="auto"/>
        </w:rPr>
        <w:t>No, unless it is in connection with a 10b5-1 trading plan (see Question 26 below). If you have any open orders when a blackout period commences other than in connection with 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60" w:right="1279"/>
        <w:spacing w:after="0" w:line="271" w:lineRule="auto"/>
        <w:rPr>
          <w:sz w:val="20"/>
          <w:szCs w:val="20"/>
          <w:color w:val="auto"/>
        </w:rPr>
      </w:pPr>
      <w:r>
        <w:rPr>
          <w:rFonts w:ascii="Arial" w:cs="Arial" w:eastAsia="Arial" w:hAnsi="Arial"/>
          <w:sz w:val="15"/>
          <w:szCs w:val="15"/>
          <w:color w:val="auto"/>
        </w:rPr>
        <w:t>10b5-1 trading plan, it is your responsibility to cancel these orders with your broker. If you have an open order and it executes after a blackout period commences not in connection with a</w:t>
      </w:r>
    </w:p>
    <w:p>
      <w:pPr>
        <w:ind w:left="1160" w:right="1239"/>
        <w:spacing w:after="0" w:line="263" w:lineRule="auto"/>
        <w:rPr>
          <w:sz w:val="20"/>
          <w:szCs w:val="20"/>
          <w:color w:val="auto"/>
        </w:rPr>
      </w:pPr>
      <w:r>
        <w:rPr>
          <w:rFonts w:ascii="Arial" w:cs="Arial" w:eastAsia="Arial" w:hAnsi="Arial"/>
          <w:sz w:val="16"/>
          <w:szCs w:val="16"/>
          <w:color w:val="auto"/>
        </w:rPr>
        <w:t>10b5-1 trading plan, you will have violated our insider trading policy and may also have violated insider trading laws.</w:t>
      </w:r>
    </w:p>
    <w:p>
      <w:pPr>
        <w:spacing w:after="0" w:line="130" w:lineRule="exact"/>
        <w:rPr>
          <w:sz w:val="20"/>
          <w:szCs w:val="20"/>
          <w:color w:val="auto"/>
        </w:rPr>
      </w:pPr>
    </w:p>
    <w:p>
      <w:pPr>
        <w:ind w:left="1660" w:hanging="507"/>
        <w:spacing w:after="0"/>
        <w:tabs>
          <w:tab w:leader="none" w:pos="166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 I allowed to trade derivative securities of Geron’s common stock?</w:t>
      </w:r>
    </w:p>
    <w:p>
      <w:pPr>
        <w:spacing w:after="0" w:line="181" w:lineRule="exact"/>
        <w:rPr>
          <w:rFonts w:ascii="Arial" w:cs="Arial" w:eastAsia="Arial" w:hAnsi="Arial"/>
          <w:sz w:val="16"/>
          <w:szCs w:val="16"/>
          <w:b w:val="1"/>
          <w:bCs w:val="1"/>
          <w:color w:val="auto"/>
        </w:rPr>
      </w:pPr>
    </w:p>
    <w:p>
      <w:pPr>
        <w:ind w:left="1160" w:right="1179" w:firstLine="509"/>
        <w:spacing w:after="0" w:line="259" w:lineRule="auto"/>
        <w:tabs>
          <w:tab w:leader="none" w:pos="1991" w:val="left"/>
        </w:tabs>
        <w:numPr>
          <w:ilvl w:val="1"/>
          <w:numId w:val="119"/>
        </w:numPr>
        <w:rPr>
          <w:rFonts w:ascii="Arial" w:cs="Arial" w:eastAsia="Arial" w:hAnsi="Arial"/>
          <w:sz w:val="16"/>
          <w:szCs w:val="16"/>
          <w:b w:val="1"/>
          <w:bCs w:val="1"/>
          <w:color w:val="auto"/>
        </w:rPr>
      </w:pPr>
      <w:r>
        <w:rPr>
          <w:rFonts w:ascii="Arial" w:cs="Arial" w:eastAsia="Arial" w:hAnsi="Arial"/>
          <w:sz w:val="16"/>
          <w:szCs w:val="16"/>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45" w:lineRule="exact"/>
        <w:rPr>
          <w:sz w:val="20"/>
          <w:szCs w:val="20"/>
          <w:color w:val="auto"/>
        </w:rPr>
      </w:pPr>
    </w:p>
    <w:p>
      <w:pPr>
        <w:ind w:left="1160" w:right="1419" w:firstLine="515"/>
        <w:spacing w:after="0" w:line="273" w:lineRule="auto"/>
        <w:rPr>
          <w:sz w:val="20"/>
          <w:szCs w:val="20"/>
          <w:color w:val="auto"/>
        </w:rPr>
      </w:pPr>
      <w:r>
        <w:rPr>
          <w:rFonts w:ascii="Arial" w:cs="Arial" w:eastAsia="Arial" w:hAnsi="Arial"/>
          <w:sz w:val="15"/>
          <w:szCs w:val="15"/>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36" w:lineRule="exact"/>
        <w:rPr>
          <w:sz w:val="20"/>
          <w:szCs w:val="20"/>
          <w:color w:val="auto"/>
        </w:rPr>
      </w:pPr>
    </w:p>
    <w:p>
      <w:pPr>
        <w:ind w:left="1160" w:right="1199" w:firstLine="515"/>
        <w:spacing w:after="0" w:line="257" w:lineRule="auto"/>
        <w:rPr>
          <w:sz w:val="20"/>
          <w:szCs w:val="20"/>
          <w:color w:val="auto"/>
        </w:rPr>
      </w:pPr>
      <w:r>
        <w:rPr>
          <w:rFonts w:ascii="Arial" w:cs="Arial" w:eastAsia="Arial" w:hAnsi="Arial"/>
          <w:sz w:val="16"/>
          <w:szCs w:val="16"/>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36" w:lineRule="exact"/>
        <w:rPr>
          <w:sz w:val="20"/>
          <w:szCs w:val="20"/>
          <w:color w:val="auto"/>
        </w:rPr>
      </w:pPr>
    </w:p>
    <w:p>
      <w:pPr>
        <w:ind w:left="1660" w:hanging="507"/>
        <w:spacing w:after="0"/>
        <w:tabs>
          <w:tab w:leader="none" w:pos="166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Why does Geron prohibit trading in derivative securities and short selling?</w:t>
      </w:r>
    </w:p>
    <w:p>
      <w:pPr>
        <w:spacing w:after="0" w:line="181" w:lineRule="exact"/>
        <w:rPr>
          <w:rFonts w:ascii="Arial" w:cs="Arial" w:eastAsia="Arial" w:hAnsi="Arial"/>
          <w:sz w:val="16"/>
          <w:szCs w:val="16"/>
          <w:b w:val="1"/>
          <w:bCs w:val="1"/>
          <w:color w:val="auto"/>
        </w:rPr>
      </w:pPr>
    </w:p>
    <w:p>
      <w:pPr>
        <w:ind w:left="1160" w:right="1159" w:firstLine="509"/>
        <w:spacing w:after="0" w:line="273" w:lineRule="auto"/>
        <w:tabs>
          <w:tab w:leader="none" w:pos="1949" w:val="left"/>
        </w:tabs>
        <w:numPr>
          <w:ilvl w:val="1"/>
          <w:numId w:val="120"/>
        </w:numPr>
        <w:rPr>
          <w:rFonts w:ascii="Arial" w:cs="Arial" w:eastAsia="Arial" w:hAnsi="Arial"/>
          <w:sz w:val="15"/>
          <w:szCs w:val="15"/>
          <w:b w:val="1"/>
          <w:bCs w:val="1"/>
          <w:color w:val="auto"/>
        </w:rPr>
      </w:pPr>
      <w:r>
        <w:rPr>
          <w:rFonts w:ascii="Arial" w:cs="Arial" w:eastAsia="Arial" w:hAnsi="Arial"/>
          <w:sz w:val="15"/>
          <w:szCs w:val="15"/>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35" w:lineRule="exact"/>
        <w:rPr>
          <w:rFonts w:ascii="Arial" w:cs="Arial" w:eastAsia="Arial" w:hAnsi="Arial"/>
          <w:sz w:val="15"/>
          <w:szCs w:val="15"/>
          <w:b w:val="1"/>
          <w:bCs w:val="1"/>
          <w:color w:val="auto"/>
        </w:rPr>
      </w:pPr>
    </w:p>
    <w:p>
      <w:pPr>
        <w:ind w:left="1660" w:hanging="507"/>
        <w:spacing w:after="0"/>
        <w:tabs>
          <w:tab w:leader="none" w:pos="166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Can I purchase Geron securities on margin or hold them in a margin account?</w:t>
      </w:r>
    </w:p>
    <w:p>
      <w:pPr>
        <w:spacing w:after="0" w:line="170" w:lineRule="exact"/>
        <w:rPr>
          <w:rFonts w:ascii="Arial" w:cs="Arial" w:eastAsia="Arial" w:hAnsi="Arial"/>
          <w:sz w:val="16"/>
          <w:szCs w:val="16"/>
          <w:b w:val="1"/>
          <w:bCs w:val="1"/>
          <w:color w:val="auto"/>
        </w:rPr>
      </w:pPr>
    </w:p>
    <w:p>
      <w:pPr>
        <w:ind w:left="1160" w:right="1179" w:firstLine="509"/>
        <w:spacing w:after="0" w:line="281" w:lineRule="auto"/>
        <w:tabs>
          <w:tab w:leader="none" w:pos="1930" w:val="left"/>
        </w:tabs>
        <w:numPr>
          <w:ilvl w:val="1"/>
          <w:numId w:val="120"/>
        </w:numPr>
        <w:rPr>
          <w:rFonts w:ascii="Arial" w:cs="Arial" w:eastAsia="Arial" w:hAnsi="Arial"/>
          <w:sz w:val="16"/>
          <w:szCs w:val="16"/>
          <w:b w:val="1"/>
          <w:bCs w:val="1"/>
          <w:color w:val="auto"/>
        </w:rPr>
      </w:pPr>
      <w:r>
        <w:rPr>
          <w:rFonts w:ascii="Arial" w:cs="Arial" w:eastAsia="Arial" w:hAnsi="Arial"/>
          <w:sz w:val="16"/>
          <w:szCs w:val="16"/>
          <w:color w:val="auto"/>
        </w:rPr>
        <w:t>Under our policies, you may not purchase our common stock on margin or hold it in a margin account at any time.</w:t>
      </w:r>
    </w:p>
    <w:p>
      <w:pPr>
        <w:spacing w:after="0" w:line="128" w:lineRule="exact"/>
        <w:rPr>
          <w:sz w:val="20"/>
          <w:szCs w:val="20"/>
          <w:color w:val="auto"/>
        </w:rPr>
      </w:pPr>
    </w:p>
    <w:p>
      <w:pPr>
        <w:ind w:left="1160" w:right="1199" w:firstLine="515"/>
        <w:spacing w:after="0" w:line="259" w:lineRule="auto"/>
        <w:rPr>
          <w:sz w:val="20"/>
          <w:szCs w:val="20"/>
          <w:color w:val="auto"/>
        </w:rPr>
      </w:pPr>
      <w:r>
        <w:rPr>
          <w:rFonts w:ascii="Arial" w:cs="Arial" w:eastAsia="Arial" w:hAnsi="Arial"/>
          <w:sz w:val="16"/>
          <w:szCs w:val="16"/>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35" w:lineRule="exact"/>
        <w:rPr>
          <w:sz w:val="20"/>
          <w:szCs w:val="20"/>
          <w:color w:val="auto"/>
        </w:rPr>
      </w:pPr>
    </w:p>
    <w:p>
      <w:pPr>
        <w:ind w:left="1160" w:right="1619" w:hanging="7"/>
        <w:spacing w:after="0" w:line="291" w:lineRule="auto"/>
        <w:tabs>
          <w:tab w:leader="none" w:pos="1675"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Why does Geron prohibit me from purchasing Geron securities on margin or holding them in a margin account?</w:t>
      </w:r>
    </w:p>
    <w:p>
      <w:pPr>
        <w:spacing w:after="0" w:line="112" w:lineRule="exact"/>
        <w:rPr>
          <w:rFonts w:ascii="Arial" w:cs="Arial" w:eastAsia="Arial" w:hAnsi="Arial"/>
          <w:sz w:val="16"/>
          <w:szCs w:val="16"/>
          <w:b w:val="1"/>
          <w:bCs w:val="1"/>
          <w:color w:val="auto"/>
        </w:rPr>
      </w:pPr>
    </w:p>
    <w:p>
      <w:pPr>
        <w:ind w:left="1160" w:right="1179" w:firstLine="509"/>
        <w:spacing w:after="0" w:line="272" w:lineRule="auto"/>
        <w:tabs>
          <w:tab w:leader="none" w:pos="2000" w:val="left"/>
        </w:tabs>
        <w:numPr>
          <w:ilvl w:val="1"/>
          <w:numId w:val="121"/>
        </w:numPr>
        <w:rPr>
          <w:rFonts w:ascii="Arial" w:cs="Arial" w:eastAsia="Arial" w:hAnsi="Arial"/>
          <w:sz w:val="15"/>
          <w:szCs w:val="15"/>
          <w:b w:val="1"/>
          <w:bCs w:val="1"/>
          <w:color w:val="auto"/>
        </w:rPr>
      </w:pPr>
      <w:r>
        <w:rPr>
          <w:rFonts w:ascii="Arial" w:cs="Arial" w:eastAsia="Arial" w:hAnsi="Arial"/>
          <w:sz w:val="15"/>
          <w:szCs w:val="15"/>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w:t>
      </w:r>
    </w:p>
    <w:p>
      <w:pPr>
        <w:sectPr>
          <w:pgSz w:w="11900" w:h="16838" w:orient="portrait"/>
          <w:cols w:equalWidth="0" w:num="1">
            <w:col w:w="9019"/>
          </w:cols>
          <w:pgMar w:left="1440" w:top="284" w:right="1440" w:bottom="448"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84" w:right="1440" w:bottom="448" w:gutter="0" w:footer="0" w:header="0"/>
          <w:type w:val="continuous"/>
        </w:sectPr>
      </w:pPr>
    </w:p>
    <w:bookmarkStart w:id="145" w:name="page146"/>
    <w:bookmarkEnd w:id="145"/>
    <w:p>
      <w:pPr>
        <w:ind w:left="1160" w:right="1479"/>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that you made the determination to not supply the additional collateral and you are therefore responsible for the sale.</w:t>
      </w:r>
    </w:p>
    <w:p>
      <w:pPr>
        <w:spacing w:after="0" w:line="117" w:lineRule="exact"/>
        <w:rPr>
          <w:sz w:val="20"/>
          <w:szCs w:val="20"/>
          <w:color w:val="auto"/>
        </w:rPr>
      </w:pPr>
    </w:p>
    <w:p>
      <w:pPr>
        <w:ind w:left="1660" w:hanging="507"/>
        <w:spacing w:after="0"/>
        <w:tabs>
          <w:tab w:leader="none" w:pos="166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Can I pledge my Geron shares as collateral for a personal loan?</w:t>
      </w:r>
    </w:p>
    <w:p>
      <w:pPr>
        <w:spacing w:after="0" w:line="181" w:lineRule="exact"/>
        <w:rPr>
          <w:sz w:val="20"/>
          <w:szCs w:val="20"/>
          <w:color w:val="auto"/>
        </w:rPr>
      </w:pPr>
    </w:p>
    <w:p>
      <w:pPr>
        <w:jc w:val="both"/>
        <w:ind w:left="1160" w:right="1359" w:hanging="7"/>
        <w:spacing w:after="0" w:line="249" w:lineRule="auto"/>
        <w:tabs>
          <w:tab w:leader="none" w:pos="1442"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2" w:lineRule="exact"/>
        <w:rPr>
          <w:sz w:val="20"/>
          <w:szCs w:val="20"/>
          <w:color w:val="auto"/>
        </w:rPr>
      </w:pPr>
    </w:p>
    <w:p>
      <w:pPr>
        <w:ind w:left="1660" w:hanging="507"/>
        <w:spacing w:after="0"/>
        <w:tabs>
          <w:tab w:leader="none" w:pos="166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Can I hedge my ownership position in Geron?</w:t>
      </w:r>
    </w:p>
    <w:p>
      <w:pPr>
        <w:spacing w:after="0" w:line="167" w:lineRule="exact"/>
        <w:rPr>
          <w:rFonts w:ascii="Arial" w:cs="Arial" w:eastAsia="Arial" w:hAnsi="Arial"/>
          <w:sz w:val="16"/>
          <w:szCs w:val="16"/>
          <w:b w:val="1"/>
          <w:bCs w:val="1"/>
          <w:color w:val="auto"/>
        </w:rPr>
      </w:pPr>
    </w:p>
    <w:p>
      <w:pPr>
        <w:ind w:left="1160" w:right="1159" w:firstLine="509"/>
        <w:spacing w:after="0" w:line="250" w:lineRule="auto"/>
        <w:tabs>
          <w:tab w:leader="none" w:pos="1929" w:val="left"/>
        </w:tabs>
        <w:numPr>
          <w:ilvl w:val="1"/>
          <w:numId w:val="124"/>
        </w:numPr>
        <w:rPr>
          <w:rFonts w:ascii="Arial" w:cs="Arial" w:eastAsia="Arial" w:hAnsi="Arial"/>
          <w:sz w:val="16"/>
          <w:szCs w:val="16"/>
          <w:b w:val="1"/>
          <w:bCs w:val="1"/>
          <w:color w:val="auto"/>
        </w:rPr>
      </w:pPr>
      <w:r>
        <w:rPr>
          <w:rFonts w:ascii="Arial" w:cs="Arial" w:eastAsia="Arial" w:hAnsi="Arial"/>
          <w:sz w:val="16"/>
          <w:szCs w:val="16"/>
          <w:color w:val="auto"/>
        </w:rPr>
        <w:t>Hedging or monetization transactions, including through the use of financial instruments such as prepaid variable forwards, equity swaps, collars and exchange funds are prohibited by our insider trading policy. Since such hedging transactions allow you to continue to own Geron’s securities obtained through employee benefit plans or otherwise, but without the full risks and rewards of ownership, you may no longer have the same objectives as Geron’s other shareholders. Therefore, our insider trading policy prohibits you from engaging in any such transactions.</w:t>
      </w:r>
    </w:p>
    <w:p>
      <w:pPr>
        <w:spacing w:after="0" w:line="151" w:lineRule="exact"/>
        <w:rPr>
          <w:rFonts w:ascii="Arial" w:cs="Arial" w:eastAsia="Arial" w:hAnsi="Arial"/>
          <w:sz w:val="16"/>
          <w:szCs w:val="16"/>
          <w:b w:val="1"/>
          <w:bCs w:val="1"/>
          <w:color w:val="auto"/>
        </w:rPr>
      </w:pPr>
    </w:p>
    <w:p>
      <w:pPr>
        <w:ind w:left="1160" w:right="1399" w:hanging="7"/>
        <w:spacing w:after="0" w:line="327" w:lineRule="auto"/>
        <w:tabs>
          <w:tab w:leader="none" w:pos="1675"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Can I exercise options granted to me under Geron’s equity compensation plans during a trading blackout period or when I possess material nonpublic information?</w:t>
      </w:r>
    </w:p>
    <w:p>
      <w:pPr>
        <w:spacing w:after="0" w:line="77" w:lineRule="exact"/>
        <w:rPr>
          <w:rFonts w:ascii="Arial" w:cs="Arial" w:eastAsia="Arial" w:hAnsi="Arial"/>
          <w:sz w:val="15"/>
          <w:szCs w:val="15"/>
          <w:b w:val="1"/>
          <w:bCs w:val="1"/>
          <w:color w:val="auto"/>
        </w:rPr>
      </w:pPr>
    </w:p>
    <w:p>
      <w:pPr>
        <w:ind w:left="1160" w:right="1199" w:firstLine="509"/>
        <w:spacing w:after="0" w:line="269" w:lineRule="auto"/>
        <w:tabs>
          <w:tab w:leader="none" w:pos="1941" w:val="left"/>
        </w:tabs>
        <w:numPr>
          <w:ilvl w:val="1"/>
          <w:numId w:val="124"/>
        </w:numPr>
        <w:rPr>
          <w:rFonts w:ascii="Arial" w:cs="Arial" w:eastAsia="Arial" w:hAnsi="Arial"/>
          <w:sz w:val="15"/>
          <w:szCs w:val="15"/>
          <w:b w:val="1"/>
          <w:bCs w:val="1"/>
          <w:color w:val="auto"/>
        </w:rPr>
      </w:pPr>
      <w:r>
        <w:rPr>
          <w:rFonts w:ascii="Arial" w:cs="Arial" w:eastAsia="Arial" w:hAnsi="Arial"/>
          <w:sz w:val="15"/>
          <w:szCs w:val="15"/>
          <w:color w:val="auto"/>
        </w:rPr>
        <w:t>Yes, if you are not selling shares to pay for the exercise price. You may exercise the options for which payment is made in cash (or via net exercise transaction with Geron) and receive shares, but you may not sell the shares underlying the options (even to pay the exercise price or any taxes due) during a trading blackout period or any time that you are aware of</w:t>
      </w:r>
    </w:p>
    <w:p>
      <w:pPr>
        <w:spacing w:after="0" w:line="2" w:lineRule="exact"/>
        <w:rPr>
          <w:sz w:val="20"/>
          <w:szCs w:val="20"/>
          <w:color w:val="auto"/>
        </w:rPr>
      </w:pPr>
    </w:p>
    <w:p>
      <w:pPr>
        <w:ind w:left="1160" w:right="1199"/>
        <w:spacing w:after="0" w:line="246" w:lineRule="auto"/>
        <w:rPr>
          <w:sz w:val="20"/>
          <w:szCs w:val="20"/>
          <w:color w:val="auto"/>
        </w:rPr>
      </w:pPr>
      <w:r>
        <w:rPr>
          <w:rFonts w:ascii="Arial" w:cs="Arial" w:eastAsia="Arial" w:hAnsi="Arial"/>
          <w:sz w:val="16"/>
          <w:szCs w:val="16"/>
          <w:color w:val="auto"/>
        </w:rPr>
        <w:t xml:space="preserve">material nonpublic information. To be clear, you may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effect a broker-assisted cashless exercise or a same-day sale (because these broker-assisted cashless exercise and same-day sale transactions always include a market sale) during a trading blackout period or any time that you are aware of material nonpublic information</w:t>
      </w:r>
    </w:p>
    <w:p>
      <w:pPr>
        <w:spacing w:after="0" w:line="156" w:lineRule="exact"/>
        <w:rPr>
          <w:sz w:val="20"/>
          <w:szCs w:val="20"/>
          <w:color w:val="auto"/>
        </w:rPr>
      </w:pPr>
    </w:p>
    <w:p>
      <w:pPr>
        <w:ind w:left="1160" w:right="1879" w:hanging="7"/>
        <w:spacing w:after="0" w:line="291" w:lineRule="auto"/>
        <w:tabs>
          <w:tab w:leader="none" w:pos="1675"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 I subject to trading blackout periods if I am no longer an employee or consultant of Geron?</w:t>
      </w:r>
    </w:p>
    <w:p>
      <w:pPr>
        <w:spacing w:after="0" w:line="101" w:lineRule="exact"/>
        <w:rPr>
          <w:rFonts w:ascii="Arial" w:cs="Arial" w:eastAsia="Arial" w:hAnsi="Arial"/>
          <w:sz w:val="16"/>
          <w:szCs w:val="16"/>
          <w:b w:val="1"/>
          <w:bCs w:val="1"/>
          <w:color w:val="auto"/>
        </w:rPr>
      </w:pPr>
    </w:p>
    <w:p>
      <w:pPr>
        <w:ind w:left="1160" w:right="1479" w:firstLine="509"/>
        <w:spacing w:after="0" w:line="255" w:lineRule="auto"/>
        <w:tabs>
          <w:tab w:leader="none" w:pos="1975"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No. However, even if you are not subject to our trading blackout period after you leave Geron, you should not trade in Geron securities if you are aware of material nonpublic information. That restriction under the federal securities laws stays with you as long as the information you possess is material and not publicly disseminated within the meaning of our insider trading policy.</w:t>
      </w:r>
    </w:p>
    <w:p>
      <w:pPr>
        <w:spacing w:after="0" w:line="139" w:lineRule="exact"/>
        <w:rPr>
          <w:rFonts w:ascii="Arial" w:cs="Arial" w:eastAsia="Arial" w:hAnsi="Arial"/>
          <w:sz w:val="16"/>
          <w:szCs w:val="16"/>
          <w:b w:val="1"/>
          <w:bCs w:val="1"/>
          <w:color w:val="auto"/>
        </w:rPr>
      </w:pPr>
    </w:p>
    <w:p>
      <w:pPr>
        <w:ind w:left="1160" w:right="1319" w:hanging="7"/>
        <w:spacing w:after="0" w:line="291" w:lineRule="auto"/>
        <w:tabs>
          <w:tab w:leader="none" w:pos="1675"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if I purchased publicly traded options or other derivative securities before I became a Geron employee or consultant?</w:t>
      </w:r>
    </w:p>
    <w:p>
      <w:pPr>
        <w:spacing w:after="0" w:line="101" w:lineRule="exact"/>
        <w:rPr>
          <w:rFonts w:ascii="Arial" w:cs="Arial" w:eastAsia="Arial" w:hAnsi="Arial"/>
          <w:sz w:val="16"/>
          <w:szCs w:val="16"/>
          <w:b w:val="1"/>
          <w:bCs w:val="1"/>
          <w:color w:val="auto"/>
        </w:rPr>
      </w:pPr>
    </w:p>
    <w:p>
      <w:pPr>
        <w:ind w:left="1160" w:right="1159" w:firstLine="509"/>
        <w:spacing w:after="0" w:line="266" w:lineRule="auto"/>
        <w:tabs>
          <w:tab w:leader="none" w:pos="1949"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29" w:lineRule="exact"/>
        <w:rPr>
          <w:rFonts w:ascii="Arial" w:cs="Arial" w:eastAsia="Arial" w:hAnsi="Arial"/>
          <w:sz w:val="16"/>
          <w:szCs w:val="16"/>
          <w:b w:val="1"/>
          <w:bCs w:val="1"/>
          <w:color w:val="auto"/>
        </w:rPr>
      </w:pPr>
    </w:p>
    <w:p>
      <w:pPr>
        <w:ind w:left="1660" w:hanging="507"/>
        <w:spacing w:after="0"/>
        <w:tabs>
          <w:tab w:leader="none" w:pos="166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May I own shares of a mutual fund that invests in Geron?</w:t>
      </w:r>
    </w:p>
    <w:p>
      <w:pPr>
        <w:spacing w:after="0" w:line="181" w:lineRule="exact"/>
        <w:rPr>
          <w:rFonts w:ascii="Arial" w:cs="Arial" w:eastAsia="Arial" w:hAnsi="Arial"/>
          <w:sz w:val="16"/>
          <w:szCs w:val="16"/>
          <w:b w:val="1"/>
          <w:bCs w:val="1"/>
          <w:color w:val="auto"/>
        </w:rPr>
      </w:pPr>
    </w:p>
    <w:p>
      <w:pPr>
        <w:ind w:left="1920" w:hanging="251"/>
        <w:spacing w:after="0"/>
        <w:tabs>
          <w:tab w:leader="none" w:pos="1920"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Yes.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60" w:right="1679" w:hanging="7"/>
        <w:spacing w:after="0" w:line="291" w:lineRule="auto"/>
        <w:tabs>
          <w:tab w:leader="none" w:pos="1675"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Are mutual fund shares holding Geron common stock subject to the trading blackout periods?</w:t>
      </w:r>
    </w:p>
    <w:p>
      <w:pPr>
        <w:spacing w:after="0" w:line="101" w:lineRule="exact"/>
        <w:rPr>
          <w:rFonts w:ascii="Arial" w:cs="Arial" w:eastAsia="Arial" w:hAnsi="Arial"/>
          <w:sz w:val="16"/>
          <w:szCs w:val="16"/>
          <w:b w:val="1"/>
          <w:bCs w:val="1"/>
          <w:color w:val="auto"/>
        </w:rPr>
      </w:pPr>
    </w:p>
    <w:p>
      <w:pPr>
        <w:ind w:left="1920" w:hanging="251"/>
        <w:spacing w:after="0"/>
        <w:tabs>
          <w:tab w:leader="none" w:pos="1920" w:val="left"/>
        </w:tabs>
        <w:numPr>
          <w:ilvl w:val="1"/>
          <w:numId w:val="126"/>
        </w:numPr>
        <w:rPr>
          <w:rFonts w:ascii="Arial" w:cs="Arial" w:eastAsia="Arial" w:hAnsi="Arial"/>
          <w:sz w:val="16"/>
          <w:szCs w:val="16"/>
          <w:b w:val="1"/>
          <w:bCs w:val="1"/>
          <w:color w:val="auto"/>
        </w:rPr>
      </w:pPr>
      <w:r>
        <w:rPr>
          <w:rFonts w:ascii="Arial" w:cs="Arial" w:eastAsia="Arial" w:hAnsi="Arial"/>
          <w:sz w:val="16"/>
          <w:szCs w:val="16"/>
          <w:color w:val="auto"/>
        </w:rPr>
        <w:t>No. You may trade in mutual funds holding Geron common stock at any time.</w:t>
      </w:r>
    </w:p>
    <w:p>
      <w:pPr>
        <w:spacing w:after="0" w:line="181" w:lineRule="exact"/>
        <w:rPr>
          <w:rFonts w:ascii="Arial" w:cs="Arial" w:eastAsia="Arial" w:hAnsi="Arial"/>
          <w:sz w:val="16"/>
          <w:szCs w:val="16"/>
          <w:b w:val="1"/>
          <w:bCs w:val="1"/>
          <w:color w:val="auto"/>
        </w:rPr>
      </w:pPr>
    </w:p>
    <w:p>
      <w:pPr>
        <w:ind w:left="1660" w:hanging="507"/>
        <w:spacing w:after="0"/>
        <w:tabs>
          <w:tab w:leader="none" w:pos="16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May I use a “routine trading program” or “10b5-1 plan”?</w:t>
      </w:r>
    </w:p>
    <w:p>
      <w:pPr>
        <w:spacing w:after="0" w:line="170" w:lineRule="exact"/>
        <w:rPr>
          <w:rFonts w:ascii="Arial" w:cs="Arial" w:eastAsia="Arial" w:hAnsi="Arial"/>
          <w:sz w:val="16"/>
          <w:szCs w:val="16"/>
          <w:b w:val="1"/>
          <w:bCs w:val="1"/>
          <w:color w:val="auto"/>
        </w:rPr>
      </w:pPr>
    </w:p>
    <w:p>
      <w:pPr>
        <w:ind w:left="1160" w:right="1179" w:firstLine="509"/>
        <w:spacing w:after="0" w:line="252" w:lineRule="auto"/>
        <w:tabs>
          <w:tab w:leader="none" w:pos="1948" w:val="left"/>
        </w:tabs>
        <w:numPr>
          <w:ilvl w:val="1"/>
          <w:numId w:val="126"/>
        </w:numPr>
        <w:rPr>
          <w:rFonts w:ascii="Arial" w:cs="Arial" w:eastAsia="Arial" w:hAnsi="Arial"/>
          <w:sz w:val="16"/>
          <w:szCs w:val="16"/>
          <w:b w:val="1"/>
          <w:bCs w:val="1"/>
          <w:color w:val="auto"/>
        </w:rPr>
      </w:pPr>
      <w:r>
        <w:rPr>
          <w:rFonts w:ascii="Arial" w:cs="Arial" w:eastAsia="Arial" w:hAnsi="Arial"/>
          <w:sz w:val="16"/>
          <w:szCs w:val="16"/>
          <w:color w:val="auto"/>
        </w:rPr>
        <w:t>Yes, subject to the requirements discussed in our insider trading policy and Geron’s 10b5-1 Trading Plan Guidelines. A routine trading program, also known as a 10b5-1 plan, allows you to set up a highly structured program with your stock broker where you specify ahead of time the date, price, and amount of securities to be traded. If you wish to create a 10b5-1 plan, please contact our Insider Trading Compliance Officer to obtain pre-approval at TradingCompliance@geron.com. A copy of Geron’s 10b5-1 Trading Plan Guidelines is attached hereto as Exhibit B.</w:t>
      </w:r>
    </w:p>
    <w:p>
      <w:pPr>
        <w:spacing w:after="0" w:line="151" w:lineRule="exact"/>
        <w:rPr>
          <w:rFonts w:ascii="Arial" w:cs="Arial" w:eastAsia="Arial" w:hAnsi="Arial"/>
          <w:sz w:val="16"/>
          <w:szCs w:val="16"/>
          <w:b w:val="1"/>
          <w:bCs w:val="1"/>
          <w:color w:val="auto"/>
        </w:rPr>
      </w:pPr>
    </w:p>
    <w:p>
      <w:pPr>
        <w:ind w:left="1660" w:hanging="507"/>
        <w:spacing w:after="0"/>
        <w:tabs>
          <w:tab w:leader="none" w:pos="16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What happens if I violate our insider trading policy?</w:t>
      </w:r>
    </w:p>
    <w:p>
      <w:pPr>
        <w:spacing w:after="0" w:line="170" w:lineRule="exact"/>
        <w:rPr>
          <w:rFonts w:ascii="Arial" w:cs="Arial" w:eastAsia="Arial" w:hAnsi="Arial"/>
          <w:sz w:val="16"/>
          <w:szCs w:val="16"/>
          <w:b w:val="1"/>
          <w:bCs w:val="1"/>
          <w:color w:val="auto"/>
        </w:rPr>
      </w:pPr>
    </w:p>
    <w:p>
      <w:pPr>
        <w:jc w:val="both"/>
        <w:ind w:left="1160" w:right="1219" w:firstLine="509"/>
        <w:spacing w:after="0" w:line="259" w:lineRule="auto"/>
        <w:tabs>
          <w:tab w:leader="none" w:pos="1940" w:val="left"/>
        </w:tabs>
        <w:numPr>
          <w:ilvl w:val="1"/>
          <w:numId w:val="126"/>
        </w:numPr>
        <w:rPr>
          <w:rFonts w:ascii="Arial" w:cs="Arial" w:eastAsia="Arial" w:hAnsi="Arial"/>
          <w:sz w:val="16"/>
          <w:szCs w:val="16"/>
          <w:b w:val="1"/>
          <w:bCs w:val="1"/>
          <w:color w:val="auto"/>
        </w:rPr>
      </w:pPr>
      <w:r>
        <w:rPr>
          <w:rFonts w:ascii="Arial" w:cs="Arial" w:eastAsia="Arial" w:hAnsi="Arial"/>
          <w:sz w:val="16"/>
          <w:szCs w:val="16"/>
          <w:color w:val="auto"/>
        </w:rPr>
        <w:t>Violating our policies may result in disciplinary action, which may include termination of your employment or other relationship with Geron. In addition, you may be subject to criminal and civil sanctions.</w:t>
      </w:r>
    </w:p>
    <w:p>
      <w:pPr>
        <w:spacing w:after="0" w:line="145" w:lineRule="exact"/>
        <w:rPr>
          <w:rFonts w:ascii="Arial" w:cs="Arial" w:eastAsia="Arial" w:hAnsi="Arial"/>
          <w:sz w:val="16"/>
          <w:szCs w:val="16"/>
          <w:b w:val="1"/>
          <w:bCs w:val="1"/>
          <w:color w:val="auto"/>
        </w:rPr>
      </w:pPr>
    </w:p>
    <w:p>
      <w:pPr>
        <w:ind w:left="1660" w:hanging="507"/>
        <w:spacing w:after="0"/>
        <w:tabs>
          <w:tab w:leader="none" w:pos="16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Who should I contact if I have questions about our insider trading policy or</w:t>
      </w:r>
    </w:p>
    <w:p>
      <w:pPr>
        <w:sectPr>
          <w:pgSz w:w="11900" w:h="16838" w:orient="portrait"/>
          <w:cols w:equalWidth="0" w:num="1">
            <w:col w:w="9019"/>
          </w:cols>
          <w:pgMar w:left="1440" w:top="1100" w:right="1440" w:bottom="0" w:gutter="0" w:footer="0" w:header="0"/>
        </w:sectPr>
      </w:pPr>
    </w:p>
    <w:bookmarkStart w:id="146" w:name="page147"/>
    <w:bookmarkEnd w:id="146"/>
    <w:p>
      <w:pPr>
        <w:ind w:left="1160"/>
        <w:spacing w:after="0"/>
        <w:rPr>
          <w:sz w:val="20"/>
          <w:szCs w:val="20"/>
          <w:color w:val="auto"/>
        </w:rPr>
      </w:pPr>
      <w:r>
        <w:rPr>
          <w:rFonts w:ascii="Arial" w:cs="Arial" w:eastAsia="Arial" w:hAnsi="Arial"/>
          <w:sz w:val="16"/>
          <w:szCs w:val="16"/>
          <w:b w:val="1"/>
          <w:bCs w:val="1"/>
          <w:i w:val="1"/>
          <w:iCs w:val="1"/>
          <w:color w:val="auto"/>
        </w:rPr>
        <w:t>specific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-84455</wp:posOffset>
            </wp:positionV>
            <wp:extent cx="7160260" cy="10515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9" w:lineRule="exact"/>
        <w:rPr>
          <w:sz w:val="20"/>
          <w:szCs w:val="20"/>
          <w:color w:val="auto"/>
        </w:rPr>
      </w:pPr>
    </w:p>
    <w:p>
      <w:pPr>
        <w:ind w:left="1160" w:right="2519" w:firstLine="509"/>
        <w:spacing w:after="0" w:line="281" w:lineRule="auto"/>
        <w:tabs>
          <w:tab w:leader="none" w:pos="2268"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You should contact our Insider Trading Compliance Officer at TradingCompliance@geron.com.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Geron Corporation</w:t>
      </w:r>
    </w:p>
    <w:p>
      <w:pPr>
        <w:spacing w:after="0" w:line="13"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RULE 10B5-1 TRADING PLAN GUIDELINES</w:t>
      </w:r>
    </w:p>
    <w:p>
      <w:pPr>
        <w:jc w:val="center"/>
        <w:ind w:right="19"/>
        <w:spacing w:after="0"/>
        <w:rPr>
          <w:sz w:val="20"/>
          <w:szCs w:val="20"/>
          <w:color w:val="auto"/>
        </w:rPr>
      </w:pPr>
      <w:r>
        <w:rPr>
          <w:rFonts w:ascii="Arial" w:cs="Arial" w:eastAsia="Arial" w:hAnsi="Arial"/>
          <w:sz w:val="16"/>
          <w:szCs w:val="16"/>
          <w:b w:val="1"/>
          <w:bCs w:val="1"/>
          <w:color w:val="auto"/>
        </w:rPr>
        <w:t>(Revised June 1, 2025)</w:t>
      </w:r>
    </w:p>
    <w:p>
      <w:pPr>
        <w:spacing w:after="0" w:line="178" w:lineRule="exact"/>
        <w:rPr>
          <w:sz w:val="20"/>
          <w:szCs w:val="20"/>
          <w:color w:val="auto"/>
        </w:rPr>
      </w:pPr>
    </w:p>
    <w:p>
      <w:pPr>
        <w:jc w:val="both"/>
        <w:ind w:left="1380" w:right="1259" w:firstLine="515"/>
        <w:spacing w:after="0" w:line="255" w:lineRule="auto"/>
        <w:rPr>
          <w:sz w:val="20"/>
          <w:szCs w:val="20"/>
          <w:color w:val="auto"/>
        </w:rPr>
      </w:pPr>
      <w:r>
        <w:rPr>
          <w:rFonts w:ascii="Arial" w:cs="Arial" w:eastAsia="Arial" w:hAnsi="Arial"/>
          <w:sz w:val="16"/>
          <w:szCs w:val="16"/>
          <w:color w:val="auto"/>
        </w:rPr>
        <w:t>This document lays out guidelines for any Rule 10b5-1 trading plan covering publicly traded stock of Geron Corporation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addition to honoring these guidelines, all 10b5-1 trading plans, along with any amendments or modifications to those plans, must comply with Rule 10b5-1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p>
    <w:p>
      <w:pPr>
        <w:spacing w:after="0" w:line="148" w:lineRule="exact"/>
        <w:rPr>
          <w:sz w:val="20"/>
          <w:szCs w:val="20"/>
          <w:color w:val="auto"/>
        </w:rPr>
      </w:pPr>
    </w:p>
    <w:p>
      <w:pPr>
        <w:ind w:left="1800" w:right="1419" w:hanging="260"/>
        <w:spacing w:after="0" w:line="278" w:lineRule="auto"/>
        <w:tabs>
          <w:tab w:leader="none" w:pos="1800" w:val="left"/>
        </w:tabs>
        <w:numPr>
          <w:ilvl w:val="0"/>
          <w:numId w:val="128"/>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Participants. </w:t>
      </w:r>
      <w:r>
        <w:rPr>
          <w:rFonts w:ascii="Arial" w:cs="Arial" w:eastAsia="Arial" w:hAnsi="Arial"/>
          <w:sz w:val="15"/>
          <w:szCs w:val="15"/>
          <w:color w:val="auto"/>
        </w:rPr>
        <w:t>The Company’s directors and executive officers (i.e., Section 16</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are required to adopt a 10b5-1 trading plan to govern all sales of Company</w:t>
      </w:r>
    </w:p>
    <w:p>
      <w:pPr>
        <w:spacing w:after="0" w:line="1" w:lineRule="exact"/>
        <w:rPr>
          <w:sz w:val="20"/>
          <w:szCs w:val="20"/>
          <w:color w:val="auto"/>
        </w:rPr>
      </w:pPr>
    </w:p>
    <w:p>
      <w:pPr>
        <w:ind w:left="1800" w:right="1259"/>
        <w:spacing w:after="0" w:line="248" w:lineRule="auto"/>
        <w:rPr>
          <w:sz w:val="20"/>
          <w:szCs w:val="20"/>
          <w:color w:val="auto"/>
        </w:rPr>
      </w:pPr>
      <w:r>
        <w:rPr>
          <w:rFonts w:ascii="Arial" w:cs="Arial" w:eastAsia="Arial" w:hAnsi="Arial"/>
          <w:sz w:val="16"/>
          <w:szCs w:val="16"/>
          <w:color w:val="auto"/>
        </w:rPr>
        <w:t>securities, other than Qualified Sell-to-Cover Transactions, and may not sell Company securities in the open market absent special circumstances approved by the Insider Trading Compliance Officer (or the Chief Financial Officer in the event of trades by the Insider Trading Compliance Officer). Other Company employees are permitted to adopt a 10b5-1 trading plan.</w:t>
      </w:r>
    </w:p>
    <w:p>
      <w:pPr>
        <w:spacing w:after="0" w:line="130" w:lineRule="exact"/>
        <w:rPr>
          <w:sz w:val="20"/>
          <w:szCs w:val="20"/>
          <w:color w:val="auto"/>
        </w:rPr>
      </w:pPr>
    </w:p>
    <w:p>
      <w:pPr>
        <w:ind w:left="1760" w:right="1279" w:hanging="249"/>
        <w:spacing w:after="0" w:line="253" w:lineRule="auto"/>
        <w:tabs>
          <w:tab w:leader="none" w:pos="176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Plan Adoption and Approval. </w:t>
      </w:r>
      <w:r>
        <w:rPr>
          <w:rFonts w:ascii="Arial" w:cs="Arial" w:eastAsia="Arial" w:hAnsi="Arial"/>
          <w:sz w:val="16"/>
          <w:szCs w:val="16"/>
          <w:color w:val="auto"/>
        </w:rPr>
        <w:t>The 10b5-1 trading plan must be in writing and signed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participant establishing the plan. The Company may keep a copy of each 10b5-1 trading plan. The Insider Trading Compliance Officer or an individual designated by the Insider Trading Compliance Officer must pre-approve, in writing,</w:t>
      </w:r>
    </w:p>
    <w:p>
      <w:pPr>
        <w:spacing w:after="0" w:line="1" w:lineRule="exact"/>
        <w:rPr>
          <w:sz w:val="20"/>
          <w:szCs w:val="20"/>
          <w:color w:val="auto"/>
        </w:rPr>
      </w:pPr>
    </w:p>
    <w:p>
      <w:pPr>
        <w:ind w:left="1760" w:right="1259"/>
        <w:spacing w:after="0" w:line="262" w:lineRule="auto"/>
        <w:rPr>
          <w:sz w:val="20"/>
          <w:szCs w:val="20"/>
          <w:color w:val="auto"/>
        </w:rPr>
      </w:pPr>
      <w:r>
        <w:rPr>
          <w:rFonts w:ascii="Arial" w:cs="Arial" w:eastAsia="Arial" w:hAnsi="Arial"/>
          <w:sz w:val="15"/>
          <w:szCs w:val="15"/>
          <w:color w:val="auto"/>
        </w:rPr>
        <w:t>each 10b5-1 trading plan, including any amendment, modification or termination. Participants must enter into a plan in good faith and not as part of a plan or scheme to evade the prohibitions of Rule 10b-5 of the Exchange Act. In addition, all participants that enter into a 10b5-1 trading plan must act in good faith with respect to such plan. Compliance with the terms of the 10b5-1 trading plan and the execution of</w:t>
      </w:r>
    </w:p>
    <w:p>
      <w:pPr>
        <w:sectPr>
          <w:pgSz w:w="11900" w:h="16838" w:orient="portrait"/>
          <w:cols w:equalWidth="0" w:num="1">
            <w:col w:w="9019"/>
          </w:cols>
          <w:pgMar w:left="1440" w:top="90" w:right="1440" w:bottom="0" w:gutter="0" w:footer="0" w:header="0"/>
        </w:sectPr>
      </w:pPr>
    </w:p>
    <w:p>
      <w:pPr>
        <w:spacing w:after="0" w:line="4" w:lineRule="exact"/>
        <w:rPr>
          <w:sz w:val="20"/>
          <w:szCs w:val="20"/>
          <w:color w:val="auto"/>
        </w:rPr>
      </w:pPr>
    </w:p>
    <w:p>
      <w:pPr>
        <w:ind w:left="1760" w:right="1259"/>
        <w:spacing w:after="0" w:line="251" w:lineRule="auto"/>
        <w:rPr>
          <w:sz w:val="20"/>
          <w:szCs w:val="20"/>
          <w:color w:val="auto"/>
        </w:rPr>
      </w:pPr>
      <w:r>
        <w:rPr>
          <w:rFonts w:ascii="Arial" w:cs="Arial" w:eastAsia="Arial" w:hAnsi="Arial"/>
          <w:sz w:val="16"/>
          <w:szCs w:val="16"/>
          <w:color w:val="auto"/>
        </w:rPr>
        <w:t>transactions pursuant to the 10b5-1 trading plan are the sole responsibility of the participant establishing the 10b5-1 trading plan, not the Company or the Insider Trading Compliance Officer.</w:t>
      </w:r>
    </w:p>
    <w:p>
      <w:pPr>
        <w:sectPr>
          <w:pgSz w:w="11900" w:h="16838" w:orient="portrait"/>
          <w:cols w:equalWidth="0" w:num="1">
            <w:col w:w="9019"/>
          </w:cols>
          <w:pgMar w:left="1440" w:top="90" w:right="1440" w:bottom="0" w:gutter="0" w:footer="0" w:header="0"/>
          <w:type w:val="continuous"/>
        </w:sectPr>
      </w:pPr>
    </w:p>
    <w:p>
      <w:pPr>
        <w:spacing w:after="0" w:line="127" w:lineRule="exact"/>
        <w:rPr>
          <w:sz w:val="20"/>
          <w:szCs w:val="20"/>
          <w:color w:val="auto"/>
        </w:rPr>
      </w:pPr>
    </w:p>
    <w:p>
      <w:pPr>
        <w:ind w:left="1760" w:right="1359" w:hanging="250"/>
        <w:spacing w:after="0" w:line="283" w:lineRule="auto"/>
        <w:tabs>
          <w:tab w:leader="none" w:pos="17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Designated Brokers. </w:t>
      </w:r>
      <w:r>
        <w:rPr>
          <w:rFonts w:ascii="Arial" w:cs="Arial" w:eastAsia="Arial" w:hAnsi="Arial"/>
          <w:sz w:val="16"/>
          <w:szCs w:val="16"/>
          <w:color w:val="auto"/>
        </w:rPr>
        <w:t>All 10b5-1 trading plans must be established using the broker</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by the Company and listed below:</w:t>
      </w:r>
    </w:p>
    <w:p>
      <w:pPr>
        <w:spacing w:after="0" w:line="104" w:lineRule="exact"/>
        <w:rPr>
          <w:sz w:val="20"/>
          <w:szCs w:val="20"/>
          <w:color w:val="auto"/>
        </w:rPr>
      </w:pPr>
    </w:p>
    <w:p>
      <w:pPr>
        <w:ind w:left="2420" w:hanging="266"/>
        <w:spacing w:after="0"/>
        <w:tabs>
          <w:tab w:leader="none" w:pos="2420" w:val="left"/>
        </w:tabs>
        <w:numPr>
          <w:ilvl w:val="1"/>
          <w:numId w:val="131"/>
        </w:numPr>
        <w:rPr>
          <w:rFonts w:ascii="Courier New" w:cs="Courier New" w:eastAsia="Courier New" w:hAnsi="Courier New"/>
          <w:sz w:val="16"/>
          <w:szCs w:val="16"/>
          <w:color w:val="auto"/>
        </w:rPr>
      </w:pPr>
      <w:r>
        <w:rPr>
          <w:rFonts w:ascii="Arial" w:cs="Arial" w:eastAsia="Arial" w:hAnsi="Arial"/>
          <w:sz w:val="16"/>
          <w:szCs w:val="16"/>
          <w:color w:val="auto"/>
        </w:rPr>
        <w:t>E*TRADE / Morgan Stanley</w:t>
      </w:r>
    </w:p>
    <w:p>
      <w:pPr>
        <w:spacing w:after="0" w:line="143" w:lineRule="exact"/>
        <w:rPr>
          <w:rFonts w:ascii="Courier New" w:cs="Courier New" w:eastAsia="Courier New" w:hAnsi="Courier New"/>
          <w:sz w:val="16"/>
          <w:szCs w:val="16"/>
          <w:color w:val="auto"/>
        </w:rPr>
      </w:pPr>
    </w:p>
    <w:p>
      <w:pPr>
        <w:ind w:left="1760" w:right="1279" w:hanging="249"/>
        <w:spacing w:after="0" w:line="271" w:lineRule="auto"/>
        <w:tabs>
          <w:tab w:leader="none" w:pos="1760" w:val="left"/>
        </w:tabs>
        <w:numPr>
          <w:ilvl w:val="0"/>
          <w:numId w:val="131"/>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Representation/Certification. </w:t>
      </w:r>
      <w:r>
        <w:rPr>
          <w:rFonts w:ascii="Arial" w:cs="Arial" w:eastAsia="Arial" w:hAnsi="Arial"/>
          <w:sz w:val="15"/>
          <w:szCs w:val="15"/>
          <w:color w:val="auto"/>
        </w:rPr>
        <w:t>The 10b5-1 trading plan must include a representation</w:t>
      </w:r>
      <w:r>
        <w:rPr>
          <w:rFonts w:ascii="Arial" w:cs="Arial" w:eastAsia="Arial" w:hAnsi="Arial"/>
          <w:sz w:val="15"/>
          <w:szCs w:val="15"/>
          <w:b w:val="1"/>
          <w:bCs w:val="1"/>
          <w:color w:val="auto"/>
        </w:rPr>
        <w:t xml:space="preserve"> </w:t>
      </w:r>
      <w:r>
        <w:rPr>
          <w:rFonts w:ascii="Arial" w:cs="Arial" w:eastAsia="Arial" w:hAnsi="Arial"/>
          <w:sz w:val="15"/>
          <w:szCs w:val="15"/>
          <w:color w:val="auto"/>
        </w:rPr>
        <w:t>certifying that, at the time of adoption, the participant: (i) is not aware of any material nonpublic information about the Company or its securities and (ii) is adopting the</w:t>
      </w:r>
    </w:p>
    <w:p>
      <w:pPr>
        <w:ind w:left="1760" w:right="1559"/>
        <w:spacing w:after="0" w:line="263" w:lineRule="auto"/>
        <w:rPr>
          <w:rFonts w:ascii="Times New Roman" w:cs="Times New Roman" w:eastAsia="Times New Roman" w:hAnsi="Times New Roman"/>
          <w:sz w:val="15"/>
          <w:szCs w:val="15"/>
          <w:color w:val="auto"/>
        </w:rPr>
      </w:pPr>
      <w:r>
        <w:rPr>
          <w:rFonts w:ascii="Arial" w:cs="Arial" w:eastAsia="Arial" w:hAnsi="Arial"/>
          <w:sz w:val="16"/>
          <w:szCs w:val="16"/>
          <w:color w:val="auto"/>
        </w:rPr>
        <w:t>10b5-1 trading plan in good faith and not as part of a plan or scheme to evade the prohibitions of Section 10(b) of the Exchange Act.</w:t>
      </w:r>
    </w:p>
    <w:p>
      <w:pPr>
        <w:spacing w:after="0" w:line="117" w:lineRule="exact"/>
        <w:rPr>
          <w:rFonts w:ascii="Times New Roman" w:cs="Times New Roman" w:eastAsia="Times New Roman" w:hAnsi="Times New Roman"/>
          <w:sz w:val="15"/>
          <w:szCs w:val="15"/>
          <w:color w:val="auto"/>
        </w:rPr>
      </w:pPr>
    </w:p>
    <w:p>
      <w:pPr>
        <w:ind w:left="1760" w:right="1259" w:hanging="250"/>
        <w:spacing w:after="0" w:line="252" w:lineRule="auto"/>
        <w:tabs>
          <w:tab w:leader="none" w:pos="176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Timing and Term of a Plan. </w:t>
      </w:r>
      <w:r>
        <w:rPr>
          <w:rFonts w:ascii="Arial" w:cs="Arial" w:eastAsia="Arial" w:hAnsi="Arial"/>
          <w:sz w:val="16"/>
          <w:szCs w:val="16"/>
          <w:color w:val="auto"/>
        </w:rPr>
        <w:t>There are limits on when a 10b5-1 trading plan can be</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so plan ahead. In short, a participant can only set up a 10b5-1 trading plan when the participant does not possess material nonpublic information about the Company. In addition, participants that are subject to trading windows under the Company’s Insider Trading Policy may only adopt a trading plan during an open trading window. Each 10b5-1 trading plan must have a term of at least 6 months but no longer than 24 months. That said, a 10b5-1 trading plan may provide for early</w:t>
      </w:r>
    </w:p>
    <w:p>
      <w:pPr>
        <w:sectPr>
          <w:pgSz w:w="11900" w:h="16838" w:orient="portrait"/>
          <w:cols w:equalWidth="0" w:num="1">
            <w:col w:w="9019"/>
          </w:cols>
          <w:pgMar w:left="1440" w:top="90" w:right="1440" w:bottom="0" w:gutter="0" w:footer="0" w:header="0"/>
          <w:type w:val="continuous"/>
        </w:sectPr>
      </w:pPr>
    </w:p>
    <w:bookmarkStart w:id="147" w:name="page148"/>
    <w:bookmarkEnd w:id="147"/>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60" w:right="1559"/>
        <w:spacing w:after="0" w:line="281" w:lineRule="auto"/>
        <w:rPr>
          <w:sz w:val="20"/>
          <w:szCs w:val="20"/>
          <w:color w:val="auto"/>
        </w:rPr>
      </w:pPr>
      <w:r>
        <w:rPr>
          <w:rFonts w:ascii="Arial" w:cs="Arial" w:eastAsia="Arial" w:hAnsi="Arial"/>
          <w:sz w:val="16"/>
          <w:szCs w:val="16"/>
          <w:color w:val="auto"/>
        </w:rPr>
        <w:t>termination at any time after 90 days following the termination of the participant’s employment or directorship.</w:t>
      </w:r>
    </w:p>
    <w:p>
      <w:pPr>
        <w:sectPr>
          <w:pgSz w:w="11900" w:h="16871" w:orient="portrait"/>
          <w:cols w:equalWidth="0" w:num="1">
            <w:col w:w="9019"/>
          </w:cols>
          <w:pgMar w:left="1440" w:top="337" w:right="1440" w:bottom="0" w:gutter="0" w:footer="0" w:header="0"/>
        </w:sectPr>
      </w:pPr>
    </w:p>
    <w:p>
      <w:pPr>
        <w:spacing w:after="0" w:line="1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1259"/>
        <w:spacing w:after="0" w:line="253" w:lineRule="auto"/>
        <w:rPr>
          <w:sz w:val="20"/>
          <w:szCs w:val="20"/>
          <w:color w:val="auto"/>
        </w:rPr>
      </w:pPr>
      <w:r>
        <w:rPr>
          <w:rFonts w:ascii="Arial" w:cs="Arial" w:eastAsia="Arial" w:hAnsi="Arial"/>
          <w:sz w:val="16"/>
          <w:szCs w:val="16"/>
          <w:b w:val="1"/>
          <w:bCs w:val="1"/>
          <w:color w:val="auto"/>
        </w:rPr>
        <w:t xml:space="preserve">Timing of a Plan Amendment Or Modification. </w:t>
      </w:r>
      <w:r>
        <w:rPr>
          <w:rFonts w:ascii="Arial" w:cs="Arial" w:eastAsia="Arial" w:hAnsi="Arial"/>
          <w:sz w:val="16"/>
          <w:szCs w:val="16"/>
          <w:color w:val="auto"/>
        </w:rPr>
        <w:t>All participants must pre-clear any</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of a 10b5-1 trading plan with the Insider Trading Compliance Officer or an individual designated by the Insider Trading Compliance Officer. In addition, all participants must promptly notify the Insider Trading Compliance Officer or an</w:t>
      </w:r>
    </w:p>
    <w:p>
      <w:pPr>
        <w:spacing w:after="0" w:line="2" w:lineRule="exact"/>
        <w:rPr>
          <w:sz w:val="20"/>
          <w:szCs w:val="20"/>
          <w:color w:val="auto"/>
        </w:rPr>
      </w:pPr>
    </w:p>
    <w:p>
      <w:pPr>
        <w:sectPr>
          <w:pgSz w:w="11900" w:h="16871" w:orient="portrait"/>
          <w:cols w:equalWidth="0" w:num="2">
            <w:col w:w="1560" w:space="200"/>
            <w:col w:w="7259"/>
          </w:cols>
          <w:pgMar w:left="1440" w:top="337" w:right="1440" w:bottom="0" w:gutter="0" w:footer="0" w:header="0"/>
          <w:type w:val="continuous"/>
        </w:sectPr>
      </w:pPr>
    </w:p>
    <w:p>
      <w:pPr>
        <w:ind w:left="1760" w:right="1259"/>
        <w:spacing w:after="0" w:line="264" w:lineRule="auto"/>
        <w:rPr>
          <w:sz w:val="20"/>
          <w:szCs w:val="20"/>
          <w:color w:val="auto"/>
        </w:rPr>
      </w:pPr>
      <w:r>
        <w:rPr>
          <w:rFonts w:ascii="Arial" w:cs="Arial" w:eastAsia="Arial" w:hAnsi="Arial"/>
          <w:sz w:val="15"/>
          <w:szCs w:val="15"/>
          <w:color w:val="auto"/>
        </w:rPr>
        <w:t>individual designated by the Insider Trading Compliance Officer following any pre-approved modification of a 10b5-1 trading plan and provide a copy of such modified plan. Each 10b5-1 trading plan may be amended or modified to change the amount, price or timing of the purchase or sale of the securities underlying a 10b5-1 trading plan (a “</w:t>
      </w:r>
      <w:r>
        <w:rPr>
          <w:rFonts w:ascii="Arial" w:cs="Arial" w:eastAsia="Arial" w:hAnsi="Arial"/>
          <w:sz w:val="15"/>
          <w:szCs w:val="15"/>
          <w:b w:val="1"/>
          <w:bCs w:val="1"/>
          <w:i w:val="1"/>
          <w:iCs w:val="1"/>
          <w:color w:val="auto"/>
        </w:rPr>
        <w:t>Material Modification</w:t>
      </w:r>
      <w:r>
        <w:rPr>
          <w:rFonts w:ascii="Arial" w:cs="Arial" w:eastAsia="Arial" w:hAnsi="Arial"/>
          <w:sz w:val="15"/>
          <w:szCs w:val="15"/>
          <w:color w:val="auto"/>
        </w:rPr>
        <w:t>”) only when the participant does not possess material nonpublic information about the Company. In addition, participants that are subject to trading windows under the Company’s Insider Trading Policy may only enter into a Material Modification during an open trading window. Any Material Modification must include the representation set forth under “Representation/Certification” above. A Material Modification of a 10b5-1 trading plan may not be entered into more than once in any 6-month period. If a participant enters into separate contracts at the same time with different agents to execute trades that are collectively compliant with Rule 10b5-1, such contracts may be treated as a single plan and a Material Modification of any such contract will be considered a Material Modification of the other such contracts.</w:t>
      </w:r>
    </w:p>
    <w:p>
      <w:pPr>
        <w:spacing w:after="0" w:line="121" w:lineRule="exact"/>
        <w:rPr>
          <w:sz w:val="20"/>
          <w:szCs w:val="20"/>
          <w:color w:val="auto"/>
        </w:rPr>
      </w:pPr>
    </w:p>
    <w:p>
      <w:pPr>
        <w:ind w:left="1760" w:right="1259" w:hanging="249"/>
        <w:spacing w:after="0" w:line="270" w:lineRule="auto"/>
        <w:tabs>
          <w:tab w:leader="none" w:pos="1760" w:val="left"/>
        </w:tabs>
        <w:numPr>
          <w:ilvl w:val="0"/>
          <w:numId w:val="132"/>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Termination</w:t>
      </w:r>
      <w:r>
        <w:rPr>
          <w:rFonts w:ascii="Arial" w:cs="Arial" w:eastAsia="Arial" w:hAnsi="Arial"/>
          <w:sz w:val="15"/>
          <w:szCs w:val="15"/>
          <w:color w:val="auto"/>
        </w:rPr>
        <w:t>. All participants must obtain pre-approval of any termination of a 10b5-1</w:t>
      </w:r>
      <w:r>
        <w:rPr>
          <w:rFonts w:ascii="Arial" w:cs="Arial" w:eastAsia="Arial" w:hAnsi="Arial"/>
          <w:sz w:val="15"/>
          <w:szCs w:val="15"/>
          <w:b w:val="1"/>
          <w:bCs w:val="1"/>
          <w:color w:val="auto"/>
        </w:rPr>
        <w:t xml:space="preserve"> </w:t>
      </w:r>
      <w:r>
        <w:rPr>
          <w:rFonts w:ascii="Arial" w:cs="Arial" w:eastAsia="Arial" w:hAnsi="Arial"/>
          <w:sz w:val="15"/>
          <w:szCs w:val="15"/>
          <w:color w:val="auto"/>
        </w:rPr>
        <w:t>trading plan from the Insider Trading Compliance Officer. Participants are discouraged from terminating a 10b5-1 trading plan while in possession of material nonpublic information. In addition, participants that are subject to trading windows under the</w:t>
      </w:r>
    </w:p>
    <w:p>
      <w:pPr>
        <w:spacing w:after="0" w:line="1" w:lineRule="exact"/>
        <w:rPr>
          <w:sz w:val="20"/>
          <w:szCs w:val="20"/>
          <w:color w:val="auto"/>
        </w:rPr>
      </w:pPr>
    </w:p>
    <w:p>
      <w:pPr>
        <w:ind w:left="1760" w:right="1259"/>
        <w:spacing w:after="0" w:line="263" w:lineRule="auto"/>
        <w:rPr>
          <w:sz w:val="20"/>
          <w:szCs w:val="20"/>
          <w:color w:val="auto"/>
        </w:rPr>
      </w:pPr>
      <w:r>
        <w:rPr>
          <w:rFonts w:ascii="Arial" w:cs="Arial" w:eastAsia="Arial" w:hAnsi="Arial"/>
          <w:sz w:val="15"/>
          <w:szCs w:val="15"/>
          <w:color w:val="auto"/>
        </w:rPr>
        <w:t>Company’s Insider Trading Policy are discouraged from terminating a 10b5-1 trading plan during a closed trading window. If a participant terminates their 10b5-1 trading plan early, they must wait at least 30 days before trading outside of the 10b5-1 trading plan. (Note for clarity: before the expiration of the 30 days waiting period, a participant may exercise the options that were subject to their terminated 10b5 ¬1 trading plan for which payment is made in cash (or via net exercise transactions with the Company),</w:t>
      </w:r>
    </w:p>
    <w:p>
      <w:pPr>
        <w:sectPr>
          <w:pgSz w:w="11900" w:h="16871" w:orient="portrait"/>
          <w:cols w:equalWidth="0" w:num="1">
            <w:col w:w="9019"/>
          </w:cols>
          <w:pgMar w:left="1440" w:top="337" w:right="1440" w:bottom="0" w:gutter="0" w:footer="0" w:header="0"/>
          <w:type w:val="continuous"/>
        </w:sectPr>
      </w:pPr>
    </w:p>
    <w:p>
      <w:pPr>
        <w:spacing w:after="0" w:line="4" w:lineRule="exact"/>
        <w:rPr>
          <w:sz w:val="20"/>
          <w:szCs w:val="20"/>
          <w:color w:val="auto"/>
        </w:rPr>
      </w:pPr>
    </w:p>
    <w:p>
      <w:pPr>
        <w:ind w:left="1760" w:right="1339"/>
        <w:spacing w:after="0" w:line="250" w:lineRule="auto"/>
        <w:rPr>
          <w:sz w:val="20"/>
          <w:szCs w:val="20"/>
          <w:color w:val="auto"/>
        </w:rPr>
      </w:pPr>
      <w:r>
        <w:rPr>
          <w:rFonts w:ascii="Arial" w:cs="Arial" w:eastAsia="Arial" w:hAnsi="Arial"/>
          <w:sz w:val="16"/>
          <w:szCs w:val="16"/>
          <w:color w:val="auto"/>
        </w:rPr>
        <w:t xml:space="preserve">but may not sell the stock underlying those options, </w:t>
      </w:r>
      <w:r>
        <w:rPr>
          <w:rFonts w:ascii="Arial" w:cs="Arial" w:eastAsia="Arial" w:hAnsi="Arial"/>
          <w:sz w:val="16"/>
          <w:szCs w:val="16"/>
          <w:i w:val="1"/>
          <w:iCs w:val="1"/>
          <w:color w:val="auto"/>
        </w:rPr>
        <w:t>including</w:t>
      </w:r>
      <w:r>
        <w:rPr>
          <w:rFonts w:ascii="Arial" w:cs="Arial" w:eastAsia="Arial" w:hAnsi="Arial"/>
          <w:sz w:val="16"/>
          <w:szCs w:val="16"/>
          <w:color w:val="auto"/>
        </w:rPr>
        <w:t xml:space="preserve"> in a broker-assisted cashless exercise or same-day sale transaction).</w:t>
      </w:r>
    </w:p>
    <w:p>
      <w:pPr>
        <w:sectPr>
          <w:pgSz w:w="11900" w:h="16871" w:orient="portrait"/>
          <w:cols w:equalWidth="0" w:num="1">
            <w:col w:w="9019"/>
          </w:cols>
          <w:pgMar w:left="1440" w:top="337" w:right="1440" w:bottom="0" w:gutter="0" w:footer="0" w:header="0"/>
          <w:type w:val="continuous"/>
        </w:sectPr>
      </w:pPr>
    </w:p>
    <w:p>
      <w:pPr>
        <w:spacing w:after="0" w:line="128" w:lineRule="exact"/>
        <w:rPr>
          <w:sz w:val="20"/>
          <w:szCs w:val="20"/>
          <w:color w:val="auto"/>
        </w:rPr>
      </w:pPr>
    </w:p>
    <w:p>
      <w:pPr>
        <w:ind w:left="1760" w:hanging="249"/>
        <w:spacing w:after="0"/>
        <w:tabs>
          <w:tab w:leader="none" w:pos="1760" w:val="left"/>
        </w:tabs>
        <w:numPr>
          <w:ilvl w:val="0"/>
          <w:numId w:val="1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Delayed Effectiveness of First Trade.  </w:t>
      </w:r>
      <w:r>
        <w:rPr>
          <w:rFonts w:ascii="Arial" w:cs="Arial" w:eastAsia="Arial" w:hAnsi="Arial"/>
          <w:sz w:val="16"/>
          <w:szCs w:val="16"/>
          <w:color w:val="auto"/>
        </w:rPr>
        <w:t>The first trade under a 10b5-1 trading plan</w:t>
      </w:r>
    </w:p>
    <w:p>
      <w:pPr>
        <w:spacing w:after="0" w:line="25" w:lineRule="exact"/>
        <w:rPr>
          <w:sz w:val="20"/>
          <w:szCs w:val="20"/>
          <w:color w:val="auto"/>
        </w:rPr>
      </w:pPr>
    </w:p>
    <w:p>
      <w:pPr>
        <w:ind w:left="1760" w:right="1259"/>
        <w:spacing w:after="0" w:line="263" w:lineRule="auto"/>
        <w:rPr>
          <w:sz w:val="20"/>
          <w:szCs w:val="20"/>
          <w:color w:val="auto"/>
        </w:rPr>
      </w:pPr>
      <w:r>
        <w:rPr>
          <w:rFonts w:ascii="Arial" w:cs="Arial" w:eastAsia="Arial" w:hAnsi="Arial"/>
          <w:sz w:val="15"/>
          <w:szCs w:val="15"/>
          <w:color w:val="auto"/>
        </w:rPr>
        <w:t xml:space="preserve">cannot occur until the expiration of the applicable waiting period (the “ </w:t>
      </w:r>
      <w:r>
        <w:rPr>
          <w:rFonts w:ascii="Arial" w:cs="Arial" w:eastAsia="Arial" w:hAnsi="Arial"/>
          <w:sz w:val="15"/>
          <w:szCs w:val="15"/>
          <w:b w:val="1"/>
          <w:bCs w:val="1"/>
          <w:i w:val="1"/>
          <w:iCs w:val="1"/>
          <w:color w:val="auto"/>
        </w:rPr>
        <w:t>Waiting</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Period</w:t>
      </w:r>
      <w:r>
        <w:rPr>
          <w:rFonts w:ascii="Arial" w:cs="Arial" w:eastAsia="Arial" w:hAnsi="Arial"/>
          <w:sz w:val="15"/>
          <w:szCs w:val="15"/>
          <w:color w:val="auto"/>
        </w:rPr>
        <w:t>”) as follows: (i) if the participant is a director or Section 16 officer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the later of (A) 90 days following the adoption of the 10b5-1 trading plan or</w:t>
      </w:r>
    </w:p>
    <w:p>
      <w:pPr>
        <w:spacing w:after="0" w:line="1" w:lineRule="exact"/>
        <w:rPr>
          <w:sz w:val="20"/>
          <w:szCs w:val="20"/>
          <w:color w:val="auto"/>
        </w:rPr>
      </w:pPr>
    </w:p>
    <w:p>
      <w:pPr>
        <w:ind w:left="1760" w:right="1279" w:firstLine="8"/>
        <w:spacing w:after="0" w:line="248" w:lineRule="auto"/>
        <w:tabs>
          <w:tab w:leader="none" w:pos="201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two business days following the disclosure of the Company’s financial results in a Form 10-Q or Form 10-K for the fiscal quarter in which the plan was adopted (subject to a maximum of 120 days after adoption of the plan), and (ii) for all other participants, at least 30 days. Following a Material Modification of a 10b5-1 trading plan, a participant may not trade under the plan until the expiration of the applicable Waiting Period measured from the date of the Material Modification.</w:t>
      </w:r>
    </w:p>
    <w:p>
      <w:pPr>
        <w:spacing w:after="0" w:line="133" w:lineRule="exact"/>
        <w:rPr>
          <w:sz w:val="20"/>
          <w:szCs w:val="20"/>
          <w:color w:val="auto"/>
        </w:rPr>
      </w:pPr>
    </w:p>
    <w:p>
      <w:pPr>
        <w:jc w:val="both"/>
        <w:ind w:left="1760" w:right="1259"/>
        <w:spacing w:after="0" w:line="261" w:lineRule="auto"/>
        <w:rPr>
          <w:sz w:val="20"/>
          <w:szCs w:val="20"/>
          <w:color w:val="auto"/>
        </w:rPr>
      </w:pPr>
      <w:r>
        <w:rPr>
          <w:rFonts w:ascii="Arial" w:cs="Arial" w:eastAsia="Arial" w:hAnsi="Arial"/>
          <w:sz w:val="16"/>
          <w:szCs w:val="16"/>
          <w:b w:val="1"/>
          <w:bCs w:val="1"/>
          <w:color w:val="auto"/>
        </w:rPr>
        <w:t xml:space="preserve">Relationships with Plan Broker; No Subsequent Influence. </w:t>
      </w:r>
      <w:r>
        <w:rPr>
          <w:rFonts w:ascii="Arial" w:cs="Arial" w:eastAsia="Arial" w:hAnsi="Arial"/>
          <w:sz w:val="16"/>
          <w:szCs w:val="16"/>
          <w:color w:val="auto"/>
        </w:rPr>
        <w:t>If the 10b5-1 trading</w:t>
      </w:r>
      <w:r>
        <w:rPr>
          <w:rFonts w:ascii="Arial" w:cs="Arial" w:eastAsia="Arial" w:hAnsi="Arial"/>
          <w:sz w:val="16"/>
          <w:szCs w:val="16"/>
          <w:b w:val="1"/>
          <w:bCs w:val="1"/>
          <w:color w:val="auto"/>
        </w:rPr>
        <w:t xml:space="preserve"> </w:t>
      </w:r>
      <w:r>
        <w:rPr>
          <w:rFonts w:ascii="Arial" w:cs="Arial" w:eastAsia="Arial" w:hAnsi="Arial"/>
          <w:sz w:val="16"/>
          <w:szCs w:val="16"/>
          <w:color w:val="auto"/>
        </w:rPr>
        <w:t>plan allows a broker discretion regarding the details of trading (e.g., timing, share amounts), the participant cannot communicate any material nonpublic information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about the Company to the broker, or attempt to influence how the broker exercises its</w:t>
      </w:r>
    </w:p>
    <w:p>
      <w:pPr>
        <w:spacing w:after="0" w:line="34" w:lineRule="exact"/>
        <w:rPr>
          <w:sz w:val="20"/>
          <w:szCs w:val="20"/>
          <w:color w:val="auto"/>
        </w:rPr>
      </w:pPr>
    </w:p>
    <w:p>
      <w:pPr>
        <w:jc w:val="both"/>
        <w:ind w:left="1760" w:right="1359"/>
        <w:spacing w:after="0" w:line="251" w:lineRule="auto"/>
        <w:rPr>
          <w:sz w:val="20"/>
          <w:szCs w:val="20"/>
          <w:color w:val="auto"/>
        </w:rPr>
      </w:pPr>
      <w:r>
        <w:rPr>
          <w:rFonts w:ascii="Arial" w:cs="Arial" w:eastAsia="Arial" w:hAnsi="Arial"/>
          <w:sz w:val="16"/>
          <w:szCs w:val="16"/>
          <w:color w:val="auto"/>
        </w:rPr>
        <w:t>discretion. In addition, any individual who is authorized to exercise discretion in executing the participant’s 10b5-1 trading plan must be a different individual from the person who executes trades for the participant in other securities.</w:t>
      </w:r>
    </w:p>
    <w:p>
      <w:pPr>
        <w:spacing w:after="0" w:line="127" w:lineRule="exact"/>
        <w:rPr>
          <w:sz w:val="20"/>
          <w:szCs w:val="20"/>
          <w:color w:val="auto"/>
        </w:rPr>
      </w:pPr>
    </w:p>
    <w:p>
      <w:pPr>
        <w:ind w:left="1760" w:right="1279" w:hanging="250"/>
        <w:spacing w:after="0" w:line="250" w:lineRule="auto"/>
        <w:tabs>
          <w:tab w:leader="none" w:pos="176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Plan Specifications; Discretion Regarding Trades. </w:t>
      </w:r>
      <w:r>
        <w:rPr>
          <w:rFonts w:ascii="Arial" w:cs="Arial" w:eastAsia="Arial" w:hAnsi="Arial"/>
          <w:sz w:val="16"/>
          <w:szCs w:val="16"/>
          <w:color w:val="auto"/>
        </w:rPr>
        <w:t>The 10b5-1 trading plan must</w:t>
      </w:r>
      <w:r>
        <w:rPr>
          <w:rFonts w:ascii="Arial" w:cs="Arial" w:eastAsia="Arial" w:hAnsi="Arial"/>
          <w:sz w:val="16"/>
          <w:szCs w:val="16"/>
          <w:b w:val="1"/>
          <w:bCs w:val="1"/>
          <w:color w:val="auto"/>
        </w:rPr>
        <w:t xml:space="preserve"> </w:t>
      </w:r>
      <w:r>
        <w:rPr>
          <w:rFonts w:ascii="Arial" w:cs="Arial" w:eastAsia="Arial" w:hAnsi="Arial"/>
          <w:sz w:val="16"/>
          <w:szCs w:val="16"/>
          <w:color w:val="auto"/>
        </w:rPr>
        <w:t>specify the amount of stock to be purchased or sold, or specify or set an objective formula for determining the amount of stock to be sold. Other than plans providing for nondiscretionary sell-to-cover transactions to satisfy tax withholding obligations arising exclusively from the vesting of restricted stock or restricted stock units</w:t>
      </w:r>
    </w:p>
    <w:p>
      <w:pPr>
        <w:spacing w:after="0" w:line="1" w:lineRule="exact"/>
        <w:rPr>
          <w:sz w:val="20"/>
          <w:szCs w:val="20"/>
          <w:color w:val="auto"/>
        </w:rPr>
      </w:pPr>
    </w:p>
    <w:p>
      <w:pPr>
        <w:ind w:left="1760" w:right="1259"/>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Qualified Sell-to-Cover Transactions</w:t>
      </w:r>
      <w:r>
        <w:rPr>
          <w:rFonts w:ascii="Arial" w:cs="Arial" w:eastAsia="Arial" w:hAnsi="Arial"/>
          <w:sz w:val="15"/>
          <w:szCs w:val="15"/>
          <w:color w:val="auto"/>
        </w:rPr>
        <w:t xml:space="preserve"> ”), 10b5-1 trading plans that are designed to effect the open-market purchase or sale of Company securities as a single trade may only be entered into once per 12-month period. Transaction types such as market, limit, and VWAP orders are allowed. Each 10b5-1 trading plan should specify the timing of trading or allow for the broker to exercise its discretion regarding the timing</w:t>
      </w:r>
    </w:p>
    <w:p>
      <w:pPr>
        <w:sectPr>
          <w:pgSz w:w="11900" w:h="16871" w:orient="portrait"/>
          <w:cols w:equalWidth="0" w:num="1">
            <w:col w:w="9019"/>
          </w:cols>
          <w:pgMar w:left="1440" w:top="337" w:right="1440" w:bottom="0" w:gutter="0" w:footer="0" w:header="0"/>
          <w:type w:val="continuous"/>
        </w:sectPr>
      </w:pPr>
    </w:p>
    <w:bookmarkStart w:id="148" w:name="page149"/>
    <w:bookmarkEnd w:id="148"/>
    <w:p>
      <w:pPr>
        <w:spacing w:after="0" w:line="128"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of trading. While the Company generally will not comment on the specific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-84455</wp:posOffset>
            </wp:positionV>
            <wp:extent cx="7160260" cy="105156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both"/>
        <w:ind w:left="1760" w:right="1259"/>
        <w:spacing w:after="0" w:line="248" w:lineRule="auto"/>
        <w:rPr>
          <w:sz w:val="20"/>
          <w:szCs w:val="20"/>
          <w:color w:val="auto"/>
        </w:rPr>
      </w:pPr>
      <w:r>
        <w:rPr>
          <w:rFonts w:ascii="Arial" w:cs="Arial" w:eastAsia="Arial" w:hAnsi="Arial"/>
          <w:sz w:val="16"/>
          <w:szCs w:val="16"/>
          <w:color w:val="auto"/>
        </w:rPr>
        <w:t>instructions proposed to be included in a 10b5-1 trading plan, the Insider Trading Compliance Officer may, in the exercise of their discretion, refrain from approving a proposed 10b5-1 trading plan on the basis of the proposed trading instructions. For example, the Insider Trading Compliance Officer likely will not approve a 10b5-1 trading plan if the trading instructions provide for trades on a frequent (e.g., weekly) basis for an extended time period.</w:t>
      </w:r>
    </w:p>
    <w:p>
      <w:pPr>
        <w:spacing w:after="0" w:line="132" w:lineRule="exact"/>
        <w:rPr>
          <w:sz w:val="20"/>
          <w:szCs w:val="20"/>
          <w:color w:val="auto"/>
        </w:rPr>
      </w:pPr>
    </w:p>
    <w:p>
      <w:pPr>
        <w:ind w:left="1760" w:right="1259" w:hanging="249"/>
        <w:spacing w:after="0" w:line="266" w:lineRule="auto"/>
        <w:tabs>
          <w:tab w:leader="none" w:pos="1760" w:val="left"/>
        </w:tabs>
        <w:numPr>
          <w:ilvl w:val="0"/>
          <w:numId w:val="136"/>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Other Trades. </w:t>
      </w:r>
      <w:r>
        <w:rPr>
          <w:rFonts w:ascii="Arial" w:cs="Arial" w:eastAsia="Arial" w:hAnsi="Arial"/>
          <w:sz w:val="15"/>
          <w:szCs w:val="15"/>
          <w:color w:val="auto"/>
        </w:rPr>
        <w:t>Trading the Company’s securities outside of a participant’s 10b5-1</w:t>
      </w:r>
      <w:r>
        <w:rPr>
          <w:rFonts w:ascii="Arial" w:cs="Arial" w:eastAsia="Arial" w:hAnsi="Arial"/>
          <w:sz w:val="15"/>
          <w:szCs w:val="15"/>
          <w:b w:val="1"/>
          <w:bCs w:val="1"/>
          <w:color w:val="auto"/>
        </w:rPr>
        <w:t xml:space="preserve"> </w:t>
      </w:r>
      <w:r>
        <w:rPr>
          <w:rFonts w:ascii="Arial" w:cs="Arial" w:eastAsia="Arial" w:hAnsi="Arial"/>
          <w:sz w:val="15"/>
          <w:szCs w:val="15"/>
          <w:color w:val="auto"/>
        </w:rPr>
        <w:t>trading plan could, in certain circumstances, jeopardize the validity of a participant’s plan. Accordingly, no participant who has a 10b5-1 trading plan may make open-market sales of the Company’s securities outside of the plan while their 10b5-1 trading</w:t>
      </w:r>
    </w:p>
    <w:p>
      <w:pPr>
        <w:spacing w:after="0" w:line="2" w:lineRule="exact"/>
        <w:rPr>
          <w:rFonts w:ascii="Times New Roman" w:cs="Times New Roman" w:eastAsia="Times New Roman" w:hAnsi="Times New Roman"/>
          <w:sz w:val="15"/>
          <w:szCs w:val="15"/>
          <w:color w:val="auto"/>
        </w:rPr>
      </w:pPr>
    </w:p>
    <w:p>
      <w:pPr>
        <w:ind w:left="1760"/>
        <w:spacing w:after="0"/>
        <w:rPr>
          <w:rFonts w:ascii="Times New Roman" w:cs="Times New Roman" w:eastAsia="Times New Roman" w:hAnsi="Times New Roman"/>
          <w:sz w:val="15"/>
          <w:szCs w:val="15"/>
          <w:color w:val="auto"/>
        </w:rPr>
      </w:pPr>
      <w:r>
        <w:rPr>
          <w:rFonts w:ascii="Arial" w:cs="Arial" w:eastAsia="Arial" w:hAnsi="Arial"/>
          <w:sz w:val="15"/>
          <w:szCs w:val="15"/>
          <w:color w:val="auto"/>
        </w:rPr>
        <w:t>plan is in effect if such sales would cause or potentially cause the participant to not be</w:t>
      </w:r>
    </w:p>
    <w:p>
      <w:pPr>
        <w:spacing w:after="0" w:line="182" w:lineRule="exact"/>
        <w:rPr>
          <w:sz w:val="20"/>
          <w:szCs w:val="20"/>
          <w:color w:val="auto"/>
        </w:rPr>
      </w:pPr>
    </w:p>
    <w:p>
      <w:pPr>
        <w:ind w:left="1760" w:right="1339"/>
        <w:spacing w:after="0" w:line="259" w:lineRule="auto"/>
        <w:rPr>
          <w:sz w:val="20"/>
          <w:szCs w:val="20"/>
          <w:color w:val="auto"/>
        </w:rPr>
      </w:pPr>
      <w:r>
        <w:rPr>
          <w:rFonts w:ascii="Arial" w:cs="Arial" w:eastAsia="Arial" w:hAnsi="Arial"/>
          <w:sz w:val="16"/>
          <w:szCs w:val="16"/>
          <w:color w:val="auto"/>
        </w:rPr>
        <w:t>able to make all of the trades under his or her 10b5-1 trading plan because the Rule 144(e) volume limitations (if applicable to the participant) would otherwise be exceeded.</w:t>
      </w:r>
    </w:p>
    <w:p>
      <w:pPr>
        <w:sectPr>
          <w:pgSz w:w="11900" w:h="16966" w:orient="portrait"/>
          <w:cols w:equalWidth="0" w:num="1">
            <w:col w:w="9019"/>
          </w:cols>
          <w:pgMar w:left="1440" w:top="90" w:right="1440" w:bottom="0" w:gutter="0" w:footer="0" w:header="0"/>
        </w:sectPr>
      </w:pPr>
    </w:p>
    <w:p>
      <w:pPr>
        <w:spacing w:after="0" w:line="1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3020" w:val="left"/>
        </w:tabs>
        <w:rPr>
          <w:sz w:val="20"/>
          <w:szCs w:val="20"/>
          <w:color w:val="auto"/>
        </w:rPr>
      </w:pPr>
      <w:r>
        <w:rPr>
          <w:rFonts w:ascii="Arial" w:cs="Arial" w:eastAsia="Arial" w:hAnsi="Arial"/>
          <w:sz w:val="16"/>
          <w:szCs w:val="16"/>
          <w:b w:val="1"/>
          <w:bCs w:val="1"/>
          <w:color w:val="auto"/>
        </w:rPr>
        <w:t>Only One Plan in Effect at Any Time.</w:t>
      </w:r>
      <w:r>
        <w:rPr>
          <w:sz w:val="20"/>
          <w:szCs w:val="20"/>
          <w:color w:val="auto"/>
        </w:rPr>
        <w:tab/>
      </w:r>
      <w:r>
        <w:rPr>
          <w:rFonts w:ascii="Arial" w:cs="Arial" w:eastAsia="Arial" w:hAnsi="Arial"/>
          <w:sz w:val="15"/>
          <w:szCs w:val="15"/>
          <w:color w:val="auto"/>
        </w:rPr>
        <w:t>A participant may have only one 10b5-1</w:t>
      </w:r>
    </w:p>
    <w:p>
      <w:pPr>
        <w:spacing w:after="0" w:line="32" w:lineRule="exact"/>
        <w:rPr>
          <w:sz w:val="20"/>
          <w:szCs w:val="20"/>
          <w:color w:val="auto"/>
        </w:rPr>
      </w:pPr>
    </w:p>
    <w:p>
      <w:pPr>
        <w:sectPr>
          <w:pgSz w:w="11900" w:h="16966" w:orient="portrait"/>
          <w:cols w:equalWidth="0" w:num="2">
            <w:col w:w="1560" w:space="200"/>
            <w:col w:w="7259"/>
          </w:cols>
          <w:pgMar w:left="1440" w:top="90" w:right="1440" w:bottom="0" w:gutter="0" w:footer="0" w:header="0"/>
          <w:type w:val="continuous"/>
        </w:sectPr>
      </w:pPr>
    </w:p>
    <w:p>
      <w:pPr>
        <w:jc w:val="both"/>
        <w:ind w:left="1760" w:right="1259"/>
        <w:spacing w:after="0" w:line="260" w:lineRule="auto"/>
        <w:rPr>
          <w:sz w:val="20"/>
          <w:szCs w:val="20"/>
          <w:color w:val="auto"/>
        </w:rPr>
      </w:pPr>
      <w:r>
        <w:rPr>
          <w:rFonts w:ascii="Arial" w:cs="Arial" w:eastAsia="Arial" w:hAnsi="Arial"/>
          <w:sz w:val="15"/>
          <w:szCs w:val="15"/>
          <w:color w:val="auto"/>
        </w:rPr>
        <w:t>trading plan in effect at any time. However, a participant may, during the term of an existing plan, adopt one new 10b5-1 trading plan to replace the existing plan, but only if the first scheduled trade under the new 10b5-1 trading plan does not occur before</w:t>
      </w:r>
    </w:p>
    <w:p>
      <w:pPr>
        <w:spacing w:after="0" w:line="1" w:lineRule="exact"/>
        <w:rPr>
          <w:sz w:val="20"/>
          <w:szCs w:val="20"/>
          <w:color w:val="auto"/>
        </w:rPr>
      </w:pPr>
    </w:p>
    <w:p>
      <w:pPr>
        <w:ind w:left="1760" w:right="1259"/>
        <w:spacing w:after="0" w:line="247" w:lineRule="auto"/>
        <w:rPr>
          <w:sz w:val="20"/>
          <w:szCs w:val="20"/>
          <w:color w:val="auto"/>
        </w:rPr>
      </w:pPr>
      <w:r>
        <w:rPr>
          <w:rFonts w:ascii="Arial" w:cs="Arial" w:eastAsia="Arial" w:hAnsi="Arial"/>
          <w:sz w:val="16"/>
          <w:szCs w:val="16"/>
          <w:color w:val="auto"/>
        </w:rPr>
        <w:t>all trades under the existing 10b5-1 trading plan are completed or expire without execution; provided, however, that if a participant terminates the existing plan after adoption of the replacement plan but prior to the existing plan’s scheduled expiration, the participant’s trades may not commence under the replacement plan until the expiration of the applicable Waiting Period, measured from the date of termination of the existing plan. This restriction on overlapping plans does not apply to plans providing for Qualified Sell-to-Cover Transactions.</w:t>
      </w:r>
    </w:p>
    <w:p>
      <w:pPr>
        <w:spacing w:after="0" w:line="141" w:lineRule="exact"/>
        <w:rPr>
          <w:sz w:val="20"/>
          <w:szCs w:val="20"/>
          <w:color w:val="auto"/>
        </w:rPr>
      </w:pPr>
    </w:p>
    <w:p>
      <w:pPr>
        <w:ind w:left="1760" w:right="1259" w:hanging="249"/>
        <w:spacing w:after="0" w:line="254" w:lineRule="auto"/>
        <w:tabs>
          <w:tab w:leader="none" w:pos="1760" w:val="left"/>
        </w:tabs>
        <w:numPr>
          <w:ilvl w:val="0"/>
          <w:numId w:val="13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Mandatory Suspension or Termination. </w:t>
      </w:r>
      <w:r>
        <w:rPr>
          <w:rFonts w:ascii="Arial" w:cs="Arial" w:eastAsia="Arial" w:hAnsi="Arial"/>
          <w:sz w:val="16"/>
          <w:szCs w:val="16"/>
          <w:color w:val="auto"/>
        </w:rPr>
        <w:t>Each 10b5-1 trading plan must suspend</w:t>
      </w:r>
      <w:r>
        <w:rPr>
          <w:rFonts w:ascii="Arial" w:cs="Arial" w:eastAsia="Arial" w:hAnsi="Arial"/>
          <w:sz w:val="16"/>
          <w:szCs w:val="16"/>
          <w:b w:val="1"/>
          <w:bCs w:val="1"/>
          <w:color w:val="auto"/>
        </w:rPr>
        <w:t xml:space="preserve"> </w:t>
      </w:r>
      <w:r>
        <w:rPr>
          <w:rFonts w:ascii="Arial" w:cs="Arial" w:eastAsia="Arial" w:hAnsi="Arial"/>
          <w:sz w:val="16"/>
          <w:szCs w:val="16"/>
          <w:color w:val="auto"/>
        </w:rPr>
        <w:t>trades or terminate if legal, regulatory, or contractual restrictions are imposed on the</w:t>
      </w:r>
    </w:p>
    <w:p>
      <w:pPr>
        <w:spacing w:after="0" w:line="1" w:lineRule="exact"/>
        <w:rPr>
          <w:sz w:val="20"/>
          <w:szCs w:val="20"/>
          <w:color w:val="auto"/>
        </w:rPr>
      </w:pPr>
    </w:p>
    <w:p>
      <w:pPr>
        <w:ind w:left="1760" w:right="1259"/>
        <w:spacing w:after="0" w:line="250" w:lineRule="auto"/>
        <w:rPr>
          <w:sz w:val="20"/>
          <w:szCs w:val="20"/>
          <w:color w:val="auto"/>
        </w:rPr>
      </w:pPr>
      <w:r>
        <w:rPr>
          <w:rFonts w:ascii="Arial" w:cs="Arial" w:eastAsia="Arial" w:hAnsi="Arial"/>
          <w:sz w:val="16"/>
          <w:szCs w:val="16"/>
          <w:color w:val="auto"/>
        </w:rPr>
        <w:t>participant, or other events occur that would prohibit sales under such a plan. For example, trading would need to be suspended or the plan terminated if these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60" w:right="1339"/>
        <w:spacing w:after="0" w:line="281" w:lineRule="auto"/>
        <w:rPr>
          <w:sz w:val="20"/>
          <w:szCs w:val="20"/>
          <w:color w:val="auto"/>
        </w:rPr>
      </w:pPr>
      <w:r>
        <w:rPr>
          <w:rFonts w:ascii="Arial" w:cs="Arial" w:eastAsia="Arial" w:hAnsi="Arial"/>
          <w:sz w:val="16"/>
          <w:szCs w:val="16"/>
          <w:color w:val="auto"/>
        </w:rPr>
        <w:t>guidelines were amended to preclude the particular sort of trade contemplated by the plan.</w:t>
      </w:r>
    </w:p>
    <w:p>
      <w:pPr>
        <w:spacing w:after="0" w:line="104" w:lineRule="exact"/>
        <w:rPr>
          <w:sz w:val="20"/>
          <w:szCs w:val="20"/>
          <w:color w:val="auto"/>
        </w:rPr>
      </w:pPr>
    </w:p>
    <w:p>
      <w:pPr>
        <w:ind w:left="1760" w:right="1439" w:hanging="249"/>
        <w:spacing w:after="0" w:line="271" w:lineRule="auto"/>
        <w:tabs>
          <w:tab w:leader="none" w:pos="1760" w:val="left"/>
        </w:tabs>
        <w:numPr>
          <w:ilvl w:val="0"/>
          <w:numId w:val="138"/>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Compliance with Rule 144. </w:t>
      </w:r>
      <w:r>
        <w:rPr>
          <w:rFonts w:ascii="Arial" w:cs="Arial" w:eastAsia="Arial" w:hAnsi="Arial"/>
          <w:sz w:val="15"/>
          <w:szCs w:val="15"/>
          <w:color w:val="auto"/>
        </w:rPr>
        <w:t>For directors and Section 16 officers, each 10b5-1</w:t>
      </w:r>
      <w:r>
        <w:rPr>
          <w:rFonts w:ascii="Arial" w:cs="Arial" w:eastAsia="Arial" w:hAnsi="Arial"/>
          <w:sz w:val="15"/>
          <w:szCs w:val="15"/>
          <w:b w:val="1"/>
          <w:bCs w:val="1"/>
          <w:color w:val="auto"/>
        </w:rPr>
        <w:t xml:space="preserve"> </w:t>
      </w:r>
      <w:r>
        <w:rPr>
          <w:rFonts w:ascii="Arial" w:cs="Arial" w:eastAsia="Arial" w:hAnsi="Arial"/>
          <w:sz w:val="15"/>
          <w:szCs w:val="15"/>
          <w:color w:val="auto"/>
        </w:rPr>
        <w:t>trading plan must provide for specific procedures to comply with Rule 144 under the</w:t>
      </w:r>
    </w:p>
    <w:p>
      <w:pPr>
        <w:spacing w:after="0" w:line="1" w:lineRule="exact"/>
        <w:rPr>
          <w:sz w:val="20"/>
          <w:szCs w:val="20"/>
          <w:color w:val="auto"/>
        </w:rPr>
      </w:pPr>
    </w:p>
    <w:p>
      <w:pPr>
        <w:ind w:left="1760" w:right="1359"/>
        <w:spacing w:after="0" w:line="248" w:lineRule="auto"/>
        <w:rPr>
          <w:sz w:val="20"/>
          <w:szCs w:val="20"/>
          <w:color w:val="auto"/>
        </w:rPr>
      </w:pPr>
      <w:r>
        <w:rPr>
          <w:rFonts w:ascii="Arial" w:cs="Arial" w:eastAsia="Arial" w:hAnsi="Arial"/>
          <w:sz w:val="16"/>
          <w:szCs w:val="16"/>
          <w:color w:val="auto"/>
        </w:rPr>
        <w:t>Securities Act of 1933, as amended, including the filing of Forms 144, when applicable. If you need additional information on Rule 144 and Form 144, please contact the Insider Trading Compliance Officer. If requested by the Company, participants must footnote trades disclosed on Forms 144 to indicate that the trades were made pursuant to a 10b5-1 trading plan.</w:t>
      </w:r>
    </w:p>
    <w:p>
      <w:pPr>
        <w:sectPr>
          <w:pgSz w:w="11900" w:h="16966" w:orient="portrait"/>
          <w:cols w:equalWidth="0" w:num="1">
            <w:col w:w="9019"/>
          </w:cols>
          <w:pgMar w:left="1440" w:top="90" w:right="1440" w:bottom="0" w:gutter="0" w:footer="0" w:header="0"/>
          <w:type w:val="continuous"/>
        </w:sectPr>
      </w:pP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59"/>
        <w:spacing w:after="0" w:line="253" w:lineRule="auto"/>
        <w:rPr>
          <w:sz w:val="20"/>
          <w:szCs w:val="20"/>
          <w:color w:val="auto"/>
        </w:rPr>
      </w:pPr>
      <w:r>
        <w:rPr>
          <w:rFonts w:ascii="Arial" w:cs="Arial" w:eastAsia="Arial" w:hAnsi="Arial"/>
          <w:sz w:val="16"/>
          <w:szCs w:val="16"/>
          <w:b w:val="1"/>
          <w:bCs w:val="1"/>
          <w:color w:val="auto"/>
        </w:rPr>
        <w:t xml:space="preserve">Broker Obligation to Provide Notice of Trades. </w:t>
      </w:r>
      <w:r>
        <w:rPr>
          <w:rFonts w:ascii="Arial" w:cs="Arial" w:eastAsia="Arial" w:hAnsi="Arial"/>
          <w:sz w:val="16"/>
          <w:szCs w:val="16"/>
          <w:color w:val="auto"/>
        </w:rPr>
        <w:t>Each 10b5-1 trading plan must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that the broker will promptly notify the participant and the Company of any trades under the plan so that, where required, the participant can make timely filings under the Exchange Act (i.e., no later than the close of business on the day of the trade).</w:t>
      </w:r>
    </w:p>
    <w:p>
      <w:pPr>
        <w:spacing w:after="0" w:line="126" w:lineRule="exact"/>
        <w:rPr>
          <w:sz w:val="20"/>
          <w:szCs w:val="20"/>
          <w:color w:val="auto"/>
        </w:rPr>
      </w:pPr>
    </w:p>
    <w:p>
      <w:pPr>
        <w:sectPr>
          <w:pgSz w:w="11900" w:h="16966" w:orient="portrait"/>
          <w:cols w:equalWidth="0" w:num="2">
            <w:col w:w="1560" w:space="200"/>
            <w:col w:w="7259"/>
          </w:cols>
          <w:pgMar w:left="1440" w:top="90" w:right="1440" w:bottom="0" w:gutter="0" w:footer="0" w:header="0"/>
          <w:type w:val="continuous"/>
        </w:sectPr>
      </w:pPr>
    </w:p>
    <w:p>
      <w:pPr>
        <w:ind w:left="1520"/>
        <w:spacing w:after="0"/>
        <w:tabs>
          <w:tab w:leader="none" w:pos="1740" w:val="left"/>
          <w:tab w:leader="none" w:pos="72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Arial" w:cs="Arial" w:eastAsia="Arial" w:hAnsi="Arial"/>
          <w:sz w:val="16"/>
          <w:szCs w:val="16"/>
          <w:b w:val="1"/>
          <w:bCs w:val="1"/>
          <w:color w:val="auto"/>
        </w:rPr>
        <w:t xml:space="preserve">Required Exchange Act Filings.  </w:t>
      </w:r>
      <w:r>
        <w:rPr>
          <w:rFonts w:ascii="Arial" w:cs="Arial" w:eastAsia="Arial" w:hAnsi="Arial"/>
          <w:sz w:val="16"/>
          <w:szCs w:val="16"/>
          <w:color w:val="auto"/>
        </w:rPr>
        <w:t>The Company is required to disclose</w:t>
      </w:r>
      <w:r>
        <w:rPr>
          <w:sz w:val="20"/>
          <w:szCs w:val="20"/>
          <w:color w:val="auto"/>
        </w:rPr>
        <w:tab/>
      </w:r>
      <w:r>
        <w:rPr>
          <w:rFonts w:ascii="Arial" w:cs="Arial" w:eastAsia="Arial" w:hAnsi="Arial"/>
          <w:sz w:val="15"/>
          <w:szCs w:val="15"/>
          <w:color w:val="auto"/>
        </w:rPr>
        <w:t>certain</w:t>
      </w:r>
    </w:p>
    <w:p>
      <w:pPr>
        <w:sectPr>
          <w:pgSz w:w="11900" w:h="16966" w:orient="portrait"/>
          <w:cols w:equalWidth="0" w:num="1">
            <w:col w:w="9019"/>
          </w:cols>
          <w:pgMar w:left="1440" w:top="90" w:right="1440" w:bottom="0" w:gutter="0" w:footer="0" w:header="0"/>
          <w:type w:val="continuous"/>
        </w:sectPr>
      </w:pPr>
    </w:p>
    <w:p>
      <w:pPr>
        <w:spacing w:after="0" w:line="32" w:lineRule="exact"/>
        <w:rPr>
          <w:sz w:val="20"/>
          <w:szCs w:val="20"/>
          <w:color w:val="auto"/>
        </w:rPr>
      </w:pPr>
    </w:p>
    <w:p>
      <w:pPr>
        <w:ind w:left="1760" w:right="1259"/>
        <w:spacing w:after="0" w:line="246" w:lineRule="auto"/>
        <w:rPr>
          <w:sz w:val="20"/>
          <w:szCs w:val="20"/>
          <w:color w:val="auto"/>
        </w:rPr>
      </w:pPr>
      <w:r>
        <w:rPr>
          <w:rFonts w:ascii="Arial" w:cs="Arial" w:eastAsia="Arial" w:hAnsi="Arial"/>
          <w:sz w:val="16"/>
          <w:szCs w:val="16"/>
          <w:color w:val="auto"/>
        </w:rPr>
        <w:t>information on a quarterly basis on Form 10-Q and 10-K with respect to the adoption, Material Modification or termination of 10b5-1 trading plans by any director or Section 16 officer. Directors and Section 16 officers must, in any Section 16 filing reporting a transaction effected pursuant to a 10b5-1 trading plan, check the appropriate box to indicate that the transaction is pursuant to a 10b5-1 trading plan and provide the date of adoption of the plan. By entering into a 10b5-1 trading plan, the Company’s directors and Section 16 officers are deemed to understand, and agree to cooperate with the Company with respect to, such disclosure obligations, including by notifying the Insider Trading Compliance Officer of information relevant to the preparation of such disclosure.</w:t>
      </w:r>
    </w:p>
    <w:p>
      <w:pPr>
        <w:spacing w:after="0" w:line="142" w:lineRule="exact"/>
        <w:rPr>
          <w:sz w:val="20"/>
          <w:szCs w:val="20"/>
          <w:color w:val="auto"/>
        </w:rPr>
      </w:pPr>
    </w:p>
    <w:p>
      <w:pPr>
        <w:ind w:left="1760" w:right="1339" w:hanging="250"/>
        <w:spacing w:after="0" w:line="271" w:lineRule="auto"/>
        <w:tabs>
          <w:tab w:leader="none" w:pos="1760" w:val="left"/>
        </w:tabs>
        <w:numPr>
          <w:ilvl w:val="0"/>
          <w:numId w:val="139"/>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Stock Options</w:t>
      </w:r>
      <w:r>
        <w:rPr>
          <w:rFonts w:ascii="Arial" w:cs="Arial" w:eastAsia="Arial" w:hAnsi="Arial"/>
          <w:sz w:val="15"/>
          <w:szCs w:val="15"/>
          <w:color w:val="auto"/>
        </w:rPr>
        <w:t>. Exercises of stock options for which payment is made in cash (or via</w:t>
      </w:r>
      <w:r>
        <w:rPr>
          <w:rFonts w:ascii="Arial" w:cs="Arial" w:eastAsia="Arial" w:hAnsi="Arial"/>
          <w:sz w:val="15"/>
          <w:szCs w:val="15"/>
          <w:b w:val="1"/>
          <w:bCs w:val="1"/>
          <w:color w:val="auto"/>
        </w:rPr>
        <w:t xml:space="preserve"> </w:t>
      </w:r>
      <w:r>
        <w:rPr>
          <w:rFonts w:ascii="Arial" w:cs="Arial" w:eastAsia="Arial" w:hAnsi="Arial"/>
          <w:sz w:val="15"/>
          <w:szCs w:val="15"/>
          <w:color w:val="auto"/>
        </w:rPr>
        <w:t>net exercise transactions with the Company) currently can be executed at any time.</w:t>
      </w:r>
    </w:p>
    <w:p>
      <w:pPr>
        <w:spacing w:after="0" w:line="1" w:lineRule="exact"/>
        <w:rPr>
          <w:sz w:val="20"/>
          <w:szCs w:val="20"/>
          <w:color w:val="auto"/>
        </w:rPr>
      </w:pPr>
    </w:p>
    <w:p>
      <w:pPr>
        <w:ind w:left="1760" w:right="1419"/>
        <w:spacing w:after="0" w:line="245" w:lineRule="auto"/>
        <w:rPr>
          <w:sz w:val="20"/>
          <w:szCs w:val="20"/>
          <w:color w:val="auto"/>
        </w:rPr>
      </w:pPr>
      <w:r>
        <w:rPr>
          <w:rFonts w:ascii="Arial" w:cs="Arial" w:eastAsia="Arial" w:hAnsi="Arial"/>
          <w:sz w:val="16"/>
          <w:szCs w:val="16"/>
          <w:color w:val="auto"/>
        </w:rPr>
        <w:t>Same day sale exercises or broker-assisted cashless exercises of stock options are subject to the restrictions set forth in this document and the Company’s Insider</w:t>
      </w:r>
    </w:p>
    <w:p>
      <w:pPr>
        <w:ind w:left="1760" w:right="1259"/>
        <w:spacing w:after="0" w:line="262" w:lineRule="auto"/>
        <w:rPr>
          <w:sz w:val="20"/>
          <w:szCs w:val="20"/>
          <w:color w:val="auto"/>
        </w:rPr>
      </w:pPr>
      <w:r>
        <w:rPr>
          <w:rFonts w:ascii="Arial" w:cs="Arial" w:eastAsia="Arial" w:hAnsi="Arial"/>
          <w:sz w:val="15"/>
          <w:szCs w:val="15"/>
          <w:color w:val="auto"/>
        </w:rPr>
        <w:t>Trading Policy. However, the Company will permit same day sales and broker-assisted cashless exercises under a 10b5-1 trading plan. Once a broker in a same day</w:t>
      </w:r>
    </w:p>
    <w:p>
      <w:pPr>
        <w:ind w:left="1760" w:right="1319"/>
        <w:spacing w:after="0" w:line="273" w:lineRule="auto"/>
        <w:rPr>
          <w:sz w:val="20"/>
          <w:szCs w:val="20"/>
          <w:color w:val="auto"/>
        </w:rPr>
      </w:pPr>
      <w:r>
        <w:rPr>
          <w:rFonts w:ascii="Arial" w:cs="Arial" w:eastAsia="Arial" w:hAnsi="Arial"/>
          <w:sz w:val="15"/>
          <w:szCs w:val="15"/>
          <w:color w:val="auto"/>
        </w:rPr>
        <w:t>sale or broker-assisted cashless exercise disposes of the applicable shares in accordance with the 10b5-1 trading plan, the broker will notify the Company in writing and the administrator of the Company’s stock plans will process the transaction. The participant should not be involved with this type of same day sale exercise.</w:t>
      </w:r>
    </w:p>
    <w:p>
      <w:pPr>
        <w:spacing w:after="0" w:line="112" w:lineRule="exact"/>
        <w:rPr>
          <w:sz w:val="20"/>
          <w:szCs w:val="20"/>
          <w:color w:val="auto"/>
        </w:rPr>
      </w:pPr>
    </w:p>
    <w:p>
      <w:pPr>
        <w:ind w:left="1760" w:right="1379" w:hanging="249"/>
        <w:spacing w:after="0" w:line="293" w:lineRule="auto"/>
        <w:tabs>
          <w:tab w:leader="none" w:pos="1760" w:val="left"/>
        </w:tabs>
        <w:numPr>
          <w:ilvl w:val="0"/>
          <w:numId w:val="140"/>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Pledging the Company’s Stock to Secure Margin of Other Loans</w:t>
      </w:r>
      <w:r>
        <w:rPr>
          <w:rFonts w:ascii="Arial" w:cs="Arial" w:eastAsia="Arial" w:hAnsi="Arial"/>
          <w:sz w:val="15"/>
          <w:szCs w:val="15"/>
          <w:color w:val="auto"/>
        </w:rPr>
        <w:t>.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does not permit officers or directors to pledge the Company’s stock or securities as collateral to secure loans. Such pledges also cannot be carried out through a 10b5-1</w:t>
      </w:r>
    </w:p>
    <w:p>
      <w:pPr>
        <w:sectPr>
          <w:pgSz w:w="11900" w:h="16966" w:orient="portrait"/>
          <w:cols w:equalWidth="0" w:num="1">
            <w:col w:w="9019"/>
          </w:cols>
          <w:pgMar w:left="1440" w:top="90" w:right="1440" w:bottom="0" w:gutter="0" w:footer="0" w:header="0"/>
          <w:type w:val="continuous"/>
        </w:sectPr>
      </w:pPr>
    </w:p>
    <w:bookmarkStart w:id="149" w:name="page150"/>
    <w:bookmarkEnd w:id="149"/>
    <w:p>
      <w:pPr>
        <w:ind w:left="1760"/>
        <w:spacing w:after="0"/>
        <w:rPr>
          <w:sz w:val="20"/>
          <w:szCs w:val="20"/>
          <w:color w:val="auto"/>
        </w:rPr>
      </w:pPr>
      <w:r>
        <w:rPr>
          <w:rFonts w:ascii="Arial" w:cs="Arial" w:eastAsia="Arial" w:hAnsi="Arial"/>
          <w:sz w:val="16"/>
          <w:szCs w:val="16"/>
          <w:color w:val="auto"/>
        </w:rPr>
        <w:t>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-112395</wp:posOffset>
            </wp:positionV>
            <wp:extent cx="7160260" cy="88068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7160260" cy="8806815"/>
                    </a:xfrm>
                    <a:prstGeom prst="rect">
                      <a:avLst/>
                    </a:prstGeom>
                    <a:noFill/>
                  </pic:spPr>
                </pic:pic>
              </a:graphicData>
            </a:graphic>
          </wp:anchor>
        </w:drawing>
      </w:r>
    </w:p>
    <w:p>
      <w:pPr>
        <w:spacing w:after="0" w:line="138" w:lineRule="exact"/>
        <w:rPr>
          <w:sz w:val="20"/>
          <w:szCs w:val="20"/>
          <w:color w:val="auto"/>
        </w:rPr>
      </w:pPr>
    </w:p>
    <w:p>
      <w:pPr>
        <w:jc w:val="both"/>
        <w:ind w:left="1760" w:right="1259" w:hanging="249"/>
        <w:spacing w:after="0" w:line="267" w:lineRule="auto"/>
        <w:tabs>
          <w:tab w:leader="none" w:pos="1760" w:val="left"/>
        </w:tabs>
        <w:numPr>
          <w:ilvl w:val="0"/>
          <w:numId w:val="14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Company Not Party To The Plan. </w:t>
      </w:r>
      <w:r>
        <w:rPr>
          <w:rFonts w:ascii="Arial" w:cs="Arial" w:eastAsia="Arial" w:hAnsi="Arial"/>
          <w:sz w:val="16"/>
          <w:szCs w:val="16"/>
          <w:color w:val="auto"/>
        </w:rPr>
        <w:t>The 10b5-1 trading plan may not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party to the plan, although it can have a representation by the participant to the effect that the Company has reviewed the plan.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60" w:hanging="249"/>
        <w:spacing w:after="0"/>
        <w:tabs>
          <w:tab w:leader="none" w:pos="1760" w:val="left"/>
        </w:tabs>
        <w:numPr>
          <w:ilvl w:val="0"/>
          <w:numId w:val="1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Guidelines Takes Precedence </w:t>
      </w:r>
      <w:r>
        <w:rPr>
          <w:rFonts w:ascii="Arial" w:cs="Arial" w:eastAsia="Arial" w:hAnsi="Arial"/>
          <w:sz w:val="16"/>
          <w:szCs w:val="16"/>
          <w:color w:val="auto"/>
        </w:rPr>
        <w:t>. In any event of any conflict between the guidelines</w:t>
      </w:r>
    </w:p>
    <w:p>
      <w:pPr>
        <w:spacing w:after="0" w:line="25" w:lineRule="exact"/>
        <w:rPr>
          <w:sz w:val="20"/>
          <w:szCs w:val="20"/>
          <w:color w:val="auto"/>
        </w:rPr>
      </w:pPr>
    </w:p>
    <w:p>
      <w:pPr>
        <w:ind w:left="1760" w:right="1299"/>
        <w:spacing w:after="0" w:line="250" w:lineRule="auto"/>
        <w:rPr>
          <w:sz w:val="20"/>
          <w:szCs w:val="20"/>
          <w:color w:val="auto"/>
        </w:rPr>
      </w:pPr>
      <w:r>
        <w:rPr>
          <w:rFonts w:ascii="Arial" w:cs="Arial" w:eastAsia="Arial" w:hAnsi="Arial"/>
          <w:sz w:val="16"/>
          <w:szCs w:val="16"/>
          <w:color w:val="auto"/>
        </w:rPr>
        <w:t>in this document and any 10b5-1 trading plan, this document shall control, to the extent the 10b5-1 trading plan would permit activities otherwise prohibited by this document.</w:t>
      </w:r>
    </w:p>
    <w:p>
      <w:pPr>
        <w:spacing w:after="0" w:line="129" w:lineRule="exact"/>
        <w:rPr>
          <w:sz w:val="20"/>
          <w:szCs w:val="20"/>
          <w:color w:val="auto"/>
        </w:rPr>
      </w:pPr>
    </w:p>
    <w:p>
      <w:pPr>
        <w:ind w:left="1760" w:hanging="249"/>
        <w:spacing w:after="0"/>
        <w:tabs>
          <w:tab w:leader="none" w:pos="176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Exceptions; Waivers. </w:t>
      </w:r>
      <w:r>
        <w:rPr>
          <w:rFonts w:ascii="Arial" w:cs="Arial" w:eastAsia="Arial" w:hAnsi="Arial"/>
          <w:sz w:val="16"/>
          <w:szCs w:val="16"/>
          <w:color w:val="auto"/>
        </w:rPr>
        <w:t>All requests for exceptions to or waivers of these guidelines</w:t>
      </w:r>
    </w:p>
    <w:p>
      <w:pPr>
        <w:spacing w:after="0" w:line="25" w:lineRule="exact"/>
        <w:rPr>
          <w:sz w:val="20"/>
          <w:szCs w:val="20"/>
          <w:color w:val="auto"/>
        </w:rPr>
      </w:pPr>
    </w:p>
    <w:p>
      <w:pPr>
        <w:ind w:left="1760" w:right="1259"/>
        <w:spacing w:after="0" w:line="249" w:lineRule="auto"/>
        <w:rPr>
          <w:sz w:val="20"/>
          <w:szCs w:val="20"/>
          <w:color w:val="auto"/>
        </w:rPr>
      </w:pPr>
      <w:r>
        <w:rPr>
          <w:rFonts w:ascii="Arial" w:cs="Arial" w:eastAsia="Arial" w:hAnsi="Arial"/>
          <w:sz w:val="16"/>
          <w:szCs w:val="16"/>
          <w:color w:val="auto"/>
        </w:rPr>
        <w:t>must be reviewed and approved by the Insider Trading Compliance Officer or an individual designated by the Insider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133"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List of Subsidiaries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Geron UK Limited, incorporated September 29, 2021</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Geron Netherlands B.V., incorporated February 17, 2023</w:t>
      </w:r>
    </w:p>
    <w:p>
      <w:pPr>
        <w:sectPr>
          <w:pgSz w:w="11900" w:h="16838" w:orient="portrait"/>
          <w:cols w:equalWidth="0" w:num="1">
            <w:col w:w="11280"/>
          </w:cols>
          <w:pgMar w:left="300" w:top="123"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93" w:lineRule="exact"/>
        <w:rPr>
          <w:sz w:val="20"/>
          <w:szCs w:val="20"/>
          <w:color w:val="auto"/>
        </w:rPr>
      </w:pPr>
    </w:p>
    <w:p>
      <w:pPr>
        <w:ind w:left="520" w:hanging="256"/>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S-3 Nos. 333-225184, 333-238595, and 333-248637 ) and in the related prospectuses and prospectus supplements,</w:t>
      </w:r>
    </w:p>
    <w:p>
      <w:pPr>
        <w:spacing w:after="0" w:line="16"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333-239324, 333-258864, and 333-273669, ) pertaining to the 2018 Inducement Award Plan and the 2018 Equity Incentive Plan,</w:t>
      </w:r>
    </w:p>
    <w:p>
      <w:pPr>
        <w:ind w:left="520" w:hanging="256"/>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333-230171, 333-289303 and 333-284209) pertaining to the 2018 Inducement Award Plan,</w:t>
      </w:r>
    </w:p>
    <w:p>
      <w:pPr>
        <w:ind w:left="520" w:hanging="256"/>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333-228147) pertaining to the Directors’ Market Value Stock Purchase Plan,</w:t>
      </w:r>
    </w:p>
    <w:p>
      <w:pPr>
        <w:ind w:left="520" w:hanging="256"/>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333-225190) pertaining to the 2018 Equity Incentive Plan,</w:t>
      </w:r>
    </w:p>
    <w:p>
      <w:pPr>
        <w:ind w:left="520" w:hanging="256"/>
        <w:spacing w:after="0" w:line="224" w:lineRule="auto"/>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333-196677) pertaining to the 2014 Employee Stock Purchase Plan,</w:t>
      </w:r>
    </w:p>
    <w:p>
      <w:pPr>
        <w:ind w:left="520" w:right="360" w:hanging="256"/>
        <w:spacing w:after="0"/>
        <w:tabs>
          <w:tab w:leader="none" w:pos="51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333-174350) pertaining to the 2011 Incentive Award Plan, the 2002 Equity Incentive Plan, the 1996 Directors’ Stock Option Plan and the 1992 Stock Option Plan,</w:t>
      </w:r>
    </w:p>
    <w:p>
      <w:pPr>
        <w:ind w:left="520" w:hanging="256"/>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333-266795) pertaining to the 2018 Equity Incentive Plan, the 2018 Inducement Award Plan and the 2014 Employee Stock Purchase Plan,</w:t>
      </w:r>
    </w:p>
    <w:p>
      <w:pPr>
        <w:ind w:left="520" w:hanging="256"/>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333-288433) pertaining to the 2018 Equity Incentive Plan and the 2014 Employee Stock Purchase Plan.</w:t>
      </w:r>
    </w:p>
    <w:p>
      <w:pPr>
        <w:spacing w:after="0" w:line="177" w:lineRule="exact"/>
        <w:rPr>
          <w:sz w:val="20"/>
          <w:szCs w:val="20"/>
          <w:color w:val="auto"/>
        </w:rPr>
      </w:pPr>
    </w:p>
    <w:p>
      <w:pPr>
        <w:ind w:right="700"/>
        <w:spacing w:after="0" w:line="276" w:lineRule="auto"/>
        <w:rPr>
          <w:sz w:val="20"/>
          <w:szCs w:val="20"/>
          <w:color w:val="auto"/>
        </w:rPr>
      </w:pPr>
      <w:r>
        <w:rPr>
          <w:rFonts w:ascii="Times New Roman" w:cs="Times New Roman" w:eastAsia="Times New Roman" w:hAnsi="Times New Roman"/>
          <w:sz w:val="14"/>
          <w:szCs w:val="14"/>
          <w:color w:val="auto"/>
        </w:rPr>
        <w:t>of our reports dated March 2, 2026, with respect to the consolidated financial statements of Geron Corporation and the effectiveness of internal control over financial reporting of Geron Corporation included in this Annual Report (Form 10-K) of Geron Corporation for the year ended December 31, 2025.</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Iselin, NJ</w:t>
      </w:r>
    </w:p>
    <w:p>
      <w:pPr>
        <w:spacing w:after="0"/>
        <w:rPr>
          <w:sz w:val="20"/>
          <w:szCs w:val="20"/>
          <w:color w:val="auto"/>
        </w:rPr>
      </w:pPr>
      <w:r>
        <w:rPr>
          <w:rFonts w:ascii="Times New Roman" w:cs="Times New Roman" w:eastAsia="Times New Roman" w:hAnsi="Times New Roman"/>
          <w:sz w:val="14"/>
          <w:szCs w:val="14"/>
          <w:color w:val="auto"/>
        </w:rPr>
        <w:t>March 2, 2026</w:t>
      </w:r>
    </w:p>
    <w:p>
      <w:pPr>
        <w:sectPr>
          <w:pgSz w:w="11900" w:h="16838" w:orient="portrait"/>
          <w:cols w:equalWidth="0" w:num="1">
            <w:col w:w="11280"/>
          </w:cols>
          <w:pgMar w:left="300" w:top="112"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4"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FORM OF RULE 13A</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14(A)</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6"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SECTION 302(A) OF THE SARBANES</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OXLEY ACT OF 2002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Harout Semerjian, certify that:</w:t>
      </w:r>
    </w:p>
    <w:p>
      <w:pPr>
        <w:spacing w:after="0" w:line="65" w:lineRule="exact"/>
        <w:rPr>
          <w:sz w:val="20"/>
          <w:szCs w:val="20"/>
          <w:color w:val="auto"/>
        </w:rPr>
      </w:pPr>
    </w:p>
    <w:p>
      <w:pPr>
        <w:ind w:left="900" w:hanging="894"/>
        <w:spacing w:after="0" w:line="161" w:lineRule="exact"/>
        <w:tabs>
          <w:tab w:leader="none" w:pos="9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of Geron Corporation;</w:t>
      </w:r>
    </w:p>
    <w:p>
      <w:pPr>
        <w:spacing w:after="0" w:line="128" w:lineRule="exact"/>
        <w:rPr>
          <w:rFonts w:ascii="Times New Roman" w:cs="Times New Roman" w:eastAsia="Times New Roman" w:hAnsi="Times New Roman"/>
          <w:sz w:val="14"/>
          <w:szCs w:val="14"/>
          <w:color w:val="auto"/>
        </w:rPr>
      </w:pPr>
    </w:p>
    <w:p>
      <w:pPr>
        <w:ind w:left="900" w:right="220" w:hanging="894"/>
        <w:spacing w:after="0" w:line="292" w:lineRule="auto"/>
        <w:tabs>
          <w:tab w:leader="none" w:pos="9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4"/>
          <w:szCs w:val="14"/>
          <w:color w:val="auto"/>
        </w:rPr>
      </w:pPr>
    </w:p>
    <w:p>
      <w:pPr>
        <w:ind w:left="900" w:right="300" w:hanging="894"/>
        <w:spacing w:after="0" w:line="292" w:lineRule="auto"/>
        <w:tabs>
          <w:tab w:leader="none" w:pos="9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4"/>
          <w:szCs w:val="14"/>
          <w:color w:val="auto"/>
        </w:rPr>
      </w:pPr>
    </w:p>
    <w:p>
      <w:pPr>
        <w:ind w:left="900" w:hanging="894"/>
        <w:spacing w:after="0" w:line="161" w:lineRule="exact"/>
        <w:tabs>
          <w:tab w:leader="none" w:pos="9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w:t>
      </w:r>
    </w:p>
    <w:p>
      <w:pPr>
        <w:spacing w:after="0" w:line="58" w:lineRule="exact"/>
        <w:rPr>
          <w:rFonts w:ascii="Times New Roman" w:cs="Times New Roman" w:eastAsia="Times New Roman" w:hAnsi="Times New Roman"/>
          <w:sz w:val="14"/>
          <w:szCs w:val="14"/>
          <w:color w:val="auto"/>
        </w:rPr>
      </w:pPr>
    </w:p>
    <w:p>
      <w:pPr>
        <w:ind w:left="900"/>
        <w:spacing w:after="0" w:line="161"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internal control over financial reporting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for the registrant and have:</w:t>
      </w:r>
    </w:p>
    <w:p>
      <w:pPr>
        <w:spacing w:after="0" w:line="80" w:lineRule="exact"/>
        <w:rPr>
          <w:rFonts w:ascii="Times New Roman" w:cs="Times New Roman" w:eastAsia="Times New Roman" w:hAnsi="Times New Roman"/>
          <w:sz w:val="14"/>
          <w:szCs w:val="14"/>
          <w:color w:val="auto"/>
        </w:rPr>
      </w:pPr>
    </w:p>
    <w:p>
      <w:pPr>
        <w:jc w:val="both"/>
        <w:ind w:left="1820" w:right="180" w:hanging="912"/>
        <w:spacing w:after="0" w:line="274" w:lineRule="auto"/>
        <w:tabs>
          <w:tab w:leader="none" w:pos="1818"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820" w:right="220" w:hanging="912"/>
        <w:spacing w:after="0" w:line="274" w:lineRule="auto"/>
        <w:tabs>
          <w:tab w:leader="none" w:pos="1815"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820" w:right="600" w:hanging="912"/>
        <w:spacing w:after="0" w:line="292" w:lineRule="auto"/>
        <w:tabs>
          <w:tab w:leader="none" w:pos="1818"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4"/>
          <w:szCs w:val="14"/>
          <w:color w:val="auto"/>
        </w:rPr>
      </w:pPr>
    </w:p>
    <w:p>
      <w:pPr>
        <w:ind w:left="1820" w:right="300" w:hanging="912"/>
        <w:spacing w:after="0" w:line="274" w:lineRule="auto"/>
        <w:tabs>
          <w:tab w:leader="none" w:pos="1815"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4"/>
          <w:szCs w:val="14"/>
          <w:color w:val="auto"/>
        </w:rPr>
      </w:pPr>
    </w:p>
    <w:p>
      <w:pPr>
        <w:ind w:left="900" w:right="180" w:hanging="894"/>
        <w:spacing w:after="0" w:line="292" w:lineRule="auto"/>
        <w:tabs>
          <w:tab w:leader="none" w:pos="9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Times New Roman" w:cs="Times New Roman" w:eastAsia="Times New Roman" w:hAnsi="Times New Roman"/>
          <w:sz w:val="14"/>
          <w:szCs w:val="14"/>
          <w:color w:val="auto"/>
        </w:rPr>
      </w:pPr>
    </w:p>
    <w:p>
      <w:pPr>
        <w:ind w:left="1820" w:right="180" w:hanging="912"/>
        <w:spacing w:after="0" w:line="292" w:lineRule="auto"/>
        <w:tabs>
          <w:tab w:leader="none" w:pos="1818"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4"/>
          <w:szCs w:val="14"/>
          <w:color w:val="auto"/>
        </w:rPr>
      </w:pPr>
    </w:p>
    <w:p>
      <w:pPr>
        <w:ind w:left="1820" w:right="420" w:hanging="912"/>
        <w:spacing w:after="0" w:line="292" w:lineRule="auto"/>
        <w:tabs>
          <w:tab w:leader="none" w:pos="1815"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2026</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Harout Semerjian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358013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3580130"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Harout Semerjian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ectPr>
          <w:pgSz w:w="11900" w:h="16838" w:orient="portrait"/>
          <w:cols w:equalWidth="0" w:num="1">
            <w:col w:w="11280"/>
          </w:cols>
          <w:pgMar w:left="300" w:top="939"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4"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FORM OF RULE 13A</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14(A)</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6"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SECTION 302(A) OF THE SARBANES</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OXLEY ACT OF 2002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Michelle Robertson, certify that:</w:t>
      </w:r>
    </w:p>
    <w:p>
      <w:pPr>
        <w:spacing w:after="0" w:line="65" w:lineRule="exact"/>
        <w:rPr>
          <w:sz w:val="20"/>
          <w:szCs w:val="20"/>
          <w:color w:val="auto"/>
        </w:rPr>
      </w:pPr>
    </w:p>
    <w:p>
      <w:pPr>
        <w:ind w:left="980" w:hanging="974"/>
        <w:spacing w:after="0" w:line="161" w:lineRule="exact"/>
        <w:tabs>
          <w:tab w:leader="none" w:pos="9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of Geron Corporation;</w:t>
      </w:r>
    </w:p>
    <w:p>
      <w:pPr>
        <w:spacing w:after="0" w:line="128" w:lineRule="exact"/>
        <w:rPr>
          <w:rFonts w:ascii="Times New Roman" w:cs="Times New Roman" w:eastAsia="Times New Roman" w:hAnsi="Times New Roman"/>
          <w:sz w:val="14"/>
          <w:szCs w:val="14"/>
          <w:color w:val="auto"/>
        </w:rPr>
      </w:pPr>
    </w:p>
    <w:p>
      <w:pPr>
        <w:ind w:left="980" w:right="140" w:hanging="974"/>
        <w:spacing w:after="0" w:line="292" w:lineRule="auto"/>
        <w:tabs>
          <w:tab w:leader="none" w:pos="9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4"/>
          <w:szCs w:val="14"/>
          <w:color w:val="auto"/>
        </w:rPr>
      </w:pPr>
    </w:p>
    <w:p>
      <w:pPr>
        <w:ind w:left="980" w:right="240" w:hanging="974"/>
        <w:spacing w:after="0" w:line="292" w:lineRule="auto"/>
        <w:tabs>
          <w:tab w:leader="none" w:pos="9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4"/>
          <w:szCs w:val="14"/>
          <w:color w:val="auto"/>
        </w:rPr>
      </w:pPr>
    </w:p>
    <w:p>
      <w:pPr>
        <w:ind w:left="980" w:right="180" w:hanging="974"/>
        <w:spacing w:after="0" w:line="206" w:lineRule="exact"/>
        <w:tabs>
          <w:tab w:leader="none" w:pos="9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internal control over financial reporting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for the registrant and have:</w:t>
      </w:r>
    </w:p>
    <w:p>
      <w:pPr>
        <w:spacing w:after="0" w:line="49" w:lineRule="exact"/>
        <w:rPr>
          <w:rFonts w:ascii="Times New Roman" w:cs="Times New Roman" w:eastAsia="Times New Roman" w:hAnsi="Times New Roman"/>
          <w:sz w:val="14"/>
          <w:szCs w:val="14"/>
          <w:color w:val="auto"/>
        </w:rPr>
      </w:pPr>
    </w:p>
    <w:p>
      <w:pPr>
        <w:jc w:val="both"/>
        <w:ind w:left="1880" w:right="120" w:hanging="908"/>
        <w:spacing w:after="0" w:line="274" w:lineRule="auto"/>
        <w:tabs>
          <w:tab w:leader="none" w:pos="1878"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880" w:right="160" w:hanging="908"/>
        <w:spacing w:after="0" w:line="274" w:lineRule="auto"/>
        <w:tabs>
          <w:tab w:leader="none" w:pos="1875"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880" w:right="540" w:hanging="908"/>
        <w:spacing w:after="0" w:line="292" w:lineRule="auto"/>
        <w:tabs>
          <w:tab w:leader="none" w:pos="1878"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4"/>
          <w:szCs w:val="14"/>
          <w:color w:val="auto"/>
        </w:rPr>
      </w:pPr>
    </w:p>
    <w:p>
      <w:pPr>
        <w:ind w:left="1880" w:right="240" w:hanging="908"/>
        <w:spacing w:after="0" w:line="274" w:lineRule="auto"/>
        <w:tabs>
          <w:tab w:leader="none" w:pos="1875"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4"/>
          <w:szCs w:val="14"/>
          <w:color w:val="auto"/>
        </w:rPr>
      </w:pPr>
    </w:p>
    <w:p>
      <w:pPr>
        <w:ind w:left="980" w:right="120" w:hanging="974"/>
        <w:spacing w:after="0" w:line="292" w:lineRule="auto"/>
        <w:tabs>
          <w:tab w:leader="none" w:pos="9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Times New Roman" w:cs="Times New Roman" w:eastAsia="Times New Roman" w:hAnsi="Times New Roman"/>
          <w:sz w:val="14"/>
          <w:szCs w:val="14"/>
          <w:color w:val="auto"/>
        </w:rPr>
      </w:pPr>
    </w:p>
    <w:p>
      <w:pPr>
        <w:ind w:left="1880" w:right="120" w:hanging="908"/>
        <w:spacing w:after="0" w:line="292" w:lineRule="auto"/>
        <w:tabs>
          <w:tab w:leader="none" w:pos="1878"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4"/>
          <w:szCs w:val="14"/>
          <w:color w:val="auto"/>
        </w:rPr>
      </w:pPr>
    </w:p>
    <w:p>
      <w:pPr>
        <w:ind w:left="1880" w:right="360" w:hanging="908"/>
        <w:spacing w:after="0" w:line="292" w:lineRule="auto"/>
        <w:tabs>
          <w:tab w:leader="none" w:pos="1875"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2026</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w:t>
      </w:r>
      <w:r>
        <w:rPr>
          <w:rFonts w:ascii="Times New Roman" w:cs="Times New Roman" w:eastAsia="Times New Roman" w:hAnsi="Times New Roman"/>
          <w:sz w:val="10"/>
          <w:szCs w:val="10"/>
          <w:color w:val="auto"/>
        </w:rPr>
        <w:t>ICHELLE</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10"/>
          <w:szCs w:val="10"/>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358013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3580130" cy="698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MICHELLE ROBERTSON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Executive Vice President, Finance,</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 and Treasurer</w:t>
      </w:r>
    </w:p>
    <w:p>
      <w:pPr>
        <w:sectPr>
          <w:pgSz w:w="11900" w:h="16838" w:orient="portrait"/>
          <w:cols w:equalWidth="0" w:num="1">
            <w:col w:w="11280"/>
          </w:cols>
          <w:pgMar w:left="300" w:top="939"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8"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SECTION 906 OF THE SARBANES</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OXLEY ACT OF 2002</w:t>
      </w:r>
    </w:p>
    <w:p>
      <w:pPr>
        <w:spacing w:after="0" w:line="141" w:lineRule="exact"/>
        <w:rPr>
          <w:sz w:val="20"/>
          <w:szCs w:val="20"/>
          <w:color w:val="auto"/>
        </w:rPr>
      </w:pPr>
    </w:p>
    <w:p>
      <w:pPr>
        <w:ind w:right="160" w:firstLine="709"/>
        <w:spacing w:after="0" w:line="194" w:lineRule="exact"/>
        <w:rPr>
          <w:sz w:val="20"/>
          <w:szCs w:val="20"/>
          <w:color w:val="auto"/>
        </w:rPr>
      </w:pPr>
      <w:r>
        <w:rPr>
          <w:rFonts w:ascii="Times New Roman" w:cs="Times New Roman" w:eastAsia="Times New Roman" w:hAnsi="Times New Roman"/>
          <w:sz w:val="14"/>
          <w:szCs w:val="14"/>
          <w:color w:val="auto"/>
        </w:rPr>
        <w:t>Pursuant to 18 U.S.C. Section 1350, as created by Section 906 of the Sarbanes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Oxley Act of 2002, the undersigned officer of Geron Corporation (the “Company”) hereby certifies, to such officer’s knowledge, that:</w:t>
      </w:r>
    </w:p>
    <w:p>
      <w:pPr>
        <w:spacing w:after="0" w:line="42" w:lineRule="exact"/>
        <w:rPr>
          <w:sz w:val="20"/>
          <w:szCs w:val="20"/>
          <w:color w:val="auto"/>
        </w:rPr>
      </w:pPr>
    </w:p>
    <w:p>
      <w:pPr>
        <w:ind w:left="1620" w:right="160" w:hanging="905"/>
        <w:spacing w:after="0" w:line="194" w:lineRule="exact"/>
        <w:tabs>
          <w:tab w:leader="none" w:pos="1615"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of the Company for the year ended December 31, 2025 (the “Report”) fully complies with the requirements of Section 13(a) or Section 15(d), as applicable, of the Securities Exchange Act of 1934, as amended; and</w:t>
      </w:r>
    </w:p>
    <w:p>
      <w:pPr>
        <w:spacing w:after="0" w:line="73" w:lineRule="exact"/>
        <w:rPr>
          <w:rFonts w:ascii="Times New Roman" w:cs="Times New Roman" w:eastAsia="Times New Roman" w:hAnsi="Times New Roman"/>
          <w:sz w:val="14"/>
          <w:szCs w:val="14"/>
          <w:color w:val="auto"/>
        </w:rPr>
      </w:pPr>
    </w:p>
    <w:p>
      <w:pPr>
        <w:ind w:left="1600" w:hanging="885"/>
        <w:spacing w:after="0"/>
        <w:tabs>
          <w:tab w:leader="none" w:pos="1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4"/>
          <w:szCs w:val="14"/>
          <w:color w:val="auto"/>
        </w:rPr>
        <w:t>Dated: March 2, 2026</w:t>
      </w:r>
      <w:r>
        <w:rPr>
          <w:sz w:val="20"/>
          <w:szCs w:val="20"/>
          <w:color w:val="auto"/>
        </w:rPr>
        <w:tab/>
      </w:r>
      <w:r>
        <w:rPr>
          <w:rFonts w:ascii="Times New Roman" w:cs="Times New Roman" w:eastAsia="Times New Roman" w:hAnsi="Times New Roman"/>
          <w:sz w:val="14"/>
          <w:szCs w:val="14"/>
          <w:color w:val="auto"/>
        </w:rPr>
        <w:t>/s/ Harout Semerjian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29845</wp:posOffset>
            </wp:positionV>
            <wp:extent cx="315722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3157220" cy="6985"/>
                    </a:xfrm>
                    <a:prstGeom prst="rect">
                      <a:avLst/>
                    </a:prstGeom>
                    <a:noFill/>
                  </pic:spPr>
                </pic:pic>
              </a:graphicData>
            </a:graphic>
          </wp:anchor>
        </w:drawing>
      </w:r>
    </w:p>
    <w:p>
      <w:pPr>
        <w:spacing w:after="0" w:line="4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Harout Semerjian</w:t>
      </w:r>
    </w:p>
    <w:p>
      <w:pPr>
        <w:spacing w:after="0" w:line="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224" w:lineRule="exact"/>
        <w:rPr>
          <w:sz w:val="20"/>
          <w:szCs w:val="20"/>
          <w:color w:val="auto"/>
        </w:rPr>
      </w:pPr>
    </w:p>
    <w:p>
      <w:pPr>
        <w:jc w:val="both"/>
        <w:ind w:right="80" w:firstLine="709"/>
        <w:spacing w:after="0" w:line="187" w:lineRule="exact"/>
        <w:rPr>
          <w:sz w:val="20"/>
          <w:szCs w:val="20"/>
          <w:color w:val="auto"/>
        </w:rPr>
      </w:pPr>
      <w:r>
        <w:rPr>
          <w:rFonts w:ascii="Times New Roman" w:cs="Times New Roman" w:eastAsia="Times New Roman" w:hAnsi="Times New Roman"/>
          <w:sz w:val="14"/>
          <w:szCs w:val="14"/>
          <w:color w:val="auto"/>
        </w:rPr>
        <w:t>This certification accompanies the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irrespective of any general incorporation language contained in such filing.</w:t>
      </w:r>
    </w:p>
    <w:p>
      <w:pPr>
        <w:sectPr>
          <w:pgSz w:w="11900" w:h="16838" w:orient="portrait"/>
          <w:cols w:equalWidth="0" w:num="1">
            <w:col w:w="11280"/>
          </w:cols>
          <w:pgMar w:left="300" w:top="939"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8"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SECTION 906 OF THE SARBANES</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OXLEY ACT OF 2002</w:t>
      </w:r>
    </w:p>
    <w:p>
      <w:pPr>
        <w:spacing w:after="0" w:line="141" w:lineRule="exact"/>
        <w:rPr>
          <w:sz w:val="20"/>
          <w:szCs w:val="20"/>
          <w:color w:val="auto"/>
        </w:rPr>
      </w:pPr>
    </w:p>
    <w:p>
      <w:pPr>
        <w:ind w:right="160" w:firstLine="709"/>
        <w:spacing w:after="0" w:line="194" w:lineRule="exact"/>
        <w:rPr>
          <w:sz w:val="20"/>
          <w:szCs w:val="20"/>
          <w:color w:val="auto"/>
        </w:rPr>
      </w:pPr>
      <w:r>
        <w:rPr>
          <w:rFonts w:ascii="Times New Roman" w:cs="Times New Roman" w:eastAsia="Times New Roman" w:hAnsi="Times New Roman"/>
          <w:sz w:val="14"/>
          <w:szCs w:val="14"/>
          <w:color w:val="auto"/>
        </w:rPr>
        <w:t>Pursuant to 18 U.S.C. Section 1350, as created by Section 906 of the Sarbanes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Oxley Act of 2002, the undersigned officer of Geron Corporation (the “Company”) hereby certifies, to such officer’s knowledge, that:</w:t>
      </w:r>
    </w:p>
    <w:p>
      <w:pPr>
        <w:spacing w:after="0" w:line="42" w:lineRule="exact"/>
        <w:rPr>
          <w:sz w:val="20"/>
          <w:szCs w:val="20"/>
          <w:color w:val="auto"/>
        </w:rPr>
      </w:pPr>
    </w:p>
    <w:p>
      <w:pPr>
        <w:ind w:left="1620" w:right="160" w:hanging="905"/>
        <w:spacing w:after="0" w:line="194" w:lineRule="exact"/>
        <w:tabs>
          <w:tab w:leader="none" w:pos="1615"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of the Company for the year ended December 31, 2025 (the “Report”) fully complies with the requirements of Section 13(a) or Section 15(d), as applicable, of the Securities Exchange Act of 1934, as amended; and</w:t>
      </w:r>
    </w:p>
    <w:p>
      <w:pPr>
        <w:spacing w:after="0" w:line="73" w:lineRule="exact"/>
        <w:rPr>
          <w:rFonts w:ascii="Times New Roman" w:cs="Times New Roman" w:eastAsia="Times New Roman" w:hAnsi="Times New Roman"/>
          <w:sz w:val="14"/>
          <w:szCs w:val="14"/>
          <w:color w:val="auto"/>
        </w:rPr>
      </w:pPr>
    </w:p>
    <w:p>
      <w:pPr>
        <w:ind w:left="1600" w:hanging="885"/>
        <w:spacing w:after="0"/>
        <w:tabs>
          <w:tab w:leader="none" w:pos="160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4"/>
          <w:szCs w:val="14"/>
          <w:color w:val="auto"/>
        </w:rPr>
        <w:t>Dated: March 2, 2026</w:t>
      </w:r>
      <w:r>
        <w:rPr>
          <w:sz w:val="20"/>
          <w:szCs w:val="20"/>
          <w:color w:val="auto"/>
        </w:rPr>
        <w:tab/>
      </w:r>
      <w:r>
        <w:rPr>
          <w:rFonts w:ascii="Times New Roman" w:cs="Times New Roman" w:eastAsia="Times New Roman" w:hAnsi="Times New Roman"/>
          <w:sz w:val="14"/>
          <w:szCs w:val="14"/>
          <w:color w:val="auto"/>
        </w:rPr>
        <w:t>/s/ M</w:t>
      </w:r>
      <w:r>
        <w:rPr>
          <w:rFonts w:ascii="Times New Roman" w:cs="Times New Roman" w:eastAsia="Times New Roman" w:hAnsi="Times New Roman"/>
          <w:sz w:val="10"/>
          <w:szCs w:val="10"/>
          <w:color w:val="auto"/>
        </w:rPr>
        <w:t>ICHELLE</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10"/>
          <w:szCs w:val="10"/>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29845</wp:posOffset>
            </wp:positionV>
            <wp:extent cx="315722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3157220" cy="6985"/>
                    </a:xfrm>
                    <a:prstGeom prst="rect">
                      <a:avLst/>
                    </a:prstGeom>
                    <a:noFill/>
                  </pic:spPr>
                </pic:pic>
              </a:graphicData>
            </a:graphic>
          </wp:anchor>
        </w:drawing>
      </w:r>
    </w:p>
    <w:p>
      <w:pPr>
        <w:spacing w:after="0" w:line="4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MICHELLE ROBERTSON</w:t>
      </w:r>
    </w:p>
    <w:p>
      <w:pPr>
        <w:spacing w:after="0" w:line="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i w:val="1"/>
          <w:iCs w:val="1"/>
          <w:color w:val="auto"/>
        </w:rPr>
        <w:t>Executive Vice President, Finance,</w:t>
      </w:r>
    </w:p>
    <w:p>
      <w:pPr>
        <w:spacing w:after="0" w:line="1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i w:val="1"/>
          <w:iCs w:val="1"/>
          <w:color w:val="auto"/>
        </w:rPr>
        <w:t>Chief Financial Officer and Treasurer</w:t>
      </w:r>
    </w:p>
    <w:p>
      <w:pPr>
        <w:spacing w:after="0" w:line="224" w:lineRule="exact"/>
        <w:rPr>
          <w:sz w:val="20"/>
          <w:szCs w:val="20"/>
          <w:color w:val="auto"/>
        </w:rPr>
      </w:pPr>
    </w:p>
    <w:p>
      <w:pPr>
        <w:jc w:val="both"/>
        <w:ind w:right="80" w:firstLine="709"/>
        <w:spacing w:after="0" w:line="187" w:lineRule="exact"/>
        <w:rPr>
          <w:sz w:val="20"/>
          <w:szCs w:val="20"/>
          <w:color w:val="auto"/>
        </w:rPr>
      </w:pPr>
      <w:r>
        <w:rPr>
          <w:rFonts w:ascii="Times New Roman" w:cs="Times New Roman" w:eastAsia="Times New Roman" w:hAnsi="Times New Roman"/>
          <w:sz w:val="14"/>
          <w:szCs w:val="14"/>
          <w:color w:val="auto"/>
        </w:rPr>
        <w:t>This certification accompanies the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irrespective of any general incorporation language contained in such filing.</w:t>
      </w:r>
    </w:p>
    <w:sectPr>
      <w:pgSz w:w="11900" w:h="16838" w:orient="portrait"/>
      <w:cols w:equalWidth="0" w:num="1">
        <w:col w:w="11280"/>
      </w:cols>
      <w:pgMar w:left="300" w:top="93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1)"/>
      <w:numFmt w:val="decimal"/>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1)"/>
      <w:numFmt w:val="lowerRoman"/>
      <w:start w:val="3"/>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1)"/>
      <w:numFmt w:val="decimal"/>
      <w:start w:val="1"/>
    </w:lvl>
  </w:abstractNum>
  <w:abstractNum w:abstractNumId="58">
    <w:nsid w:val="14FCE74E"/>
    <w:multiLevelType w:val="hybridMultilevel"/>
    <w:lvl w:ilvl="0">
      <w:lvlJc w:val="left"/>
      <w:lvlText w:val="%1."/>
      <w:numFmt w:val="decimal"/>
      <w:start w:val="7"/>
    </w:lvl>
  </w:abstractNum>
  <w:abstractNum w:abstractNumId="59">
    <w:nsid w:val="6A3DD3E8"/>
    <w:multiLevelType w:val="hybridMultilevel"/>
    <w:lvl w:ilvl="0">
      <w:lvlJc w:val="left"/>
      <w:lvlText w:val="%1."/>
      <w:numFmt w:val="decimal"/>
      <w:start w:val="8"/>
    </w:lvl>
  </w:abstractNum>
  <w:abstractNum w:abstractNumId="60">
    <w:nsid w:val="71C91298"/>
    <w:multiLevelType w:val="hybridMultilevel"/>
    <w:lvl w:ilvl="0">
      <w:lvlJc w:val="left"/>
      <w:lvlText w:val="%1."/>
      <w:numFmt w:val="decimal"/>
      <w:start w:val="9"/>
    </w:lvl>
  </w:abstractNum>
  <w:abstractNum w:abstractNumId="61">
    <w:nsid w:val="9DAF632"/>
    <w:multiLevelType w:val="hybridMultilevel"/>
    <w:lvl w:ilvl="0">
      <w:lvlJc w:val="left"/>
      <w:lvlText w:val="%1."/>
      <w:numFmt w:val="decimal"/>
      <w:start w:val="1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1)"/>
      <w:numFmt w:val="decimal"/>
      <w:start w:val="1"/>
    </w:lvl>
  </w:abstractNum>
  <w:abstractNum w:abstractNumId="65">
    <w:nsid w:val="1D545C4D"/>
    <w:multiLevelType w:val="hybridMultilevel"/>
    <w:lvl w:ilvl="0">
      <w:lvlJc w:val="left"/>
      <w:lvlText w:val="(%1)"/>
      <w:numFmt w:val="decimal"/>
      <w:start w:val="3"/>
    </w:lvl>
  </w:abstractNum>
  <w:abstractNum w:abstractNumId="66">
    <w:nsid w:val="59ADEA3D"/>
    <w:multiLevelType w:val="hybridMultilevel"/>
    <w:lvl w:ilvl="0">
      <w:lvlJc w:val="left"/>
      <w:lvlText w:val="%1"/>
      <w:numFmt w:val="decimal"/>
      <w:start w:val="101"/>
    </w:lvl>
  </w:abstractNum>
  <w:abstractNum w:abstractNumId="67">
    <w:nsid w:val="288F1A34"/>
    <w:multiLevelType w:val="hybridMultilevel"/>
    <w:lvl w:ilvl="0">
      <w:lvlJc w:val="left"/>
      <w:lvlText w:val="^"/>
      <w:numFmt w:val="bullet"/>
      <w:start w:val="1"/>
    </w:lvl>
    <w:lvl w:ilvl="1">
      <w:lvlJc w:val="left"/>
      <w:lvlText w:val="%2"/>
      <w:numFmt w:val="decimal"/>
      <w:start w:val="104"/>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1."/>
      <w:numFmt w:val="decimal"/>
      <w:start w:val="1"/>
    </w:lvl>
    <w:lvl w:ilvl="1">
      <w:lvlJc w:val="left"/>
      <w:lvlText w:val="(%2)"/>
      <w:numFmt w:val="lowerLetter"/>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1)"/>
      <w:numFmt w:val="lowerLetter"/>
      <w:start w:val="2"/>
    </w:lvl>
  </w:abstractNum>
  <w:abstractNum w:abstractNumId="73">
    <w:nsid w:val="53584BCB"/>
    <w:multiLevelType w:val="hybridMultilevel"/>
    <w:lvl w:ilvl="0">
      <w:lvlJc w:val="left"/>
      <w:lvlText w:val="%1."/>
      <w:numFmt w:val="decimal"/>
      <w:start w:val="2"/>
    </w:lvl>
    <w:lvl w:ilvl="1">
      <w:lvlJc w:val="left"/>
      <w:lvlText w:val="(%2)"/>
      <w:numFmt w:val="lowerLetter"/>
      <w:start w:val="1"/>
    </w:lvl>
  </w:abstractNum>
  <w:abstractNum w:abstractNumId="74">
    <w:nsid w:val="415E286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75">
    <w:nsid w:val="7C58FD05"/>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76">
    <w:nsid w:val="23D86AAC"/>
    <w:multiLevelType w:val="hybridMultilevel"/>
    <w:lvl w:ilvl="0">
      <w:lvlJc w:val="left"/>
      <w:lvlText w:val="%1."/>
      <w:numFmt w:val="decimal"/>
      <w:start w:val="3"/>
    </w:lvl>
  </w:abstractNum>
  <w:abstractNum w:abstractNumId="77">
    <w:nsid w:val="45E6D486"/>
    <w:multiLevelType w:val="hybridMultilevel"/>
    <w:lvl w:ilvl="0">
      <w:lvlJc w:val="left"/>
      <w:lvlText w:val="(%1)"/>
      <w:numFmt w:val="lowerLetter"/>
      <w:start w:val="1"/>
    </w:lvl>
  </w:abstractNum>
  <w:abstractNum w:abstractNumId="78">
    <w:nsid w:val="5C10FE21"/>
    <w:multiLevelType w:val="hybridMultilevel"/>
    <w:lvl w:ilvl="0">
      <w:lvlJc w:val="left"/>
      <w:lvlText w:val="(%1)"/>
      <w:numFmt w:val="lowerLetter"/>
      <w:start w:val="2"/>
    </w:lvl>
  </w:abstractNum>
  <w:abstractNum w:abstractNumId="79">
    <w:nsid w:val="E7FFA2B"/>
    <w:multiLevelType w:val="hybridMultilevel"/>
    <w:lvl w:ilvl="0">
      <w:lvlJc w:val="left"/>
      <w:lvlText w:val="(%1)"/>
      <w:numFmt w:val="lowerLetter"/>
      <w:start w:val="3"/>
    </w:lvl>
  </w:abstractNum>
  <w:abstractNum w:abstractNumId="80">
    <w:nsid w:val="3C5991AA"/>
    <w:multiLevelType w:val="hybridMultilevel"/>
    <w:lvl w:ilvl="0">
      <w:lvlJc w:val="left"/>
      <w:lvlText w:val="(%1)"/>
      <w:numFmt w:val="lowerLetter"/>
      <w:start w:val="4"/>
    </w:lvl>
  </w:abstractNum>
  <w:abstractNum w:abstractNumId="81">
    <w:nsid w:val="4BD8591A"/>
    <w:multiLevelType w:val="hybridMultilevel"/>
    <w:lvl w:ilvl="0">
      <w:lvlJc w:val="left"/>
      <w:lvlText w:val="(%1)"/>
      <w:numFmt w:val="lowerLetter"/>
      <w:start w:val="5"/>
    </w:lvl>
  </w:abstractNum>
  <w:abstractNum w:abstractNumId="82">
    <w:nsid w:val="78DF6A55"/>
    <w:multiLevelType w:val="hybridMultilevel"/>
    <w:lvl w:ilvl="0">
      <w:lvlJc w:val="left"/>
      <w:lvlText w:val="(%1)"/>
      <w:numFmt w:val="lowerLetter"/>
      <w:start w:val="6"/>
    </w:lvl>
  </w:abstractNum>
  <w:abstractNum w:abstractNumId="83">
    <w:nsid w:val="39B7AAA2"/>
    <w:multiLevelType w:val="hybridMultilevel"/>
    <w:lvl w:ilvl="0">
      <w:lvlJc w:val="left"/>
      <w:lvlText w:val="(%1)"/>
      <w:numFmt w:val="lowerLetter"/>
      <w:start w:val="7"/>
    </w:lvl>
  </w:abstractNum>
  <w:abstractNum w:abstractNumId="84">
    <w:nsid w:val="2B0D8DBE"/>
    <w:multiLevelType w:val="hybridMultilevel"/>
    <w:lvl w:ilvl="0">
      <w:lvlJc w:val="left"/>
      <w:lvlText w:val="(%1)"/>
      <w:numFmt w:val="lowerLetter"/>
      <w:start w:val="8"/>
    </w:lvl>
  </w:abstractNum>
  <w:abstractNum w:abstractNumId="85">
    <w:nsid w:val="6C80EC70"/>
    <w:multiLevelType w:val="hybridMultilevel"/>
    <w:lvl w:ilvl="0">
      <w:lvlJc w:val="left"/>
      <w:lvlText w:val="(%1)"/>
      <w:numFmt w:val="lowerRoman"/>
      <w:start w:val="1"/>
    </w:lvl>
  </w:abstractNum>
  <w:abstractNum w:abstractNumId="86">
    <w:nsid w:val="379E21B5"/>
    <w:multiLevelType w:val="hybridMultilevel"/>
    <w:lvl w:ilvl="0">
      <w:lvlJc w:val="left"/>
      <w:lvlText w:val="(%1)"/>
      <w:numFmt w:val="lowerLetter"/>
      <w:start w:val="10"/>
    </w:lvl>
  </w:abstractNum>
  <w:abstractNum w:abstractNumId="87">
    <w:nsid w:val="69E373"/>
    <w:multiLevelType w:val="hybridMultilevel"/>
    <w:lvl w:ilvl="0">
      <w:lvlJc w:val="left"/>
      <w:lvlText w:val="(%1)"/>
      <w:numFmt w:val="lowerLetter"/>
      <w:start w:val="11"/>
    </w:lvl>
  </w:abstractNum>
  <w:abstractNum w:abstractNumId="88">
    <w:nsid w:val="2C27173B"/>
    <w:multiLevelType w:val="hybridMultilevel"/>
    <w:lvl w:ilvl="0">
      <w:lvlJc w:val="left"/>
      <w:lvlText w:val="(%1)"/>
      <w:numFmt w:val="lowerLetter"/>
      <w:start w:val="12"/>
    </w:lvl>
  </w:abstractNum>
  <w:abstractNum w:abstractNumId="89">
    <w:nsid w:val="4C9B0904"/>
    <w:multiLevelType w:val="hybridMultilevel"/>
    <w:lvl w:ilvl="0">
      <w:lvlJc w:val="left"/>
      <w:lvlText w:val="(%1)"/>
      <w:numFmt w:val="lowerRoman"/>
      <w:start w:val="1"/>
    </w:lvl>
  </w:abstractNum>
  <w:abstractNum w:abstractNumId="90">
    <w:nsid w:val="6AA7B75C"/>
    <w:multiLevelType w:val="hybridMultilevel"/>
    <w:lvl w:ilvl="0">
      <w:lvlJc w:val="left"/>
      <w:lvlText w:val="(%1)"/>
      <w:numFmt w:val="lowerRoman"/>
      <w:start w:val="3"/>
    </w:lvl>
  </w:abstractNum>
  <w:abstractNum w:abstractNumId="91">
    <w:nsid w:val="1DF029D3"/>
    <w:multiLevelType w:val="hybridMultilevel"/>
    <w:lvl w:ilvl="0">
      <w:lvlJc w:val="left"/>
      <w:lvlText w:val="(%1)"/>
      <w:numFmt w:val="lowerLetter"/>
      <w:start w:val="13"/>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lowerRoman"/>
      <w:start w:val="1"/>
    </w:lvl>
  </w:abstractNum>
  <w:abstractNum w:abstractNumId="94">
    <w:nsid w:val="3DB012B3"/>
    <w:multiLevelType w:val="hybridMultilevel"/>
    <w:lvl w:ilvl="0">
      <w:lvlJc w:val="left"/>
      <w:lvlText w:val="(%1)"/>
      <w:numFmt w:val="lowerLetter"/>
      <w:start w:val="1"/>
    </w:lvl>
  </w:abstractNum>
  <w:abstractNum w:abstractNumId="95">
    <w:nsid w:val="2708C9AF"/>
    <w:multiLevelType w:val="hybridMultilevel"/>
    <w:lvl w:ilvl="0">
      <w:lvlJc w:val="left"/>
      <w:lvlText w:val="(%1)"/>
      <w:numFmt w:val="decimal"/>
      <w:start w:val="7"/>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2"/>
    </w:lvl>
    <w:lvl w:ilvl="1">
      <w:lvlJc w:val="left"/>
      <w:lvlText w:val="(%2)"/>
      <w:numFmt w:val="lowerLetter"/>
      <w:start w:val="3"/>
    </w:lvl>
  </w:abstractNum>
  <w:abstractNum w:abstractNumId="98">
    <w:nsid w:val="4F97E3E4"/>
    <w:multiLevelType w:val="hybridMultilevel"/>
    <w:lvl w:ilvl="0">
      <w:lvlJc w:val="left"/>
      <w:lvlText w:val="(%1)"/>
      <w:numFmt w:val="lowerLetter"/>
      <w:start w:val="1"/>
    </w:lvl>
  </w:abstractNum>
  <w:abstractNum w:abstractNumId="99">
    <w:nsid w:val="53B0A9E"/>
    <w:multiLevelType w:val="hybridMultilevel"/>
    <w:lvl w:ilvl="0">
      <w:lvlJc w:val="left"/>
      <w:lvlText w:val="(%1)"/>
      <w:numFmt w:val="lowerRoman"/>
      <w:start w:val="1"/>
    </w:lvl>
  </w:abstractNum>
  <w:abstractNum w:abstractNumId="100">
    <w:nsid w:val="34FD6B4F"/>
    <w:multiLevelType w:val="hybridMultilevel"/>
    <w:lvl w:ilvl="0">
      <w:lvlJc w:val="left"/>
      <w:lvlText w:val="(%1)"/>
      <w:numFmt w:val="lowerLetter"/>
      <w:start w:val="1"/>
    </w:lvl>
  </w:abstractNum>
  <w:abstractNum w:abstractNumId="101">
    <w:nsid w:val="5915FF32"/>
    <w:multiLevelType w:val="hybridMultilevel"/>
    <w:lvl w:ilvl="0">
      <w:lvlJc w:val="left"/>
      <w:lvlText w:val="(%1)"/>
      <w:numFmt w:val="lowerLetter"/>
      <w:start w:val="3"/>
    </w:lvl>
  </w:abstractNum>
  <w:abstractNum w:abstractNumId="102">
    <w:nsid w:val="56438D15"/>
    <w:multiLevelType w:val="hybridMultilevel"/>
    <w:lvl w:ilvl="0">
      <w:lvlJc w:val="left"/>
      <w:lvlText w:val="(%1)"/>
      <w:numFmt w:val="lowerRoman"/>
      <w:start w:val="2"/>
    </w:lvl>
  </w:abstractNum>
  <w:abstractNum w:abstractNumId="103">
    <w:nsid w:val="519E3149"/>
    <w:multiLevelType w:val="hybridMultilevel"/>
    <w:lvl w:ilvl="0">
      <w:lvlJc w:val="left"/>
      <w:lvlText w:val="%1."/>
      <w:numFmt w:val="decimal"/>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1."/>
      <w:numFmt w:val="decimal"/>
      <w:start w:val="1"/>
    </w:lvl>
  </w:abstractNum>
  <w:abstractNum w:abstractNumId="106">
    <w:nsid w:val="4DF72E4E"/>
    <w:multiLevelType w:val="hybridMultilevel"/>
    <w:lvl w:ilvl="0">
      <w:lvlJc w:val="left"/>
      <w:lvlText w:val="%1."/>
      <w:numFmt w:val="decimal"/>
      <w:start w:val="3"/>
    </w:lvl>
  </w:abstractNum>
  <w:abstractNum w:abstractNumId="107">
    <w:nsid w:val="5046B5A9"/>
    <w:multiLevelType w:val="hybridMultilevel"/>
    <w:lvl w:ilvl="0">
      <w:lvlJc w:val="left"/>
      <w:lvlText w:val="%1."/>
      <w:numFmt w:val="decimal"/>
      <w:start w:val="5"/>
    </w:lvl>
  </w:abstractNum>
  <w:abstractNum w:abstractNumId="108">
    <w:nsid w:val="5D888A08"/>
    <w:multiLevelType w:val="hybridMultilevel"/>
    <w:lvl w:ilvl="0">
      <w:lvlJc w:val="left"/>
      <w:lvlText w:val="%1."/>
      <w:numFmt w:val="decimal"/>
      <w:start w:val="6"/>
    </w:lvl>
  </w:abstractNum>
  <w:abstractNum w:abstractNumId="109">
    <w:nsid w:val="2A082C70"/>
    <w:multiLevelType w:val="hybridMultilevel"/>
    <w:lvl w:ilvl="0">
      <w:lvlJc w:val="left"/>
      <w:lvlText w:val="%1."/>
      <w:numFmt w:val="decimal"/>
      <w:start w:val="1"/>
    </w:lvl>
  </w:abstractNum>
  <w:abstractNum w:abstractNumId="110">
    <w:nsid w:val="5EC6AFD4"/>
    <w:multiLevelType w:val="hybridMultilevel"/>
    <w:lvl w:ilvl="0">
      <w:lvlJc w:val="left"/>
      <w:lvlText w:val="%1."/>
      <w:numFmt w:val="decimal"/>
      <w:start w:val="1"/>
    </w:lvl>
  </w:abstractNum>
  <w:abstractNum w:abstractNumId="111">
    <w:nsid w:val="19E21BB2"/>
    <w:multiLevelType w:val="hybridMultilevel"/>
    <w:lvl w:ilvl="0">
      <w:lvlJc w:val="left"/>
      <w:lvlText w:val="%1."/>
      <w:numFmt w:val="decimal"/>
      <w:start w:val="1"/>
    </w:lvl>
    <w:lvl w:ilvl="1">
      <w:lvlJc w:val="left"/>
      <w:lvlText w:val="%2:"/>
      <w:numFmt w:val="upperLetter"/>
      <w:start w:val="1"/>
    </w:lvl>
  </w:abstractNum>
  <w:abstractNum w:abstractNumId="112">
    <w:nsid w:val="75E0858A"/>
    <w:multiLevelType w:val="hybridMultilevel"/>
    <w:lvl w:ilvl="0">
      <w:lvlJc w:val="left"/>
      <w:lvlText w:val="%1."/>
      <w:numFmt w:val="decimal"/>
      <w:start w:val="5"/>
    </w:lvl>
  </w:abstractNum>
  <w:abstractNum w:abstractNumId="113">
    <w:nsid w:val="57A61A29"/>
    <w:multiLevelType w:val="hybridMultilevel"/>
    <w:lvl w:ilvl="0">
      <w:lvlJc w:val="left"/>
      <w:lvlText w:val="%1"/>
      <w:numFmt w:val="decimal"/>
      <w:start w:val="1"/>
    </w:lvl>
    <w:lvl w:ilvl="1">
      <w:lvlJc w:val="left"/>
      <w:lvlText w:val="%2:"/>
      <w:numFmt w:val="upperLetter"/>
      <w:start w:val="1"/>
    </w:lvl>
  </w:abstractNum>
  <w:abstractNum w:abstractNumId="114">
    <w:nsid w:val="5399C654"/>
    <w:multiLevelType w:val="hybridMultilevel"/>
    <w:lvl w:ilvl="0">
      <w:lvlJc w:val="left"/>
      <w:lvlText w:val="%1."/>
      <w:numFmt w:val="decimal"/>
      <w:start w:val="6"/>
    </w:lvl>
    <w:lvl w:ilvl="1">
      <w:lvlJc w:val="left"/>
      <w:lvlText w:val="%2:"/>
      <w:numFmt w:val="upperLetter"/>
      <w:start w:val="1"/>
    </w:lvl>
  </w:abstractNum>
  <w:abstractNum w:abstractNumId="115">
    <w:nsid w:val="20EE1348"/>
    <w:multiLevelType w:val="hybridMultilevel"/>
    <w:lvl w:ilvl="0">
      <w:lvlJc w:val="left"/>
      <w:lvlText w:val="%1."/>
      <w:numFmt w:val="decimal"/>
      <w:start w:val="10"/>
    </w:lvl>
    <w:lvl w:ilvl="1">
      <w:lvlJc w:val="left"/>
      <w:lvlText w:val="%2:"/>
      <w:numFmt w:val="upperLetter"/>
      <w:start w:val="1"/>
    </w:lvl>
  </w:abstractNum>
  <w:abstractNum w:abstractNumId="116">
    <w:nsid w:val="4427069A"/>
    <w:multiLevelType w:val="hybridMultilevel"/>
    <w:lvl w:ilvl="0">
      <w:lvlJc w:val="left"/>
      <w:lvlText w:val="%1"/>
      <w:numFmt w:val="decimal"/>
      <w:start w:val="1"/>
    </w:lvl>
    <w:lvl w:ilvl="1">
      <w:lvlJc w:val="left"/>
      <w:lvlText w:val="%2:"/>
      <w:numFmt w:val="upperLetter"/>
      <w:start w:val="1"/>
    </w:lvl>
  </w:abstractNum>
  <w:abstractNum w:abstractNumId="117">
    <w:nsid w:val="B37E80A"/>
    <w:multiLevelType w:val="hybridMultilevel"/>
    <w:lvl w:ilvl="0">
      <w:lvlJc w:val="left"/>
      <w:lvlText w:val="%1."/>
      <w:numFmt w:val="decimal"/>
      <w:start w:val="14"/>
    </w:lvl>
    <w:lvl w:ilvl="1">
      <w:lvlJc w:val="left"/>
      <w:lvlText w:val="%2:"/>
      <w:numFmt w:val="upperLetter"/>
      <w:start w:val="1"/>
    </w:lvl>
  </w:abstractNum>
  <w:abstractNum w:abstractNumId="118">
    <w:nsid w:val="2157F6BC"/>
    <w:multiLevelType w:val="hybridMultilevel"/>
    <w:lvl w:ilvl="0">
      <w:lvlJc w:val="left"/>
      <w:lvlText w:val="%1."/>
      <w:numFmt w:val="decimal"/>
      <w:start w:val="15"/>
    </w:lvl>
    <w:lvl w:ilvl="1">
      <w:lvlJc w:val="left"/>
      <w:lvlText w:val="%2:"/>
      <w:numFmt w:val="upperLetter"/>
      <w:start w:val="1"/>
    </w:lvl>
  </w:abstractNum>
  <w:abstractNum w:abstractNumId="119">
    <w:nsid w:val="704E1DD5"/>
    <w:multiLevelType w:val="hybridMultilevel"/>
    <w:lvl w:ilvl="0">
      <w:lvlJc w:val="left"/>
      <w:lvlText w:val="%1."/>
      <w:numFmt w:val="decimal"/>
      <w:start w:val="16"/>
    </w:lvl>
    <w:lvl w:ilvl="1">
      <w:lvlJc w:val="left"/>
      <w:lvlText w:val="%2:"/>
      <w:numFmt w:val="upperLetter"/>
      <w:start w:val="1"/>
    </w:lvl>
  </w:abstractNum>
  <w:abstractNum w:abstractNumId="120">
    <w:nsid w:val="57D2F10E"/>
    <w:multiLevelType w:val="hybridMultilevel"/>
    <w:lvl w:ilvl="0">
      <w:lvlJc w:val="left"/>
      <w:lvlText w:val="%1."/>
      <w:numFmt w:val="decimal"/>
      <w:start w:val="18"/>
    </w:lvl>
    <w:lvl w:ilvl="1">
      <w:lvlJc w:val="left"/>
      <w:lvlText w:val="%2:"/>
      <w:numFmt w:val="upperLetter"/>
      <w:start w:val="1"/>
    </w:lvl>
  </w:abstractNum>
  <w:abstractNum w:abstractNumId="121">
    <w:nsid w:val="BFFAE18"/>
    <w:multiLevelType w:val="hybridMultilevel"/>
    <w:lvl w:ilvl="0">
      <w:lvlJc w:val="left"/>
      <w:lvlText w:val="%1."/>
      <w:numFmt w:val="decimal"/>
      <w:start w:val="19"/>
    </w:lvl>
  </w:abstractNum>
  <w:abstractNum w:abstractNumId="122">
    <w:nsid w:val="E3E47A8"/>
    <w:multiLevelType w:val="hybridMultilevel"/>
    <w:lvl w:ilvl="0">
      <w:lvlJc w:val="left"/>
      <w:lvlText w:val="%1:"/>
      <w:numFmt w:val="upperLetter"/>
      <w:start w:val="1"/>
    </w:lvl>
  </w:abstractNum>
  <w:abstractNum w:abstractNumId="123">
    <w:nsid w:val="2E48F044"/>
    <w:multiLevelType w:val="hybridMultilevel"/>
    <w:lvl w:ilvl="0">
      <w:lvlJc w:val="left"/>
      <w:lvlText w:val="%1."/>
      <w:numFmt w:val="decimal"/>
      <w:start w:val="1"/>
    </w:lvl>
    <w:lvl w:ilvl="1">
      <w:lvlJc w:val="left"/>
      <w:lvlText w:val="%2:"/>
      <w:numFmt w:val="upperLetter"/>
      <w:start w:val="1"/>
    </w:lvl>
  </w:abstractNum>
  <w:abstractNum w:abstractNumId="124">
    <w:nsid w:val="49D0FEAC"/>
    <w:multiLevelType w:val="hybridMultilevel"/>
    <w:lvl w:ilvl="0">
      <w:lvlJc w:val="left"/>
      <w:lvlText w:val="%1."/>
      <w:numFmt w:val="decimal"/>
      <w:start w:val="3"/>
    </w:lvl>
    <w:lvl w:ilvl="1">
      <w:lvlJc w:val="left"/>
      <w:lvlText w:val="%2:"/>
      <w:numFmt w:val="upperLetter"/>
      <w:start w:val="1"/>
    </w:lvl>
  </w:abstractNum>
  <w:abstractNum w:abstractNumId="125">
    <w:nsid w:val="4BEE5A5B"/>
    <w:multiLevelType w:val="hybridMultilevel"/>
    <w:lvl w:ilvl="0">
      <w:lvlJc w:val="left"/>
      <w:lvlText w:val="%1."/>
      <w:numFmt w:val="decimal"/>
      <w:start w:val="6"/>
    </w:lvl>
    <w:lvl w:ilvl="1">
      <w:lvlJc w:val="left"/>
      <w:lvlText w:val="%2:"/>
      <w:numFmt w:val="upperLetter"/>
      <w:start w:val="1"/>
    </w:lvl>
  </w:abstractNum>
  <w:abstractNum w:abstractNumId="126">
    <w:nsid w:val="5551B9F3"/>
    <w:multiLevelType w:val="hybridMultilevel"/>
    <w:lvl w:ilvl="0">
      <w:lvlJc w:val="left"/>
      <w:lvlText w:val="%1:"/>
      <w:numFmt w:val="upperLetter"/>
      <w:start w:val="1"/>
    </w:lvl>
  </w:abstractNum>
  <w:abstractNum w:abstractNumId="127">
    <w:nsid w:val="24F6AB8E"/>
    <w:multiLevelType w:val="hybridMultilevel"/>
    <w:lvl w:ilvl="0">
      <w:lvlJc w:val="left"/>
      <w:lvlText w:val="•"/>
      <w:numFmt w:val="bullet"/>
      <w:start w:val="1"/>
    </w:lvl>
  </w:abstractNum>
  <w:abstractNum w:abstractNumId="128">
    <w:nsid w:val="634C574C"/>
    <w:multiLevelType w:val="hybridMultilevel"/>
    <w:lvl w:ilvl="0">
      <w:lvlJc w:val="left"/>
      <w:lvlText w:val="•"/>
      <w:numFmt w:val="bullet"/>
      <w:start w:val="1"/>
    </w:lvl>
  </w:abstractNum>
  <w:abstractNum w:abstractNumId="129">
    <w:nsid w:val="24E99DD7"/>
    <w:multiLevelType w:val="hybridMultilevel"/>
    <w:lvl w:ilvl="0">
      <w:lvlJc w:val="left"/>
      <w:lvlText w:val="•"/>
      <w:numFmt w:val="bullet"/>
      <w:start w:val="1"/>
    </w:lvl>
  </w:abstractNum>
  <w:abstractNum w:abstractNumId="130">
    <w:nsid w:val="2A31B62D"/>
    <w:multiLevelType w:val="hybridMultilevel"/>
    <w:lvl w:ilvl="0">
      <w:lvlJc w:val="left"/>
      <w:lvlText w:val="•"/>
      <w:numFmt w:val="bullet"/>
      <w:start w:val="1"/>
    </w:lvl>
    <w:lvl w:ilvl="1">
      <w:lvlJc w:val="left"/>
      <w:lvlText w:val="o"/>
      <w:numFmt w:val="bullet"/>
      <w:start w:val="1"/>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
      <w:numFmt w:val="bullet"/>
      <w:start w:val="1"/>
    </w:lvl>
  </w:abstractNum>
  <w:abstractNum w:abstractNumId="133">
    <w:nsid w:val="754342"/>
    <w:multiLevelType w:val="hybridMultilevel"/>
    <w:lvl w:ilvl="0">
      <w:lvlJc w:val="left"/>
      <w:lvlText w:val="(%1)"/>
      <w:numFmt w:val="upperLetter"/>
      <w:start w:val="2"/>
    </w:lvl>
  </w:abstractNum>
  <w:abstractNum w:abstractNumId="134">
    <w:nsid w:val="69E7F3E5"/>
    <w:multiLevelType w:val="hybridMultilevel"/>
    <w:lvl w:ilvl="0">
      <w:lvlJc w:val="left"/>
      <w:lvlText w:val="•"/>
      <w:numFmt w:val="bullet"/>
      <w:start w:val="1"/>
    </w:lvl>
  </w:abstractNum>
  <w:abstractNum w:abstractNumId="135">
    <w:nsid w:val="2A6DE806"/>
    <w:multiLevelType w:val="hybridMultilevel"/>
    <w:lvl w:ilvl="0">
      <w:lvlJc w:val="left"/>
      <w:lvlText w:val="•"/>
      <w:numFmt w:val="bullet"/>
      <w:start w:val="1"/>
    </w:lvl>
  </w:abstractNum>
  <w:abstractNum w:abstractNumId="136">
    <w:nsid w:val="1816F8C4"/>
    <w:multiLevelType w:val="hybridMultilevel"/>
    <w:lvl w:ilvl="0">
      <w:lvlJc w:val="left"/>
      <w:lvlText w:val="•"/>
      <w:numFmt w:val="bullet"/>
      <w:start w:val="1"/>
    </w:lvl>
  </w:abstractNum>
  <w:abstractNum w:abstractNumId="137">
    <w:nsid w:val="37DF2233"/>
    <w:multiLevelType w:val="hybridMultilevel"/>
    <w:lvl w:ilvl="0">
      <w:lvlJc w:val="left"/>
      <w:lvlText w:val="•"/>
      <w:numFmt w:val="bullet"/>
      <w:start w:val="1"/>
    </w:lvl>
  </w:abstractNum>
  <w:abstractNum w:abstractNumId="138">
    <w:nsid w:val="7AB49DAF"/>
    <w:multiLevelType w:val="hybridMultilevel"/>
    <w:lvl w:ilvl="0">
      <w:lvlJc w:val="left"/>
      <w:lvlText w:val="•"/>
      <w:numFmt w:val="bullet"/>
      <w:start w:val="1"/>
    </w:lvl>
  </w:abstractNum>
  <w:abstractNum w:abstractNumId="139">
    <w:nsid w:val="759F82CD"/>
    <w:multiLevelType w:val="hybridMultilevel"/>
    <w:lvl w:ilvl="0">
      <w:lvlJc w:val="left"/>
      <w:lvlText w:val="•"/>
      <w:numFmt w:val="bullet"/>
      <w:start w:val="1"/>
    </w:lvl>
  </w:abstractNum>
  <w:abstractNum w:abstractNumId="140">
    <w:nsid w:val="61E74EA3"/>
    <w:multiLevelType w:val="hybridMultilevel"/>
    <w:lvl w:ilvl="0">
      <w:lvlJc w:val="left"/>
      <w:lvlText w:val="•"/>
      <w:numFmt w:val="bullet"/>
      <w:start w:val="1"/>
    </w:lvl>
  </w:abstractNum>
  <w:abstractNum w:abstractNumId="141">
    <w:nsid w:val="597B4D84"/>
    <w:multiLevelType w:val="hybridMultilevel"/>
    <w:lvl w:ilvl="0">
      <w:lvlJc w:val="left"/>
      <w:lvlText w:val="•"/>
      <w:numFmt w:val="bullet"/>
      <w:start w:val="1"/>
    </w:lvl>
  </w:abstractNum>
  <w:abstractNum w:abstractNumId="142">
    <w:nsid w:val="F819E7F"/>
    <w:multiLevelType w:val="hybridMultilevel"/>
    <w:lvl w:ilvl="0">
      <w:lvlJc w:val="left"/>
      <w:lvlText w:val="•"/>
      <w:numFmt w:val="bullet"/>
      <w:start w:val="1"/>
    </w:lvl>
  </w:abstractNum>
  <w:abstractNum w:abstractNumId="143">
    <w:nsid w:val="57C7D42D"/>
    <w:multiLevelType w:val="hybridMultilevel"/>
    <w:lvl w:ilvl="0">
      <w:lvlJc w:val="left"/>
      <w:lvlText w:val="%1)"/>
      <w:numFmt w:val="decimal"/>
      <w:start w:val="1"/>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lowerRoman"/>
      <w:start w:val="1"/>
    </w:lvl>
  </w:abstractNum>
  <w:abstractNum w:abstractNumId="147">
    <w:nsid w:val="75486E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244" Type="http://schemas.openxmlformats.org/officeDocument/2006/relationships/hyperlink" Target="https://www.sec.gov/Archives/edgar/data/886744/000120677412002137/exhibit3-3.htm" TargetMode="External"/><Relationship Id="rId245" Type="http://schemas.openxmlformats.org/officeDocument/2006/relationships/hyperlink" Target="https://www.sec.gov/Archives/edgar/data/886744/000120677412002137/exhibit3-1.htm" TargetMode="External"/><Relationship Id="rId246" Type="http://schemas.openxmlformats.org/officeDocument/2006/relationships/hyperlink" Target="https://www.sec.gov/Archives/edgar/data/886744/000120677419001851/geron3600721-ex31.htm" TargetMode="External"/><Relationship Id="rId247" Type="http://schemas.openxmlformats.org/officeDocument/2006/relationships/hyperlink" Target="https://www.sec.gov/Archives/edgar/data/0000886744/000120677421001453/geron3909221-ex31.htm" TargetMode="External"/><Relationship Id="rId248" Type="http://schemas.openxmlformats.org/officeDocument/2006/relationships/hyperlink" Target="https://www.sec.gov/Archives/edgar/data/886744/000095017023026166/gern-ex3_1.htm" TargetMode="External"/><Relationship Id="rId249" Type="http://schemas.openxmlformats.org/officeDocument/2006/relationships/hyperlink" Target="https://www.sec.gov/Archives/edgar/data/886744/000095017023070765/gern-ex3_1.htm" TargetMode="External"/><Relationship Id="rId250" Type="http://schemas.openxmlformats.org/officeDocument/2006/relationships/hyperlink" Target="https://www.sec.gov/Archives/edgar/data/886744/000095017024022056/gern-ex4_1.htm" TargetMode="External"/><Relationship Id="rId251" Type="http://schemas.openxmlformats.org/officeDocument/2006/relationships/hyperlink" Target="https://www.sec.gov/Archives/edgar/data/886744/000104746913002849/a2213377zex-4_1.htm" TargetMode="External"/><Relationship Id="rId252" Type="http://schemas.openxmlformats.org/officeDocument/2006/relationships/hyperlink" Target="https://www.sec.gov/Archives/edgar/data/886744/000120677420001694/geron3763911-ex41.htm" TargetMode="External"/><Relationship Id="rId253" Type="http://schemas.openxmlformats.org/officeDocument/2006/relationships/hyperlink" Target="https://www.sec.gov/Archives/edgar/data/886744/000156459022012684/gern-ex41_8.htm" TargetMode="External"/><Relationship Id="rId254" Type="http://schemas.openxmlformats.org/officeDocument/2006/relationships/hyperlink" Target="https://www.sec.gov/Archives/edgar/data/886744/000095017023000349/gern-ex4_1.htm" TargetMode="External"/><Relationship Id="rId255" Type="http://schemas.openxmlformats.org/officeDocument/2006/relationships/hyperlink" Target="https://www.sec.gov/Archives/edgar/data/886744/000095017024033921/gern-ex4_1.htm" TargetMode="External"/><Relationship Id="rId256" Type="http://schemas.openxmlformats.org/officeDocument/2006/relationships/hyperlink" Target="https://www.sec.gov/Archives/edgar/data/886744/000120677412000967/exhibit10-1.htm" TargetMode="External"/><Relationship Id="rId257" Type="http://schemas.openxmlformats.org/officeDocument/2006/relationships/hyperlink" Target="https://www.sec.gov/Archives/edgar/data/886744/000120677411001222/exhibit10-1.htm" TargetMode="External"/><Relationship Id="rId258" Type="http://schemas.openxmlformats.org/officeDocument/2006/relationships/hyperlink" Target="https://www.sec.gov/Archives/edgar/data/886744/000104746913002849/a2213377zex-10_11.htm" TargetMode="External"/><Relationship Id="rId259" Type="http://schemas.openxmlformats.org/officeDocument/2006/relationships/hyperlink" Target="https://www.sec.gov/Archives/edgar/data/886744/000104746913002849/a2213377zex-10_12.htm" TargetMode="External"/><Relationship Id="rId260" Type="http://schemas.openxmlformats.org/officeDocument/2006/relationships/hyperlink" Target="https://www.sec.gov/Archives/edgar/data/886744/000110465915035645/a15-6935_1ex10d2.htm" TargetMode="External"/><Relationship Id="rId261" Type="http://schemas.openxmlformats.org/officeDocument/2006/relationships/hyperlink" Target="https://www.sec.gov/Archives/edgar/data/886744/000088674425000032/exhibit101_geron2018equity.htm" TargetMode="External"/><Relationship Id="rId262" Type="http://schemas.openxmlformats.org/officeDocument/2006/relationships/hyperlink" Target="https://www.sec.gov/Archives/edgar/data/886744/000095017022022712/gern-ex10_1.htm" TargetMode="External"/><Relationship Id="rId263" Type="http://schemas.openxmlformats.org/officeDocument/2006/relationships/hyperlink" Target="https://www.sec.gov/Archives/edgar/data/886744/000095017022022712/gern-ex10_2.htm" TargetMode="External"/><Relationship Id="rId264" Type="http://schemas.openxmlformats.org/officeDocument/2006/relationships/hyperlink" Target="https://www.sec.gov/Archives/edgar/data/886744/000095017022022712/gern-ex10_3.htm" TargetMode="External"/><Relationship Id="rId265" Type="http://schemas.openxmlformats.org/officeDocument/2006/relationships/hyperlink" Target="https://www.sec.gov/Archives/edgar/data/886744/000156459019006759/gern-ex1013_107.htm" TargetMode="External"/><Relationship Id="rId266" Type="http://schemas.openxmlformats.org/officeDocument/2006/relationships/hyperlink" Target="https://www.sec.gov/Archives/edgar/data/886744/000156459019006759/gern-ex1015_105.htm" TargetMode="External"/><Relationship Id="rId267" Type="http://schemas.openxmlformats.org/officeDocument/2006/relationships/hyperlink" Target="https://www.sec.gov/Archives/edgar/data/886744/000095017025027982/gern-ex10_12.htm" TargetMode="External"/><Relationship Id="rId268" Type="http://schemas.openxmlformats.org/officeDocument/2006/relationships/hyperlink" Target="https://www.sec.gov/Archives/edgar/data/886744/000088674425000054/exhibit103-2018inducementp.htm" TargetMode="External"/><Relationship Id="rId269" Type="http://schemas.openxmlformats.org/officeDocument/2006/relationships/hyperlink" Target="https://www.sec.gov/Archives/edgar/data/886744/000095017022022712/gern-ex10_5.htm" TargetMode="External"/><Relationship Id="rId270" Type="http://schemas.openxmlformats.org/officeDocument/2006/relationships/hyperlink" Target="https://www.sec.gov/Archives/edgar/data/886744/000156459019006759/gern-ex1019_103.htm" TargetMode="External"/><Relationship Id="rId271" Type="http://schemas.openxmlformats.org/officeDocument/2006/relationships/hyperlink" Target="https://www.sec.gov/Archives/edgar/data/886744/000156459019006759/gern-ex1020_102.htm" TargetMode="External"/><Relationship Id="rId272" Type="http://schemas.openxmlformats.org/officeDocument/2006/relationships/hyperlink" Target="https://www.sec.gov/Archives/edgar/data/886744/000095017025027982/gern-ex10_17.htm" TargetMode="External"/><Relationship Id="rId273" Type="http://schemas.openxmlformats.org/officeDocument/2006/relationships/hyperlink" Target="https://www.sec.gov/Archives/edgar/data/886744/000088674425000032/exhibit102_geron2014esppas.htm" TargetMode="External"/><Relationship Id="rId274" Type="http://schemas.openxmlformats.org/officeDocument/2006/relationships/hyperlink" Target="https://www.sec.gov/Archives/edgar/data/886744/000095017022022712/gern-ex10_6.htm" TargetMode="External"/><Relationship Id="rId275" Type="http://schemas.openxmlformats.org/officeDocument/2006/relationships/hyperlink" Target="https://www.sec.gov/Archives/edgar/data/886744/000095017022022712/gern-ex10_7.htm" TargetMode="External"/><Relationship Id="rId276" Type="http://schemas.openxmlformats.org/officeDocument/2006/relationships/hyperlink" Target="https://www.sec.gov/Archives/edgar/data/886744/000156459018026208/gern-ex101_99.htm" TargetMode="External"/><Relationship Id="rId277" Type="http://schemas.openxmlformats.org/officeDocument/2006/relationships/hyperlink" Target="https://www.sec.gov/Archives/edgar/data/886744/000088674425000054/exhibit102-arseveranceplan.htm" TargetMode="External"/><Relationship Id="rId278" Type="http://schemas.openxmlformats.org/officeDocument/2006/relationships/hyperlink" Target="https://www.sec.gov/Archives/edgar/data/886744/000156459022009627/gern-ex1022_125.htm" TargetMode="External"/><Relationship Id="rId279" Type="http://schemas.openxmlformats.org/officeDocument/2006/relationships/hyperlink" Target="https://www.sec.gov/Archives/edgar/data/886744/000156459019006759/gern-ex1031_97.htm" TargetMode="External"/><Relationship Id="rId280" Type="http://schemas.openxmlformats.org/officeDocument/2006/relationships/hyperlink" Target="https://www.sec.gov/Archives/edgar/data/886744/000095017023057760/gern-ex10_2.htm" TargetMode="External"/><Relationship Id="rId281" Type="http://schemas.openxmlformats.org/officeDocument/2006/relationships/hyperlink" Target="https://www.sec.gov/Archives/edgar/data/886744/000095017024123282/gern-ex10_1.htm" TargetMode="External"/><Relationship Id="rId290" Type="http://schemas.openxmlformats.org/officeDocument/2006/relationships/hyperlink" Target="https://www.sec.gov/Archives/edgar/data/886744/000088674425000054/exhibit101-employmentagree.htm" TargetMode="External"/><Relationship Id="rId291" Type="http://schemas.openxmlformats.org/officeDocument/2006/relationships/hyperlink" Target="https://www.sec.gov/Archives/edgar/data/886744/000095017025027982/gern-ex10_29.htm" TargetMode="External"/><Relationship Id="rId292" Type="http://schemas.openxmlformats.org/officeDocument/2006/relationships/hyperlink" Target="https://www.sec.gov/Archives/edgar/data/886744/000156459019015326/gern-ex1018_162.htm" TargetMode="External"/><Relationship Id="rId293" Type="http://schemas.openxmlformats.org/officeDocument/2006/relationships/hyperlink" Target="https://www.sec.gov/Archives/edgar/data/886744/000088674425000010/exhibit102-birdawnofferlet.htm" TargetMode="External"/><Relationship Id="rId294" Type="http://schemas.openxmlformats.org/officeDocument/2006/relationships/hyperlink" Target="https://www.sec.gov/Archives/edgar/data/886744/000120677419003542/geron3657421-ex101.htm" TargetMode="External"/><Relationship Id="rId295" Type="http://schemas.openxmlformats.org/officeDocument/2006/relationships/hyperlink" Target="https://www.sec.gov/Archives/edgar/data/886744/000095017025027982/gern-ex10_33.htm" TargetMode="External"/><Relationship Id="rId296" Type="http://schemas.openxmlformats.org/officeDocument/2006/relationships/hyperlink" Target="https://www.sec.gov/Archives/edgar/data/886744/000095017025027982/gern-ex10_34.htm" TargetMode="External"/><Relationship Id="rId297" Type="http://schemas.openxmlformats.org/officeDocument/2006/relationships/hyperlink" Target="https://www.sec.gov/Archives/edgar/data/886744/000156459019006759/gern-ex1029_99.htm" TargetMode="External"/><Relationship Id="rId298" Type="http://schemas.openxmlformats.org/officeDocument/2006/relationships/hyperlink" Target="https://www.sec.gov/Archives/edgar/data/886744/000095017024022056/ger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2026-03-02T06:18:13Z</dcterms:created>
  <dcterms:modified xsi:type="dcterms:W3CDTF">2026-03-02T06:18:13Z</dcterms:modified>
</cp:coreProperties>
</file>