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jc w:val="left"/>
        <w:rPr/>
      </w:pPr>
      <w:bookmarkStart w:id="0" w:name="gern-20230331.htm"/>
      <w:bookmarkStart w:id="1" w:name="ksgern20230331"/>
      <w:bookmarkEnd w:id="0"/>
      <w:bookmarkEnd w:id="1"/>
      <w:r>
        <w:rPr/>
        <w:t> </w:t>
      </w:r>
    </w:p>
    <w:p>
      <w:pPr>
        <w:pStyle w:val="TextBody"/>
        <w:spacing w:before="0" w:after="0"/>
        <w:jc w:val="left"/>
        <w:rPr/>
      </w:pPr>
      <w:r>
        <w:rPr/>
        <w:t> </w:t>
      </w:r>
    </w:p>
    <w:p>
      <w:pPr>
        <w:pStyle w:val="TextBody"/>
        <w:pBdr>
          <w:bottom w:val="double" w:sz="6" w:space="1" w:color="000000"/>
        </w:pBdr>
        <w:spacing w:before="0" w:after="0"/>
        <w:jc w:val="left"/>
        <w:rPr/>
      </w:pPr>
      <w:r>
        <w:rPr/>
        <w:t> </w:t>
      </w:r>
    </w:p>
    <w:p>
      <w:pPr>
        <w:pStyle w:val="TextBody"/>
        <w:spacing w:before="80" w:after="0"/>
        <w:jc w:val="center"/>
        <w:rPr>
          <w:rFonts w:ascii="Times New Roman;serif" w:hAnsi="Times New Roman;serif"/>
          <w:b/>
          <w:sz w:val="28"/>
        </w:rPr>
      </w:pPr>
      <w:r>
        <w:rPr>
          <w:rFonts w:ascii="Times New Roman;serif" w:hAnsi="Times New Roman;serif"/>
          <w:b/>
          <w:sz w:val="28"/>
        </w:rPr>
        <w:t>UNITED STATES</w:t>
      </w:r>
    </w:p>
    <w:p>
      <w:pPr>
        <w:pStyle w:val="TextBody"/>
        <w:spacing w:before="0" w:after="0"/>
        <w:jc w:val="center"/>
        <w:rPr>
          <w:rFonts w:ascii="Times New Roman;serif" w:hAnsi="Times New Roman;serif"/>
          <w:b/>
          <w:sz w:val="28"/>
        </w:rPr>
      </w:pPr>
      <w:r>
        <w:rPr>
          <w:rFonts w:ascii="Times New Roman;serif" w:hAnsi="Times New Roman;serif"/>
          <w:b/>
          <w:sz w:val="28"/>
        </w:rPr>
        <w:t>SECURITIES AND EXCHANGE COMMISSION</w:t>
      </w:r>
    </w:p>
    <w:p>
      <w:pPr>
        <w:pStyle w:val="TextBody"/>
        <w:spacing w:before="0" w:after="0"/>
        <w:jc w:val="center"/>
        <w:rPr/>
      </w:pPr>
      <w:r>
        <w:rPr/>
        <w:t> </w:t>
      </w:r>
    </w:p>
    <w:p>
      <w:pPr>
        <w:pStyle w:val="TextBody"/>
        <w:spacing w:before="0" w:after="0"/>
        <w:jc w:val="center"/>
        <w:rPr>
          <w:rFonts w:ascii="Times New Roman" w:hAnsi="Times New Roman"/>
          <w:sz w:val="20"/>
        </w:rPr>
      </w:pPr>
      <w:r>
        <w:rPr>
          <w:rFonts w:ascii="Times New Roman;serif" w:hAnsi="Times New Roman;serif"/>
          <w:b/>
          <w:sz w:val="24"/>
        </w:rPr>
        <w:t>WASHINGTON D.C. 20549</w:t>
      </w:r>
      <w:r>
        <w:rPr>
          <w:rFonts w:ascii="Times New Roman" w:hAnsi="Times New Roman"/>
          <w:sz w:val="20"/>
        </w:rPr>
        <w:t xml:space="preserve"> </w:t>
      </w:r>
    </w:p>
    <w:p>
      <w:pPr>
        <w:pStyle w:val="TextBody"/>
        <w:pBdr>
          <w:bottom w:val="single" w:sz="4" w:space="1" w:color="000000"/>
        </w:pBdr>
        <w:spacing w:before="0" w:after="0"/>
        <w:jc w:val="center"/>
        <w:rPr/>
      </w:pPr>
      <w:r>
        <w:rPr/>
        <w:t> </w:t>
      </w:r>
    </w:p>
    <w:p>
      <w:pPr>
        <w:pStyle w:val="TextBody"/>
        <w:spacing w:before="0" w:after="0"/>
        <w:jc w:val="left"/>
        <w:rPr/>
      </w:pPr>
      <w:r>
        <w:rPr/>
        <w:t> </w:t>
      </w:r>
    </w:p>
    <w:p>
      <w:pPr>
        <w:pStyle w:val="TextBody"/>
        <w:spacing w:before="0" w:after="0"/>
        <w:jc w:val="center"/>
        <w:rPr>
          <w:rFonts w:ascii="Times New Roman;serif" w:hAnsi="Times New Roman;serif"/>
          <w:b/>
          <w:sz w:val="36"/>
        </w:rPr>
      </w:pPr>
      <w:r>
        <w:rPr>
          <w:rFonts w:ascii="Times New Roman;serif" w:hAnsi="Times New Roman;serif"/>
          <w:b/>
          <w:sz w:val="36"/>
        </w:rPr>
        <w:t>FORM 10-Q</w:t>
      </w:r>
    </w:p>
    <w:p>
      <w:pPr>
        <w:pStyle w:val="TextBody"/>
        <w:pBdr>
          <w:bottom w:val="single" w:sz="4" w:space="1" w:color="000000"/>
        </w:pBdr>
        <w:spacing w:before="0" w:after="0"/>
        <w:jc w:val="center"/>
        <w:rPr/>
      </w:pPr>
      <w:r>
        <w:rPr/>
        <w:t> </w:t>
      </w:r>
    </w:p>
    <w:p>
      <w:pPr>
        <w:pStyle w:val="TextBody"/>
        <w:spacing w:before="0" w:after="0"/>
        <w:jc w:val="left"/>
        <w:rPr>
          <w:rFonts w:ascii="Times New Roman;serif" w:hAnsi="Times New Roman;serif"/>
          <w:b/>
          <w:sz w:val="18"/>
        </w:rPr>
      </w:pPr>
      <w:r>
        <w:rPr>
          <w:rFonts w:ascii="Times New Roman;serif" w:hAnsi="Times New Roman;serif"/>
          <w:b/>
          <w:sz w:val="18"/>
        </w:rPr>
        <w:t>(Mark One)</w:t>
      </w:r>
    </w:p>
    <w:p>
      <w:pPr>
        <w:pStyle w:val="TextBody"/>
        <w:spacing w:before="0" w:after="0"/>
        <w:jc w:val="left"/>
        <w:rPr/>
      </w:pPr>
      <w:r>
        <w:rPr/>
        <w:t xml:space="preserve">☒ </w:t>
      </w:r>
      <w:r>
        <w:rPr>
          <w:rFonts w:ascii="Times New Roman;serif" w:hAnsi="Times New Roman;serif"/>
          <w:b/>
          <w:sz w:val="22"/>
        </w:rPr>
        <w:t>QUARTERLY REPORT PURSUANT TO SECTION 13 OR 15(d) OF THE SECURITIES EXCHANGE ACT OF 1934</w:t>
      </w:r>
    </w:p>
    <w:p>
      <w:pPr>
        <w:pStyle w:val="TextBody"/>
        <w:spacing w:before="0" w:after="0"/>
        <w:jc w:val="left"/>
        <w:rPr/>
      </w:pPr>
      <w:r>
        <w:rPr/>
        <w:t> </w:t>
      </w:r>
    </w:p>
    <w:p>
      <w:pPr>
        <w:pStyle w:val="TextBody"/>
        <w:spacing w:before="0" w:after="0"/>
        <w:jc w:val="center"/>
        <w:rPr>
          <w:rFonts w:ascii="Times New Roman;serif" w:hAnsi="Times New Roman;serif"/>
          <w:b/>
          <w:sz w:val="20"/>
        </w:rPr>
      </w:pPr>
      <w:r>
        <w:rPr>
          <w:rFonts w:ascii="Times New Roman;serif" w:hAnsi="Times New Roman;serif"/>
          <w:b/>
          <w:sz w:val="20"/>
        </w:rPr>
        <w:t>For the quarterly period ended March 31, 2023</w:t>
      </w:r>
    </w:p>
    <w:p>
      <w:pPr>
        <w:pStyle w:val="TextBody"/>
        <w:spacing w:before="0" w:after="0"/>
        <w:jc w:val="left"/>
        <w:rPr/>
      </w:pPr>
      <w:r>
        <w:rPr/>
        <w:t> </w:t>
      </w:r>
    </w:p>
    <w:p>
      <w:pPr>
        <w:pStyle w:val="TextBody"/>
        <w:spacing w:before="0" w:after="0"/>
        <w:jc w:val="center"/>
        <w:rPr>
          <w:rFonts w:ascii="Times New Roman;serif" w:hAnsi="Times New Roman;serif"/>
          <w:b/>
          <w:sz w:val="16"/>
        </w:rPr>
      </w:pPr>
      <w:r>
        <w:rPr>
          <w:rFonts w:ascii="Times New Roman;serif" w:hAnsi="Times New Roman;serif"/>
          <w:b/>
          <w:sz w:val="16"/>
        </w:rPr>
        <w:t>OR</w:t>
      </w:r>
    </w:p>
    <w:p>
      <w:pPr>
        <w:pStyle w:val="TextBody"/>
        <w:spacing w:before="0" w:after="0"/>
        <w:jc w:val="left"/>
        <w:rPr/>
      </w:pPr>
      <w:r>
        <w:rPr/>
        <w:t> </w:t>
      </w:r>
    </w:p>
    <w:p>
      <w:pPr>
        <w:pStyle w:val="TextBody"/>
        <w:spacing w:before="0" w:after="0"/>
        <w:jc w:val="left"/>
        <w:rPr/>
      </w:pPr>
      <w:r>
        <w:rPr/>
        <w:t xml:space="preserve">☐ </w:t>
      </w:r>
      <w:r>
        <w:rPr>
          <w:rFonts w:ascii="Times New Roman;serif" w:hAnsi="Times New Roman;serif"/>
          <w:b/>
          <w:sz w:val="22"/>
        </w:rPr>
        <w:t>TRANSITION REPORT PURSUANT TO SECTION 13 OR 15(d) OF THE SECURITIES EXCHANGE ACT OF 1934</w:t>
      </w:r>
    </w:p>
    <w:p>
      <w:pPr>
        <w:pStyle w:val="TextBody"/>
        <w:spacing w:before="0" w:after="0"/>
        <w:jc w:val="left"/>
        <w:rPr/>
      </w:pPr>
      <w:r>
        <w:rPr/>
        <w:t> </w:t>
      </w:r>
    </w:p>
    <w:p>
      <w:pPr>
        <w:pStyle w:val="TextBody"/>
        <w:spacing w:before="0" w:after="0"/>
        <w:jc w:val="center"/>
        <w:rPr>
          <w:rFonts w:ascii="Times New Roman;serif" w:hAnsi="Times New Roman;serif"/>
          <w:b/>
          <w:sz w:val="16"/>
        </w:rPr>
      </w:pPr>
      <w:r>
        <w:rPr>
          <w:rFonts w:ascii="Times New Roman;serif" w:hAnsi="Times New Roman;serif"/>
          <w:b/>
          <w:sz w:val="16"/>
        </w:rPr>
        <w:t>For the transition period from to .</w:t>
      </w:r>
    </w:p>
    <w:p>
      <w:pPr>
        <w:pStyle w:val="TextBody"/>
        <w:spacing w:before="0" w:after="0"/>
        <w:jc w:val="left"/>
        <w:rPr/>
      </w:pPr>
      <w:r>
        <w:rPr/>
        <w:t> </w:t>
      </w:r>
    </w:p>
    <w:p>
      <w:pPr>
        <w:pStyle w:val="TextBody"/>
        <w:spacing w:before="0" w:after="0"/>
        <w:jc w:val="center"/>
        <w:rPr>
          <w:rFonts w:ascii="Times New Roman;serif" w:hAnsi="Times New Roman;serif"/>
          <w:b/>
          <w:sz w:val="16"/>
        </w:rPr>
      </w:pPr>
      <w:r>
        <w:rPr>
          <w:rFonts w:ascii="Times New Roman;serif" w:hAnsi="Times New Roman;serif"/>
          <w:b/>
          <w:sz w:val="16"/>
        </w:rPr>
        <w:t>Commission File Number: 000-20859</w:t>
      </w:r>
    </w:p>
    <w:p>
      <w:pPr>
        <w:pStyle w:val="TextBody"/>
        <w:pBdr>
          <w:bottom w:val="single" w:sz="4" w:space="1" w:color="000000"/>
        </w:pBdr>
        <w:spacing w:before="0" w:after="0"/>
        <w:jc w:val="center"/>
        <w:rPr/>
      </w:pPr>
      <w:r>
        <w:rPr/>
        <w:t> </w:t>
      </w:r>
    </w:p>
    <w:p>
      <w:pPr>
        <w:pStyle w:val="TextBody"/>
        <w:spacing w:before="0" w:after="0"/>
        <w:jc w:val="left"/>
        <w:rPr/>
      </w:pPr>
      <w:r>
        <w:rPr/>
        <w:t> </w:t>
      </w:r>
    </w:p>
    <w:p>
      <w:pPr>
        <w:pStyle w:val="TextBody"/>
        <w:spacing w:before="0" w:after="0"/>
        <w:jc w:val="center"/>
        <w:rPr>
          <w:rFonts w:ascii="Times New Roman;serif" w:hAnsi="Times New Roman;serif"/>
          <w:b/>
          <w:sz w:val="36"/>
        </w:rPr>
      </w:pPr>
      <w:r>
        <w:rPr>
          <w:rFonts w:ascii="Times New Roman;serif" w:hAnsi="Times New Roman;serif"/>
          <w:b/>
          <w:sz w:val="36"/>
        </w:rPr>
        <w:t>GERON CORPORATION</w:t>
      </w:r>
    </w:p>
    <w:p>
      <w:pPr>
        <w:pStyle w:val="TextBody"/>
        <w:spacing w:before="0" w:after="0"/>
        <w:jc w:val="center"/>
        <w:rPr>
          <w:rFonts w:ascii="Times New Roman;serif" w:hAnsi="Times New Roman;serif"/>
          <w:b/>
          <w:sz w:val="20"/>
        </w:rPr>
      </w:pPr>
      <w:r>
        <w:rPr>
          <w:rFonts w:ascii="Times New Roman;serif" w:hAnsi="Times New Roman;serif"/>
          <w:b/>
          <w:sz w:val="20"/>
        </w:rPr>
        <w:t>(Exact name of registrant as specified in its charter)</w:t>
      </w:r>
    </w:p>
    <w:p>
      <w:pPr>
        <w:pStyle w:val="TextBody"/>
        <w:spacing w:before="0" w:after="0"/>
        <w:jc w:val="left"/>
        <w:rPr/>
      </w:pPr>
      <w:r>
        <w:rPr/>
        <w:t> </w:t>
      </w:r>
    </w:p>
    <w:tbl>
      <w:tblPr>
        <w:tblW w:w="6988" w:type="dxa"/>
        <w:jc w:val="left"/>
        <w:tblInd w:w="0" w:type="dxa"/>
        <w:tblCellMar>
          <w:top w:w="28" w:type="dxa"/>
          <w:left w:w="28" w:type="dxa"/>
          <w:bottom w:w="28" w:type="dxa"/>
          <w:right w:w="28" w:type="dxa"/>
        </w:tblCellMar>
      </w:tblPr>
      <w:tblGrid>
        <w:gridCol w:w="5356"/>
        <w:gridCol w:w="146"/>
        <w:gridCol w:w="1486"/>
      </w:tblGrid>
      <w:tr>
        <w:trPr/>
        <w:tc>
          <w:tcPr>
            <w:tcW w:w="53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86" w:type="dxa"/>
            <w:tcBorders/>
            <w:shd w:fill="auto" w:val="clear"/>
            <w:vAlign w:val="center"/>
          </w:tcPr>
          <w:p>
            <w:pPr>
              <w:pStyle w:val="TableContents"/>
              <w:spacing w:before="0" w:after="283"/>
              <w:rPr>
                <w:sz w:val="4"/>
                <w:szCs w:val="4"/>
              </w:rPr>
            </w:pPr>
            <w:r>
              <w:rPr>
                <w:sz w:val="4"/>
                <w:szCs w:val="4"/>
              </w:rPr>
            </w:r>
          </w:p>
        </w:tc>
      </w:tr>
      <w:tr>
        <w:trPr/>
        <w:tc>
          <w:tcPr>
            <w:tcW w:w="5356" w:type="dxa"/>
            <w:tcBorders/>
            <w:shd w:fill="auto" w:val="clear"/>
            <w:vAlign w:val="center"/>
          </w:tcPr>
          <w:p>
            <w:pPr>
              <w:pStyle w:val="TableContents"/>
              <w:spacing w:before="0" w:after="0"/>
              <w:ind w:left="0" w:right="0" w:hanging="0"/>
              <w:jc w:val="center"/>
              <w:rPr>
                <w:rFonts w:ascii="Times New Roman;serif" w:hAnsi="Times New Roman;serif"/>
                <w:b/>
                <w:caps/>
                <w:sz w:val="16"/>
              </w:rPr>
            </w:pPr>
            <w:r>
              <w:rPr>
                <w:rFonts w:ascii="Times New Roman;serif" w:hAnsi="Times New Roman;serif"/>
                <w:b/>
                <w:caps/>
                <w:sz w:val="16"/>
              </w:rPr>
              <w:t>Delaware</w:t>
            </w:r>
          </w:p>
        </w:tc>
        <w:tc>
          <w:tcPr>
            <w:tcW w:w="146" w:type="dxa"/>
            <w:tcBorders/>
            <w:shd w:fill="auto" w:val="clear"/>
            <w:vAlign w:val="center"/>
          </w:tcPr>
          <w:p>
            <w:pPr>
              <w:pStyle w:val="TableContents"/>
              <w:spacing w:before="0" w:after="0"/>
              <w:ind w:left="0" w:right="0" w:hanging="0"/>
              <w:jc w:val="left"/>
              <w:rPr/>
            </w:pPr>
            <w:r>
              <w:rPr/>
              <w:t> </w:t>
            </w:r>
          </w:p>
        </w:tc>
        <w:tc>
          <w:tcPr>
            <w:tcW w:w="1486" w:type="dxa"/>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75-2287752</w:t>
            </w:r>
          </w:p>
        </w:tc>
      </w:tr>
      <w:tr>
        <w:trPr/>
        <w:tc>
          <w:tcPr>
            <w:tcW w:w="5356" w:type="dxa"/>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(State or other jurisdiction of</w:t>
            </w:r>
          </w:p>
        </w:tc>
        <w:tc>
          <w:tcPr>
            <w:tcW w:w="146" w:type="dxa"/>
            <w:tcBorders/>
            <w:shd w:fill="auto" w:val="clear"/>
            <w:vAlign w:val="center"/>
          </w:tcPr>
          <w:p>
            <w:pPr>
              <w:pStyle w:val="TableContents"/>
              <w:spacing w:before="0" w:after="0"/>
              <w:ind w:left="0" w:right="0" w:hanging="0"/>
              <w:jc w:val="left"/>
              <w:rPr/>
            </w:pPr>
            <w:r>
              <w:rPr/>
              <w:t> </w:t>
            </w:r>
          </w:p>
        </w:tc>
        <w:tc>
          <w:tcPr>
            <w:tcW w:w="1486" w:type="dxa"/>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(I.R.S. Employer</w:t>
            </w:r>
          </w:p>
        </w:tc>
      </w:tr>
      <w:tr>
        <w:trPr/>
        <w:tc>
          <w:tcPr>
            <w:tcW w:w="5356" w:type="dxa"/>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incorporation or organization)</w:t>
            </w:r>
          </w:p>
        </w:tc>
        <w:tc>
          <w:tcPr>
            <w:tcW w:w="146" w:type="dxa"/>
            <w:tcBorders/>
            <w:shd w:fill="auto" w:val="clear"/>
            <w:vAlign w:val="center"/>
          </w:tcPr>
          <w:p>
            <w:pPr>
              <w:pStyle w:val="TableContents"/>
              <w:spacing w:before="0" w:after="0"/>
              <w:ind w:left="0" w:right="0" w:hanging="0"/>
              <w:jc w:val="left"/>
              <w:rPr/>
            </w:pPr>
            <w:r>
              <w:rPr/>
              <w:t> </w:t>
            </w:r>
          </w:p>
        </w:tc>
        <w:tc>
          <w:tcPr>
            <w:tcW w:w="1486" w:type="dxa"/>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Identification No.)</w:t>
            </w:r>
          </w:p>
        </w:tc>
      </w:tr>
      <w:tr>
        <w:trPr/>
        <w:tc>
          <w:tcPr>
            <w:tcW w:w="535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86" w:type="dxa"/>
            <w:tcBorders/>
            <w:shd w:fill="auto" w:val="clear"/>
            <w:vAlign w:val="center"/>
          </w:tcPr>
          <w:p>
            <w:pPr>
              <w:pStyle w:val="TableContents"/>
              <w:spacing w:before="0" w:after="0"/>
              <w:ind w:left="0" w:right="0" w:hanging="0"/>
              <w:jc w:val="center"/>
              <w:rPr/>
            </w:pPr>
            <w:r>
              <w:rPr/>
              <w:t> </w:t>
            </w:r>
          </w:p>
        </w:tc>
      </w:tr>
      <w:tr>
        <w:trPr/>
        <w:tc>
          <w:tcPr>
            <w:tcW w:w="5356" w:type="dxa"/>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919 EAST HILLSDALE BOULEVARD, SUITE 250, FOSTER CITY, CA</w:t>
            </w:r>
          </w:p>
        </w:tc>
        <w:tc>
          <w:tcPr>
            <w:tcW w:w="146" w:type="dxa"/>
            <w:tcBorders/>
            <w:shd w:fill="auto" w:val="clear"/>
            <w:vAlign w:val="center"/>
          </w:tcPr>
          <w:p>
            <w:pPr>
              <w:pStyle w:val="TableContents"/>
              <w:spacing w:before="0" w:after="0"/>
              <w:ind w:left="0" w:right="0" w:hanging="0"/>
              <w:jc w:val="left"/>
              <w:rPr/>
            </w:pPr>
            <w:r>
              <w:rPr/>
              <w:t> </w:t>
            </w:r>
          </w:p>
        </w:tc>
        <w:tc>
          <w:tcPr>
            <w:tcW w:w="1486" w:type="dxa"/>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94404</w:t>
            </w:r>
          </w:p>
        </w:tc>
      </w:tr>
      <w:tr>
        <w:trPr/>
        <w:tc>
          <w:tcPr>
            <w:tcW w:w="5356" w:type="dxa"/>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(Address of principal executive offices)</w:t>
            </w:r>
          </w:p>
        </w:tc>
        <w:tc>
          <w:tcPr>
            <w:tcW w:w="146" w:type="dxa"/>
            <w:tcBorders/>
            <w:shd w:fill="auto" w:val="clear"/>
            <w:vAlign w:val="center"/>
          </w:tcPr>
          <w:p>
            <w:pPr>
              <w:pStyle w:val="TableContents"/>
              <w:spacing w:before="0" w:after="0"/>
              <w:ind w:left="0" w:right="0" w:hanging="0"/>
              <w:jc w:val="left"/>
              <w:rPr/>
            </w:pPr>
            <w:r>
              <w:rPr/>
              <w:t> </w:t>
            </w:r>
          </w:p>
        </w:tc>
        <w:tc>
          <w:tcPr>
            <w:tcW w:w="1486" w:type="dxa"/>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(Zip Code)</w:t>
            </w:r>
          </w:p>
        </w:tc>
      </w:tr>
    </w:tbl>
    <w:p>
      <w:pPr>
        <w:pStyle w:val="TextBody"/>
        <w:spacing w:before="0" w:after="0"/>
        <w:jc w:val="left"/>
        <w:rPr/>
      </w:pPr>
      <w:r>
        <w:rPr/>
        <w:t> </w:t>
      </w:r>
    </w:p>
    <w:p>
      <w:pPr>
        <w:pStyle w:val="TextBody"/>
        <w:spacing w:before="0" w:after="0"/>
        <w:jc w:val="center"/>
        <w:rPr>
          <w:rFonts w:ascii="Times New Roman;serif" w:hAnsi="Times New Roman;serif"/>
          <w:b/>
          <w:sz w:val="18"/>
        </w:rPr>
      </w:pPr>
      <w:r>
        <w:rPr>
          <w:rFonts w:ascii="Times New Roman;serif" w:hAnsi="Times New Roman;serif"/>
          <w:b/>
          <w:sz w:val="18"/>
        </w:rPr>
        <w:t>(650) 473-7700</w:t>
      </w:r>
    </w:p>
    <w:p>
      <w:pPr>
        <w:pStyle w:val="TextBody"/>
        <w:spacing w:before="0" w:after="0"/>
        <w:jc w:val="center"/>
        <w:rPr>
          <w:rFonts w:ascii="Times New Roman;serif" w:hAnsi="Times New Roman;serif"/>
          <w:b/>
          <w:sz w:val="16"/>
        </w:rPr>
      </w:pPr>
      <w:r>
        <w:rPr>
          <w:rFonts w:ascii="Times New Roman;serif" w:hAnsi="Times New Roman;serif"/>
          <w:b/>
          <w:sz w:val="16"/>
        </w:rPr>
        <w:t>(Registrant’s telephone number, including area code)</w:t>
      </w:r>
    </w:p>
    <w:p>
      <w:pPr>
        <w:pStyle w:val="TextBody"/>
        <w:spacing w:before="0" w:after="0"/>
        <w:jc w:val="left"/>
        <w:rPr/>
      </w:pPr>
      <w:r>
        <w:rPr/>
        <w:t> </w:t>
      </w:r>
    </w:p>
    <w:p>
      <w:pPr>
        <w:pStyle w:val="TextBody"/>
        <w:spacing w:before="0" w:after="0"/>
        <w:jc w:val="center"/>
        <w:rPr>
          <w:rFonts w:ascii="Times New Roman;serif" w:hAnsi="Times New Roman;serif"/>
          <w:b/>
          <w:sz w:val="18"/>
        </w:rPr>
      </w:pPr>
      <w:r>
        <w:rPr>
          <w:rFonts w:ascii="Times New Roman;serif" w:hAnsi="Times New Roman;serif"/>
          <w:b/>
          <w:sz w:val="18"/>
        </w:rPr>
        <w:t>N/A</w:t>
      </w:r>
    </w:p>
    <w:p>
      <w:pPr>
        <w:pStyle w:val="TextBody"/>
        <w:spacing w:before="0" w:after="60"/>
        <w:jc w:val="center"/>
        <w:rPr>
          <w:rFonts w:ascii="Times New Roman;serif" w:hAnsi="Times New Roman;serif"/>
          <w:b/>
          <w:sz w:val="16"/>
        </w:rPr>
      </w:pPr>
      <w:r>
        <w:rPr>
          <w:rFonts w:ascii="Times New Roman;serif" w:hAnsi="Times New Roman;serif"/>
          <w:b/>
          <w:sz w:val="16"/>
        </w:rPr>
        <w:t>(Former name, former address and former fiscal year, if changed since last report)</w:t>
      </w:r>
    </w:p>
    <w:p>
      <w:pPr>
        <w:pStyle w:val="TextBody"/>
        <w:spacing w:before="0" w:after="0"/>
        <w:jc w:val="left"/>
        <w:rPr/>
      </w:pPr>
      <w:r>
        <w:rPr/>
        <w:t> </w:t>
      </w:r>
    </w:p>
    <w:tbl>
      <w:tblPr>
        <w:tblW w:w="7368" w:type="dxa"/>
        <w:jc w:val="left"/>
        <w:tblInd w:w="0" w:type="dxa"/>
        <w:tblCellMar>
          <w:top w:w="28" w:type="dxa"/>
          <w:left w:w="28" w:type="dxa"/>
          <w:bottom w:w="28" w:type="dxa"/>
          <w:right w:w="28" w:type="dxa"/>
        </w:tblCellMar>
      </w:tblPr>
      <w:tblGrid>
        <w:gridCol w:w="2506"/>
        <w:gridCol w:w="1486"/>
        <w:gridCol w:w="3376"/>
      </w:tblGrid>
      <w:tr>
        <w:trPr/>
        <w:tc>
          <w:tcPr>
            <w:tcW w:w="2506" w:type="dxa"/>
            <w:tcBorders/>
            <w:shd w:fill="auto" w:val="clear"/>
            <w:vAlign w:val="center"/>
          </w:tcPr>
          <w:p>
            <w:pPr>
              <w:pStyle w:val="TableContents"/>
              <w:spacing w:before="0" w:after="283"/>
              <w:rPr>
                <w:sz w:val="4"/>
                <w:szCs w:val="4"/>
              </w:rPr>
            </w:pPr>
            <w:r>
              <w:rPr>
                <w:sz w:val="4"/>
                <w:szCs w:val="4"/>
              </w:rPr>
            </w:r>
          </w:p>
        </w:tc>
        <w:tc>
          <w:tcPr>
            <w:tcW w:w="1486" w:type="dxa"/>
            <w:tcBorders/>
            <w:shd w:fill="auto" w:val="clear"/>
            <w:vAlign w:val="center"/>
          </w:tcPr>
          <w:p>
            <w:pPr>
              <w:pStyle w:val="TableContents"/>
              <w:spacing w:before="0" w:after="283"/>
              <w:rPr>
                <w:sz w:val="4"/>
                <w:szCs w:val="4"/>
              </w:rPr>
            </w:pPr>
            <w:r>
              <w:rPr>
                <w:sz w:val="4"/>
                <w:szCs w:val="4"/>
              </w:rPr>
            </w:r>
          </w:p>
        </w:tc>
        <w:tc>
          <w:tcPr>
            <w:tcW w:w="3376" w:type="dxa"/>
            <w:tcBorders/>
            <w:shd w:fill="auto" w:val="clear"/>
            <w:vAlign w:val="center"/>
          </w:tcPr>
          <w:p>
            <w:pPr>
              <w:pStyle w:val="TableContents"/>
              <w:spacing w:before="0" w:after="283"/>
              <w:rPr>
                <w:sz w:val="4"/>
                <w:szCs w:val="4"/>
              </w:rPr>
            </w:pPr>
            <w:r>
              <w:rPr>
                <w:sz w:val="4"/>
                <w:szCs w:val="4"/>
              </w:rPr>
            </w:r>
          </w:p>
        </w:tc>
      </w:tr>
      <w:tr>
        <w:trPr/>
        <w:tc>
          <w:tcPr>
            <w:tcW w:w="7368" w:type="dxa"/>
            <w:gridSpan w:val="3"/>
            <w:tcBorders/>
            <w:shd w:fill="auto" w:val="clear"/>
            <w:tcMar>
              <w:top w:w="0" w:type="dxa"/>
              <w:left w:w="0" w:type="dxa"/>
              <w:bottom w:w="0" w:type="dxa"/>
              <w:right w:w="0" w:type="dxa"/>
            </w:tcMar>
            <w:vAlign w:val="center"/>
          </w:tcPr>
          <w:p>
            <w:pPr>
              <w:pStyle w:val="TableContents"/>
              <w:spacing w:before="0" w:after="60"/>
              <w:ind w:left="0" w:right="0" w:hanging="0"/>
              <w:jc w:val="center"/>
              <w:rPr>
                <w:rFonts w:ascii="Times New Roman;serif" w:hAnsi="Times New Roman;serif"/>
                <w:b/>
                <w:sz w:val="16"/>
              </w:rPr>
            </w:pPr>
            <w:r>
              <w:rPr>
                <w:rFonts w:ascii="Times New Roman;serif" w:hAnsi="Times New Roman;serif"/>
                <w:b/>
                <w:sz w:val="16"/>
              </w:rPr>
              <w:t>Securities registered pursuant to Section 12(b) of the Act:</w:t>
            </w:r>
          </w:p>
        </w:tc>
      </w:tr>
      <w:tr>
        <w:trPr/>
        <w:tc>
          <w:tcPr>
            <w:tcW w:w="250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Title of each class:</w:t>
            </w:r>
          </w:p>
        </w:tc>
        <w:tc>
          <w:tcPr>
            <w:tcW w:w="148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Trading symbol(s):</w:t>
            </w:r>
          </w:p>
        </w:tc>
        <w:tc>
          <w:tcPr>
            <w:tcW w:w="337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Name of each exchange on which registered:</w:t>
            </w:r>
          </w:p>
        </w:tc>
      </w:tr>
      <w:tr>
        <w:trPr/>
        <w:tc>
          <w:tcPr>
            <w:tcW w:w="250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Common Stock, $0.001 par value</w:t>
            </w:r>
          </w:p>
        </w:tc>
        <w:tc>
          <w:tcPr>
            <w:tcW w:w="148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GERN</w:t>
            </w:r>
          </w:p>
        </w:tc>
        <w:tc>
          <w:tcPr>
            <w:tcW w:w="337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The Nasdaq Stock Market LLC</w:t>
            </w:r>
          </w:p>
        </w:tc>
      </w:tr>
    </w:tbl>
    <w:p>
      <w:pPr>
        <w:pStyle w:val="TextBody"/>
        <w:spacing w:before="120" w:after="0"/>
        <w:jc w:val="left"/>
        <w:rPr>
          <w:rFonts w:ascii="Times New Roman" w:hAnsi="Times New Roman"/>
          <w:sz w:val="20"/>
        </w:rPr>
      </w:pPr>
      <w:r>
        <w:rPr>
          <w:rFonts w:ascii="Times New Roman;serif" w:hAnsi="Times New Roman;serif"/>
          <w:b w:val="false"/>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sz w:val="20"/>
        </w:rPr>
        <w:t xml:space="preserve"> ☒ </w:t>
      </w:r>
      <w:r>
        <w:rPr>
          <w:rFonts w:ascii="Times New Roman;serif" w:hAnsi="Times New Roman;serif"/>
          <w:b w:val="false"/>
          <w:sz w:val="18"/>
        </w:rPr>
        <w:t xml:space="preserve">No </w:t>
      </w:r>
      <w:r>
        <w:rPr>
          <w:rFonts w:ascii="Times New Roman" w:hAnsi="Times New Roman"/>
          <w:sz w:val="20"/>
        </w:rPr>
        <w:t>☐</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sz w:val="20"/>
        </w:rPr>
        <w:t xml:space="preserve"> ☒ </w:t>
      </w:r>
      <w:r>
        <w:rPr>
          <w:rFonts w:ascii="Times New Roman;serif" w:hAnsi="Times New Roman;serif"/>
          <w:b w:val="false"/>
          <w:sz w:val="18"/>
        </w:rPr>
        <w:t xml:space="preserve">No </w:t>
      </w:r>
      <w:r>
        <w:rPr>
          <w:rFonts w:ascii="Times New Roman" w:hAnsi="Times New Roman"/>
          <w:sz w:val="20"/>
        </w:rPr>
        <w:t>☐</w:t>
      </w:r>
    </w:p>
    <w:p>
      <w:pPr>
        <w:pStyle w:val="TextBody"/>
        <w:spacing w:before="0" w:after="0"/>
        <w:jc w:val="left"/>
        <w:rPr/>
      </w:pPr>
      <w:r>
        <w:rPr/>
        <w:t> </w:t>
      </w:r>
    </w:p>
    <w:p>
      <w:pPr>
        <w:pStyle w:val="TextBody"/>
        <w:spacing w:before="0" w:after="0"/>
        <w:jc w:val="left"/>
        <w:rPr>
          <w:rFonts w:ascii="Times New Roman;serif" w:hAnsi="Times New Roman;serif"/>
          <w:b w:val="false"/>
          <w:sz w:val="18"/>
        </w:rPr>
      </w:pPr>
      <w:r>
        <w:rPr>
          <w:rFonts w:ascii="Times New Roman;serif" w:hAnsi="Times New Roman;serif"/>
          <w:b w:val="false"/>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spacing w:before="0" w:after="0"/>
        <w:jc w:val="left"/>
        <w:rPr/>
      </w:pPr>
      <w:r>
        <w:rPr/>
        <w:t> </w:t>
      </w:r>
    </w:p>
    <w:tbl>
      <w:tblPr>
        <w:tblW w:w="4995" w:type="dxa"/>
        <w:jc w:val="left"/>
        <w:tblInd w:w="0" w:type="dxa"/>
        <w:tblCellMar>
          <w:top w:w="28" w:type="dxa"/>
          <w:left w:w="28" w:type="dxa"/>
          <w:bottom w:w="28" w:type="dxa"/>
          <w:right w:w="28" w:type="dxa"/>
        </w:tblCellMar>
      </w:tblPr>
      <w:tblGrid>
        <w:gridCol w:w="2101"/>
        <w:gridCol w:w="316"/>
        <w:gridCol w:w="146"/>
        <w:gridCol w:w="2071"/>
        <w:gridCol w:w="361"/>
      </w:tblGrid>
      <w:tr>
        <w:trPr/>
        <w:tc>
          <w:tcPr>
            <w:tcW w:w="2101"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071"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r>
      <w:tr>
        <w:trPr/>
        <w:tc>
          <w:tcPr>
            <w:tcW w:w="2101" w:type="dxa"/>
            <w:tcBorders/>
            <w:shd w:fill="auto" w:val="clear"/>
            <w:vAlign w:val="center"/>
          </w:tcPr>
          <w:p>
            <w:pPr>
              <w:pStyle w:val="TableContents"/>
              <w:spacing w:before="0" w:after="0"/>
              <w:ind w:left="0" w:right="0" w:hanging="0"/>
              <w:jc w:val="left"/>
              <w:rPr>
                <w:rFonts w:ascii="Times New Roman" w:hAnsi="Times New Roman"/>
                <w:sz w:val="18"/>
              </w:rPr>
            </w:pPr>
            <w:r>
              <w:rPr>
                <w:rFonts w:ascii="Times New Roman;serif" w:hAnsi="Times New Roman;serif"/>
                <w:b w:val="false"/>
                <w:sz w:val="18"/>
              </w:rPr>
              <w:t>Large accelerated filer</w:t>
            </w:r>
            <w:r>
              <w:rPr>
                <w:rFonts w:ascii="Times New Roman" w:hAnsi="Times New Roman"/>
                <w:sz w:val="18"/>
              </w:rPr>
              <w:t xml:space="preserve"> </w:t>
            </w:r>
          </w:p>
        </w:tc>
        <w:tc>
          <w:tcPr>
            <w:tcW w:w="316" w:type="dxa"/>
            <w:tcBorders/>
            <w:shd w:fill="auto" w:val="clear"/>
            <w:vAlign w:val="center"/>
          </w:tcPr>
          <w:p>
            <w:pPr>
              <w:pStyle w:val="TableContents"/>
              <w:spacing w:before="0" w:after="0"/>
              <w:ind w:left="0" w:right="0" w:hanging="0"/>
              <w:jc w:val="left"/>
              <w:rPr/>
            </w:pPr>
            <w:r>
              <w:rPr/>
              <w:t>☐</w:t>
            </w:r>
          </w:p>
        </w:tc>
        <w:tc>
          <w:tcPr>
            <w:tcW w:w="146" w:type="dxa"/>
            <w:tcBorders/>
            <w:shd w:fill="auto" w:val="clear"/>
            <w:vAlign w:val="center"/>
          </w:tcPr>
          <w:p>
            <w:pPr>
              <w:pStyle w:val="TableContents"/>
              <w:spacing w:before="0" w:after="0"/>
              <w:ind w:left="0" w:right="0" w:hanging="0"/>
              <w:jc w:val="right"/>
              <w:rPr/>
            </w:pPr>
            <w:r>
              <w:rPr/>
              <w:t> </w:t>
            </w:r>
          </w:p>
        </w:tc>
        <w:tc>
          <w:tcPr>
            <w:tcW w:w="2071" w:type="dxa"/>
            <w:tcBorders/>
            <w:shd w:fill="auto" w:val="clear"/>
            <w:vAlign w:val="center"/>
          </w:tcPr>
          <w:p>
            <w:pPr>
              <w:pStyle w:val="TableContents"/>
              <w:spacing w:before="0" w:after="0"/>
              <w:ind w:left="0" w:right="0" w:hanging="0"/>
              <w:jc w:val="left"/>
              <w:rPr>
                <w:rFonts w:ascii="Times New Roman" w:hAnsi="Times New Roman"/>
                <w:sz w:val="18"/>
              </w:rPr>
            </w:pPr>
            <w:r>
              <w:rPr>
                <w:rFonts w:ascii="Times New Roman;serif" w:hAnsi="Times New Roman;serif"/>
                <w:b w:val="false"/>
                <w:sz w:val="18"/>
              </w:rPr>
              <w:t>Accelerated filer</w:t>
            </w:r>
            <w:r>
              <w:rPr>
                <w:rFonts w:ascii="Times New Roman" w:hAnsi="Times New Roman"/>
                <w:sz w:val="18"/>
              </w:rPr>
              <w:t xml:space="preserve"> </w:t>
            </w:r>
          </w:p>
        </w:tc>
        <w:tc>
          <w:tcPr>
            <w:tcW w:w="361" w:type="dxa"/>
            <w:tcBorders/>
            <w:shd w:fill="auto" w:val="clear"/>
            <w:vAlign w:val="center"/>
          </w:tcPr>
          <w:p>
            <w:pPr>
              <w:pStyle w:val="TableContents"/>
              <w:spacing w:before="0" w:after="0"/>
              <w:ind w:left="0" w:right="0" w:hanging="0"/>
              <w:jc w:val="left"/>
              <w:rPr/>
            </w:pPr>
            <w:r>
              <w:rPr/>
              <w:t>☐</w:t>
            </w:r>
          </w:p>
        </w:tc>
      </w:tr>
      <w:tr>
        <w:trPr/>
        <w:tc>
          <w:tcPr>
            <w:tcW w:w="2101" w:type="dxa"/>
            <w:tcBorders/>
            <w:shd w:fill="auto" w:val="clear"/>
            <w:vAlign w:val="center"/>
          </w:tcPr>
          <w:p>
            <w:pPr>
              <w:pStyle w:val="TableContents"/>
              <w:spacing w:before="0" w:after="0"/>
              <w:ind w:left="0" w:right="0" w:hanging="0"/>
              <w:jc w:val="left"/>
              <w:rPr/>
            </w:pPr>
            <w:r>
              <w:rPr/>
              <w:t> </w:t>
            </w:r>
          </w:p>
        </w:tc>
        <w:tc>
          <w:tcPr>
            <w:tcW w:w="31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71" w:type="dxa"/>
            <w:tcBorders/>
            <w:shd w:fill="auto" w:val="clear"/>
            <w:vAlign w:val="center"/>
          </w:tcPr>
          <w:p>
            <w:pPr>
              <w:pStyle w:val="TableContents"/>
              <w:spacing w:before="0" w:after="0"/>
              <w:ind w:left="0" w:right="0" w:hanging="0"/>
              <w:jc w:val="left"/>
              <w:rPr/>
            </w:pPr>
            <w:r>
              <w:rPr/>
              <w:t> </w:t>
            </w:r>
          </w:p>
        </w:tc>
        <w:tc>
          <w:tcPr>
            <w:tcW w:w="361" w:type="dxa"/>
            <w:tcBorders/>
            <w:shd w:fill="auto" w:val="clear"/>
            <w:vAlign w:val="center"/>
          </w:tcPr>
          <w:p>
            <w:pPr>
              <w:pStyle w:val="TableContents"/>
              <w:spacing w:before="0" w:after="0"/>
              <w:ind w:left="0" w:right="0" w:hanging="0"/>
              <w:jc w:val="left"/>
              <w:rPr/>
            </w:pPr>
            <w:r>
              <w:rPr/>
              <w:t> </w:t>
            </w:r>
          </w:p>
        </w:tc>
      </w:tr>
      <w:tr>
        <w:trPr/>
        <w:tc>
          <w:tcPr>
            <w:tcW w:w="2101"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8"/>
              </w:rPr>
              <w:t>Non-accelerated filer</w:t>
            </w:r>
            <w:r>
              <w:rPr>
                <w:rFonts w:ascii="Times New Roman" w:hAnsi="Times New Roman"/>
                <w:sz w:val="20"/>
              </w:rPr>
              <w:t xml:space="preserve"> </w:t>
            </w:r>
          </w:p>
        </w:tc>
        <w:tc>
          <w:tcPr>
            <w:tcW w:w="316" w:type="dxa"/>
            <w:tcBorders/>
            <w:shd w:fill="auto" w:val="clear"/>
            <w:vAlign w:val="center"/>
          </w:tcPr>
          <w:p>
            <w:pPr>
              <w:pStyle w:val="TableContents"/>
              <w:spacing w:before="0" w:after="0"/>
              <w:ind w:left="0" w:right="0" w:hanging="0"/>
              <w:jc w:val="lef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2071" w:type="dxa"/>
            <w:tcBorders/>
            <w:shd w:fill="auto" w:val="clear"/>
            <w:vAlign w:val="center"/>
          </w:tcPr>
          <w:p>
            <w:pPr>
              <w:pStyle w:val="TableContents"/>
              <w:spacing w:before="0" w:after="0"/>
              <w:ind w:left="0" w:right="0" w:hanging="0"/>
              <w:jc w:val="left"/>
              <w:rPr>
                <w:rFonts w:ascii="Times New Roman" w:hAnsi="Times New Roman"/>
                <w:sz w:val="18"/>
              </w:rPr>
            </w:pPr>
            <w:r>
              <w:rPr>
                <w:rFonts w:ascii="Times New Roman;serif" w:hAnsi="Times New Roman;serif"/>
                <w:b w:val="false"/>
                <w:sz w:val="18"/>
              </w:rPr>
              <w:t>Smaller reporting company</w:t>
            </w:r>
            <w:r>
              <w:rPr>
                <w:rFonts w:ascii="Times New Roman" w:hAnsi="Times New Roman"/>
                <w:sz w:val="18"/>
              </w:rPr>
              <w:t xml:space="preserve"> </w:t>
            </w:r>
          </w:p>
        </w:tc>
        <w:tc>
          <w:tcPr>
            <w:tcW w:w="361" w:type="dxa"/>
            <w:tcBorders/>
            <w:shd w:fill="auto" w:val="clear"/>
            <w:vAlign w:val="center"/>
          </w:tcPr>
          <w:p>
            <w:pPr>
              <w:pStyle w:val="TableContents"/>
              <w:spacing w:before="0" w:after="0"/>
              <w:ind w:left="0" w:right="0" w:hanging="0"/>
              <w:jc w:val="left"/>
              <w:rPr/>
            </w:pPr>
            <w:r>
              <w:rPr/>
              <w:t>☒</w:t>
            </w:r>
          </w:p>
        </w:tc>
      </w:tr>
      <w:tr>
        <w:trPr/>
        <w:tc>
          <w:tcPr>
            <w:tcW w:w="2101" w:type="dxa"/>
            <w:tcBorders/>
            <w:shd w:fill="auto" w:val="clear"/>
            <w:vAlign w:val="center"/>
          </w:tcPr>
          <w:p>
            <w:pPr>
              <w:pStyle w:val="TableContents"/>
              <w:spacing w:before="0" w:after="0"/>
              <w:ind w:left="0" w:right="0" w:hanging="0"/>
              <w:jc w:val="left"/>
              <w:rPr/>
            </w:pPr>
            <w:r>
              <w:rPr/>
              <w:t> </w:t>
            </w:r>
          </w:p>
        </w:tc>
        <w:tc>
          <w:tcPr>
            <w:tcW w:w="31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71" w:type="dxa"/>
            <w:tcBorders/>
            <w:shd w:fill="auto" w:val="clear"/>
            <w:vAlign w:val="center"/>
          </w:tcPr>
          <w:p>
            <w:pPr>
              <w:pStyle w:val="TableContents"/>
              <w:spacing w:before="0" w:after="0"/>
              <w:ind w:left="0" w:right="0" w:hanging="0"/>
              <w:jc w:val="right"/>
              <w:rPr/>
            </w:pPr>
            <w:r>
              <w:rPr/>
              <w:t> </w:t>
            </w:r>
          </w:p>
        </w:tc>
        <w:tc>
          <w:tcPr>
            <w:tcW w:w="361" w:type="dxa"/>
            <w:tcBorders/>
            <w:shd w:fill="auto" w:val="clear"/>
            <w:vAlign w:val="center"/>
          </w:tcPr>
          <w:p>
            <w:pPr>
              <w:pStyle w:val="TableContents"/>
              <w:spacing w:before="0" w:after="0"/>
              <w:ind w:left="0" w:right="0" w:hanging="0"/>
              <w:jc w:val="left"/>
              <w:rPr/>
            </w:pPr>
            <w:r>
              <w:rPr/>
              <w:t> </w:t>
            </w:r>
          </w:p>
        </w:tc>
      </w:tr>
      <w:tr>
        <w:trPr/>
        <w:tc>
          <w:tcPr>
            <w:tcW w:w="2101" w:type="dxa"/>
            <w:tcBorders/>
            <w:shd w:fill="auto" w:val="clear"/>
            <w:vAlign w:val="center"/>
          </w:tcPr>
          <w:p>
            <w:pPr>
              <w:pStyle w:val="TableContents"/>
              <w:spacing w:before="0" w:after="0"/>
              <w:ind w:left="0" w:right="0" w:hanging="0"/>
              <w:jc w:val="left"/>
              <w:rPr>
                <w:rFonts w:ascii="Times New Roman" w:hAnsi="Times New Roman"/>
                <w:sz w:val="18"/>
              </w:rPr>
            </w:pPr>
            <w:r>
              <w:rPr>
                <w:rFonts w:ascii="Times New Roman;serif" w:hAnsi="Times New Roman;serif"/>
                <w:b w:val="false"/>
                <w:sz w:val="18"/>
              </w:rPr>
              <w:t>Emerging growth company</w:t>
            </w:r>
            <w:r>
              <w:rPr>
                <w:rFonts w:ascii="Times New Roman" w:hAnsi="Times New Roman"/>
                <w:sz w:val="18"/>
              </w:rPr>
              <w:t xml:space="preserve"> </w:t>
            </w:r>
          </w:p>
        </w:tc>
        <w:tc>
          <w:tcPr>
            <w:tcW w:w="316" w:type="dxa"/>
            <w:tcBorders/>
            <w:shd w:fill="auto" w:val="clear"/>
            <w:vAlign w:val="center"/>
          </w:tcPr>
          <w:p>
            <w:pPr>
              <w:pStyle w:val="TableContents"/>
              <w:spacing w:before="0" w:after="0"/>
              <w:ind w:left="0" w:right="0" w:hanging="0"/>
              <w:jc w:val="left"/>
              <w:rPr/>
            </w:pPr>
            <w:r>
              <w:rPr/>
              <w:t>☐</w:t>
            </w:r>
          </w:p>
        </w:tc>
        <w:tc>
          <w:tcPr>
            <w:tcW w:w="146" w:type="dxa"/>
            <w:tcBorders/>
            <w:shd w:fill="auto" w:val="clear"/>
            <w:vAlign w:val="center"/>
          </w:tcPr>
          <w:p>
            <w:pPr>
              <w:pStyle w:val="TableContents"/>
              <w:spacing w:before="0" w:after="0"/>
              <w:ind w:left="0" w:right="0" w:hanging="0"/>
              <w:jc w:val="right"/>
              <w:rPr/>
            </w:pPr>
            <w:r>
              <w:rPr/>
              <w:t> </w:t>
            </w:r>
          </w:p>
        </w:tc>
        <w:tc>
          <w:tcPr>
            <w:tcW w:w="2071" w:type="dxa"/>
            <w:tcBorders/>
            <w:shd w:fill="auto" w:val="clear"/>
            <w:vAlign w:val="center"/>
          </w:tcPr>
          <w:p>
            <w:pPr>
              <w:pStyle w:val="TableContents"/>
              <w:spacing w:before="0" w:after="0"/>
              <w:ind w:left="0" w:right="0" w:hanging="0"/>
              <w:jc w:val="right"/>
              <w:rPr/>
            </w:pPr>
            <w:r>
              <w:rPr/>
              <w:t> </w:t>
            </w:r>
          </w:p>
        </w:tc>
        <w:tc>
          <w:tcPr>
            <w:tcW w:w="361"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18"/>
        </w:rPr>
        <w:t xml:space="preserve">Indicate by check mark whether the registrant is a shell company (as defined in Rule 12b-2 of the Exchange Act). Yes </w:t>
      </w:r>
      <w:r>
        <w:rPr>
          <w:rFonts w:ascii="Times New Roman" w:hAnsi="Times New Roman"/>
          <w:sz w:val="20"/>
        </w:rPr>
        <w:t xml:space="preserve">☐ </w:t>
      </w:r>
      <w:r>
        <w:rPr>
          <w:rFonts w:ascii="Times New Roman;serif" w:hAnsi="Times New Roman;serif"/>
          <w:b w:val="false"/>
          <w:sz w:val="18"/>
        </w:rPr>
        <w:t xml:space="preserve">No </w:t>
      </w:r>
      <w:r>
        <w:rPr>
          <w:rFonts w:ascii="Times New Roman" w:hAnsi="Times New Roman"/>
          <w:sz w:val="20"/>
        </w:rPr>
        <w:t>☒</w:t>
      </w:r>
    </w:p>
    <w:p>
      <w:pPr>
        <w:pStyle w:val="TextBody"/>
        <w:spacing w:before="0" w:after="0"/>
        <w:jc w:val="left"/>
        <w:rPr/>
      </w:pPr>
      <w:r>
        <w:rPr/>
        <w:t> </w:t>
      </w:r>
    </w:p>
    <w:p>
      <w:pPr>
        <w:pStyle w:val="TextBody"/>
        <w:spacing w:before="0" w:after="0"/>
        <w:jc w:val="left"/>
        <w:rPr>
          <w:rFonts w:ascii="Times New Roman;serif" w:hAnsi="Times New Roman;serif"/>
          <w:b w:val="false"/>
          <w:sz w:val="18"/>
        </w:rPr>
      </w:pPr>
      <w:r>
        <w:rPr>
          <w:rFonts w:ascii="Times New Roman;serif" w:hAnsi="Times New Roman;serif"/>
          <w:b w:val="false"/>
          <w:sz w:val="18"/>
        </w:rPr>
        <w:t>Indicate the number of shares outstanding of each of the issuer’s classes of common stock, as of the latest practicable date.</w:t>
      </w:r>
    </w:p>
    <w:p>
      <w:pPr>
        <w:pStyle w:val="TextBody"/>
        <w:spacing w:before="0" w:after="0"/>
        <w:jc w:val="left"/>
        <w:rPr/>
      </w:pPr>
      <w:r>
        <w:rPr/>
        <w:t> </w:t>
      </w:r>
    </w:p>
    <w:tbl>
      <w:tblPr>
        <w:tblW w:w="4918" w:type="dxa"/>
        <w:jc w:val="left"/>
        <w:tblInd w:w="0" w:type="dxa"/>
        <w:tblCellMar>
          <w:top w:w="28" w:type="dxa"/>
          <w:left w:w="28" w:type="dxa"/>
          <w:bottom w:w="28" w:type="dxa"/>
          <w:right w:w="28" w:type="dxa"/>
        </w:tblCellMar>
      </w:tblPr>
      <w:tblGrid>
        <w:gridCol w:w="2506"/>
        <w:gridCol w:w="146"/>
        <w:gridCol w:w="2266"/>
      </w:tblGrid>
      <w:tr>
        <w:trPr/>
        <w:tc>
          <w:tcPr>
            <w:tcW w:w="250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66" w:type="dxa"/>
            <w:tcBorders/>
            <w:shd w:fill="auto" w:val="clear"/>
            <w:vAlign w:val="center"/>
          </w:tcPr>
          <w:p>
            <w:pPr>
              <w:pStyle w:val="TableContents"/>
              <w:spacing w:before="0" w:after="283"/>
              <w:rPr>
                <w:sz w:val="4"/>
                <w:szCs w:val="4"/>
              </w:rPr>
            </w:pPr>
            <w:r>
              <w:rPr>
                <w:sz w:val="4"/>
                <w:szCs w:val="4"/>
              </w:rPr>
            </w:r>
          </w:p>
        </w:tc>
      </w:tr>
      <w:tr>
        <w:trPr/>
        <w:tc>
          <w:tcPr>
            <w:tcW w:w="250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Class: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2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Outstanding at May 5, 2023:</w:t>
            </w:r>
          </w:p>
        </w:tc>
      </w:tr>
      <w:tr>
        <w:trPr/>
        <w:tc>
          <w:tcPr>
            <w:tcW w:w="2506"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Common Stock, $0.001 par value</w:t>
            </w:r>
          </w:p>
        </w:tc>
        <w:tc>
          <w:tcPr>
            <w:tcW w:w="146" w:type="dxa"/>
            <w:tcBorders/>
            <w:shd w:fill="auto" w:val="clear"/>
            <w:vAlign w:val="center"/>
          </w:tcPr>
          <w:p>
            <w:pPr>
              <w:pStyle w:val="TableContents"/>
              <w:spacing w:before="0" w:after="0"/>
              <w:ind w:left="0" w:right="0" w:hanging="0"/>
              <w:jc w:val="center"/>
              <w:rPr/>
            </w:pPr>
            <w:r>
              <w:rPr/>
              <w:t> </w:t>
            </w:r>
          </w:p>
        </w:tc>
        <w:tc>
          <w:tcPr>
            <w:tcW w:w="2266" w:type="dxa"/>
            <w:tcBorders/>
            <w:shd w:fill="auto" w:val="clear"/>
            <w:vAlign w:val="center"/>
          </w:tcPr>
          <w:p>
            <w:pPr>
              <w:pStyle w:val="TableContents"/>
              <w:spacing w:before="0" w:after="0"/>
              <w:ind w:left="0" w:right="0" w:hanging="0"/>
              <w:jc w:val="center"/>
              <w:rPr>
                <w:rFonts w:ascii="Times New Roman" w:hAnsi="Times New Roman"/>
                <w:sz w:val="20"/>
              </w:rPr>
            </w:pPr>
            <w:r>
              <w:rPr>
                <w:rFonts w:ascii="Times New Roman;serif" w:hAnsi="Times New Roman;serif"/>
                <w:b w:val="false"/>
                <w:sz w:val="18"/>
              </w:rPr>
              <w:t>508,766,846</w:t>
            </w:r>
            <w:r>
              <w:rPr>
                <w:rFonts w:ascii="Times New Roman" w:hAnsi="Times New Roman"/>
                <w:sz w:val="20"/>
              </w:rPr>
              <w:t> </w:t>
            </w:r>
            <w:r>
              <w:rPr>
                <w:rFonts w:ascii="Times New Roman;serif" w:hAnsi="Times New Roman;serif"/>
                <w:b w:val="false"/>
                <w:sz w:val="18"/>
              </w:rPr>
              <w:t>shares</w:t>
            </w:r>
          </w:p>
        </w:tc>
      </w:tr>
    </w:tbl>
    <w:p>
      <w:pPr>
        <w:pStyle w:val="TextBody"/>
        <w:pBdr>
          <w:bottom w:val="double" w:sz="6" w:space="1" w:color="000000"/>
        </w:pBdr>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0"/>
        <w:jc w:val="center"/>
        <w:rPr>
          <w:rFonts w:ascii="Times New Roman;serif" w:hAnsi="Times New Roman;serif"/>
          <w:b/>
          <w:sz w:val="20"/>
        </w:rPr>
      </w:pPr>
      <w:r>
        <w:rPr>
          <w:rFonts w:ascii="Times New Roman;serif" w:hAnsi="Times New Roman;serif"/>
          <w:b/>
          <w:sz w:val="20"/>
        </w:rPr>
        <w:t>GERON CORPORATION</w:t>
      </w:r>
    </w:p>
    <w:p>
      <w:pPr>
        <w:pStyle w:val="TextBody"/>
        <w:spacing w:before="0" w:after="0"/>
        <w:jc w:val="center"/>
        <w:rPr>
          <w:rFonts w:ascii="Times New Roman;serif" w:hAnsi="Times New Roman;serif"/>
          <w:b/>
          <w:sz w:val="20"/>
        </w:rPr>
      </w:pPr>
      <w:r>
        <w:rPr>
          <w:rFonts w:ascii="Times New Roman;serif" w:hAnsi="Times New Roman;serif"/>
          <w:b/>
          <w:sz w:val="20"/>
        </w:rPr>
        <w:t>QUARTERLY REPORT ON FORM 10-Q</w:t>
      </w:r>
    </w:p>
    <w:p>
      <w:pPr>
        <w:pStyle w:val="TextBody"/>
        <w:spacing w:before="0" w:after="0"/>
        <w:jc w:val="center"/>
        <w:rPr>
          <w:rFonts w:ascii="Times New Roman" w:hAnsi="Times New Roman"/>
          <w:sz w:val="20"/>
        </w:rPr>
      </w:pPr>
      <w:r>
        <w:rPr>
          <w:rFonts w:ascii="Times New Roman;serif" w:hAnsi="Times New Roman;serif"/>
          <w:b/>
          <w:sz w:val="20"/>
        </w:rPr>
        <w:t xml:space="preserve">FOR THE QUARTER ENDED </w:t>
      </w:r>
      <w:r>
        <w:rPr>
          <w:rFonts w:ascii="Times New Roman;serif" w:hAnsi="Times New Roman;serif"/>
          <w:b/>
          <w:caps/>
          <w:sz w:val="20"/>
        </w:rPr>
        <w:t>March 31, 2023</w:t>
      </w:r>
    </w:p>
    <w:p>
      <w:pPr>
        <w:pStyle w:val="TextBody"/>
        <w:spacing w:before="240" w:after="0"/>
        <w:jc w:val="center"/>
        <w:rPr>
          <w:rFonts w:ascii="Times New Roman;serif" w:hAnsi="Times New Roman;serif"/>
          <w:b/>
          <w:sz w:val="20"/>
        </w:rPr>
      </w:pPr>
      <w:bookmarkStart w:id="2" w:name="tableofcontents"/>
      <w:bookmarkEnd w:id="2"/>
      <w:r>
        <w:rPr>
          <w:rFonts w:ascii="Times New Roman;serif" w:hAnsi="Times New Roman;serif"/>
          <w:b/>
          <w:sz w:val="20"/>
        </w:rPr>
        <w:t>TABLE OF CONTENTS</w:t>
      </w:r>
    </w:p>
    <w:p>
      <w:pPr>
        <w:pStyle w:val="TextBody"/>
        <w:spacing w:before="0" w:after="0"/>
        <w:jc w:val="left"/>
        <w:rPr/>
      </w:pPr>
      <w:r>
        <w:rPr/>
        <w:t> </w:t>
      </w:r>
    </w:p>
    <w:tbl>
      <w:tblPr>
        <w:tblW w:w="8995" w:type="dxa"/>
        <w:jc w:val="left"/>
        <w:tblInd w:w="0" w:type="dxa"/>
        <w:tblCellMar>
          <w:top w:w="28" w:type="dxa"/>
          <w:left w:w="28" w:type="dxa"/>
          <w:bottom w:w="28" w:type="dxa"/>
          <w:right w:w="28" w:type="dxa"/>
        </w:tblCellMar>
      </w:tblPr>
      <w:tblGrid>
        <w:gridCol w:w="826"/>
        <w:gridCol w:w="146"/>
        <w:gridCol w:w="7366"/>
        <w:gridCol w:w="146"/>
        <w:gridCol w:w="511"/>
      </w:tblGrid>
      <w:tr>
        <w:trPr/>
        <w:tc>
          <w:tcPr>
            <w:tcW w:w="8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73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r>
      <w:tr>
        <w:trPr/>
        <w:tc>
          <w:tcPr>
            <w:tcW w:w="82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Page</w:t>
            </w:r>
          </w:p>
        </w:tc>
      </w:tr>
      <w:tr>
        <w:trPr/>
        <w:tc>
          <w:tcPr>
            <w:tcW w:w="8995" w:type="dxa"/>
            <w:gridSpan w:val="5"/>
            <w:tcBorders/>
            <w:shd w:fill="auto" w:val="clear"/>
            <w:vAlign w:val="center"/>
          </w:tcPr>
          <w:p>
            <w:pPr>
              <w:pStyle w:val="TableContents"/>
              <w:spacing w:before="0" w:after="0"/>
              <w:ind w:left="0" w:right="0" w:hanging="0"/>
              <w:jc w:val="center"/>
              <w:rPr/>
            </w:pPr>
            <w:hyperlink w:anchor="parti_financialinformation_091654">
              <w:r>
                <w:rPr>
                  <w:rStyle w:val="InternetLink"/>
                  <w:rFonts w:ascii="Times New Roman;serif" w:hAnsi="Times New Roman;serif"/>
                  <w:b/>
                  <w:sz w:val="20"/>
                  <w:u w:val="single"/>
                </w:rPr>
                <w:t>PART I. FINANCIAL INFORMATION</w:t>
              </w:r>
            </w:hyperlink>
          </w:p>
        </w:tc>
      </w:tr>
      <w:tr>
        <w:trPr/>
        <w:tc>
          <w:tcPr>
            <w:tcW w:w="82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pPr>
            <w:r>
              <w:rPr/>
              <w:t> </w:t>
            </w:r>
          </w:p>
        </w:tc>
      </w:tr>
      <w:tr>
        <w:trPr/>
        <w:tc>
          <w:tcPr>
            <w:tcW w:w="8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1:</w:t>
            </w:r>
          </w:p>
        </w:tc>
        <w:tc>
          <w:tcPr>
            <w:tcW w:w="146" w:type="dxa"/>
            <w:tcBorders/>
            <w:shd w:fill="auto" w:val="clear"/>
            <w:vAlign w:val="center"/>
          </w:tcPr>
          <w:p>
            <w:pPr>
              <w:pStyle w:val="TableContents"/>
              <w:spacing w:before="0" w:after="0"/>
              <w:ind w:left="0" w:right="0" w:hanging="0"/>
              <w:jc w:val="left"/>
              <w:rPr/>
            </w:pPr>
            <w:r>
              <w:rPr/>
              <w:t> </w:t>
            </w:r>
          </w:p>
        </w:tc>
        <w:tc>
          <w:tcPr>
            <w:tcW w:w="7366" w:type="dxa"/>
            <w:tcBorders/>
            <w:shd w:fill="auto" w:val="clear"/>
            <w:vAlign w:val="center"/>
          </w:tcPr>
          <w:p>
            <w:pPr>
              <w:pStyle w:val="TableContents"/>
              <w:spacing w:before="0" w:after="0"/>
              <w:ind w:left="0" w:right="0" w:hanging="0"/>
              <w:jc w:val="left"/>
              <w:rPr/>
            </w:pPr>
            <w:hyperlink w:anchor="item1_condensedfinancialstatemen_125311">
              <w:r>
                <w:rPr>
                  <w:rStyle w:val="InternetLink"/>
                  <w:rFonts w:ascii="Times New Roman;serif" w:hAnsi="Times New Roman;serif"/>
                  <w:b w:val="false"/>
                  <w:sz w:val="20"/>
                  <w:u w:val="single"/>
                </w:rPr>
                <w:t>Financial Statements (Unaudited)</w:t>
              </w:r>
            </w:hyperlink>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3</w:t>
            </w:r>
          </w:p>
        </w:tc>
      </w:tr>
      <w:tr>
        <w:trPr/>
        <w:tc>
          <w:tcPr>
            <w:tcW w:w="82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66" w:type="dxa"/>
            <w:tcBorders/>
            <w:shd w:fill="auto" w:val="clear"/>
            <w:vAlign w:val="center"/>
          </w:tcPr>
          <w:p>
            <w:pPr>
              <w:pStyle w:val="TableContents"/>
              <w:spacing w:before="0" w:after="0"/>
              <w:ind w:left="0" w:right="0" w:hanging="0"/>
              <w:jc w:val="left"/>
              <w:rPr/>
            </w:pPr>
            <w:hyperlink w:anchor="condensedbalancesheets_091656">
              <w:r>
                <w:rPr>
                  <w:rStyle w:val="InternetLink"/>
                  <w:rFonts w:ascii="Times New Roman;serif" w:hAnsi="Times New Roman;serif"/>
                  <w:b w:val="false"/>
                  <w:sz w:val="20"/>
                  <w:u w:val="single"/>
                </w:rPr>
                <w:t>Condensed Consolidated Balance Sheets</w:t>
              </w:r>
            </w:hyperlink>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3</w:t>
            </w:r>
          </w:p>
        </w:tc>
      </w:tr>
      <w:tr>
        <w:trPr/>
        <w:tc>
          <w:tcPr>
            <w:tcW w:w="82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66" w:type="dxa"/>
            <w:tcBorders/>
            <w:shd w:fill="auto" w:val="clear"/>
            <w:vAlign w:val="center"/>
          </w:tcPr>
          <w:p>
            <w:pPr>
              <w:pStyle w:val="TableContents"/>
              <w:spacing w:before="0" w:after="0"/>
              <w:ind w:left="0" w:right="0" w:hanging="0"/>
              <w:jc w:val="left"/>
              <w:rPr/>
            </w:pPr>
            <w:hyperlink w:anchor="condensedstatementsofoperations_091820">
              <w:r>
                <w:rPr>
                  <w:rStyle w:val="InternetLink"/>
                  <w:rFonts w:ascii="Times New Roman;serif" w:hAnsi="Times New Roman;serif"/>
                  <w:b w:val="false"/>
                  <w:sz w:val="20"/>
                  <w:u w:val="single"/>
                </w:rPr>
                <w:t>Condensed Consolidated Statements of Operations</w:t>
              </w:r>
            </w:hyperlink>
            <w:hyperlink w:anchor="condensedstatementsofoperations_091820">
              <w:r>
                <w:rPr>
                  <w:rStyle w:val="InternetLink"/>
                  <w:rFonts w:ascii="Times New Roman" w:hAnsi="Times New Roman"/>
                  <w:sz w:val="20"/>
                </w:rPr>
                <w:t xml:space="preserve"> </w:t>
              </w:r>
            </w:hyperlink>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4</w:t>
            </w:r>
          </w:p>
        </w:tc>
      </w:tr>
      <w:tr>
        <w:trPr/>
        <w:tc>
          <w:tcPr>
            <w:tcW w:w="82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66" w:type="dxa"/>
            <w:tcBorders/>
            <w:shd w:fill="auto" w:val="clear"/>
            <w:vAlign w:val="center"/>
          </w:tcPr>
          <w:p>
            <w:pPr>
              <w:pStyle w:val="TableContents"/>
              <w:spacing w:before="0" w:after="0"/>
              <w:ind w:left="0" w:right="0" w:hanging="0"/>
              <w:jc w:val="left"/>
              <w:rPr/>
            </w:pPr>
            <w:hyperlink w:anchor="condensedstatementsofcomprehensi_093353">
              <w:r>
                <w:rPr>
                  <w:rStyle w:val="InternetLink"/>
                  <w:rFonts w:ascii="Times New Roman;serif" w:hAnsi="Times New Roman;serif"/>
                  <w:b w:val="false"/>
                  <w:sz w:val="20"/>
                  <w:u w:val="single"/>
                </w:rPr>
                <w:t>Condensed Consolidated Statements of Comprehensive Loss</w:t>
              </w:r>
            </w:hyperlink>
            <w:hyperlink w:anchor="condensedstatementsofcomprehensi_093353">
              <w:r>
                <w:rPr>
                  <w:rStyle w:val="InternetLink"/>
                  <w:rFonts w:ascii="Times New Roman" w:hAnsi="Times New Roman"/>
                  <w:sz w:val="20"/>
                </w:rPr>
                <w:t xml:space="preserve"> </w:t>
              </w:r>
            </w:hyperlink>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5</w:t>
            </w:r>
          </w:p>
        </w:tc>
      </w:tr>
      <w:tr>
        <w:trPr/>
        <w:tc>
          <w:tcPr>
            <w:tcW w:w="82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66" w:type="dxa"/>
            <w:tcBorders/>
            <w:shd w:fill="auto" w:val="clear"/>
            <w:vAlign w:val="center"/>
          </w:tcPr>
          <w:p>
            <w:pPr>
              <w:pStyle w:val="TableContents"/>
              <w:spacing w:before="0" w:after="0"/>
              <w:ind w:left="0" w:right="0" w:hanging="0"/>
              <w:jc w:val="left"/>
              <w:rPr/>
            </w:pPr>
            <w:hyperlink w:anchor="condensed_statements_stockholders_equity">
              <w:r>
                <w:rPr>
                  <w:rStyle w:val="InternetLink"/>
                  <w:rFonts w:ascii="Times New Roman;serif" w:hAnsi="Times New Roman;serif"/>
                  <w:b w:val="false"/>
                  <w:sz w:val="20"/>
                  <w:u w:val="single"/>
                </w:rPr>
                <w:t>Condensed Consolidated Statements of Stockholders’ Equity</w:t>
              </w:r>
            </w:hyperlink>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6</w:t>
            </w:r>
          </w:p>
        </w:tc>
      </w:tr>
      <w:tr>
        <w:trPr/>
        <w:tc>
          <w:tcPr>
            <w:tcW w:w="82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66" w:type="dxa"/>
            <w:tcBorders/>
            <w:shd w:fill="auto" w:val="clear"/>
            <w:vAlign w:val="center"/>
          </w:tcPr>
          <w:p>
            <w:pPr>
              <w:pStyle w:val="TableContents"/>
              <w:spacing w:before="0" w:after="0"/>
              <w:ind w:left="0" w:right="0" w:hanging="0"/>
              <w:jc w:val="left"/>
              <w:rPr/>
            </w:pPr>
            <w:hyperlink w:anchor="condensedstatementsofcashflows_093532">
              <w:r>
                <w:rPr>
                  <w:rStyle w:val="InternetLink"/>
                  <w:rFonts w:ascii="Times New Roman;serif" w:hAnsi="Times New Roman;serif"/>
                  <w:b w:val="false"/>
                  <w:sz w:val="20"/>
                  <w:u w:val="single"/>
                </w:rPr>
                <w:t>Condensed Consolidated Statements of Cash Flows</w:t>
              </w:r>
            </w:hyperlink>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7</w:t>
            </w:r>
          </w:p>
        </w:tc>
      </w:tr>
      <w:tr>
        <w:trPr/>
        <w:tc>
          <w:tcPr>
            <w:tcW w:w="82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66" w:type="dxa"/>
            <w:tcBorders/>
            <w:shd w:fill="auto" w:val="clear"/>
            <w:vAlign w:val="center"/>
          </w:tcPr>
          <w:p>
            <w:pPr>
              <w:pStyle w:val="TableContents"/>
              <w:spacing w:before="0" w:after="0"/>
              <w:ind w:left="0" w:right="0" w:hanging="0"/>
              <w:jc w:val="left"/>
              <w:rPr>
                <w:rFonts w:ascii="Times New Roman;serif" w:hAnsi="Times New Roman;serif"/>
                <w:b w:val="false"/>
                <w:sz w:val="20"/>
                <w:u w:val="single"/>
              </w:rPr>
            </w:pPr>
            <w:r>
              <w:rPr>
                <w:rFonts w:ascii="Times New Roman;serif" w:hAnsi="Times New Roman;serif"/>
                <w:b w:val="false"/>
                <w:sz w:val="20"/>
                <w:u w:val="single"/>
              </w:rPr>
              <w:t>Notes to Condensed Consolidated Financial Statements</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8</w:t>
            </w:r>
          </w:p>
        </w:tc>
      </w:tr>
      <w:tr>
        <w:trPr/>
        <w:tc>
          <w:tcPr>
            <w:tcW w:w="8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2:</w:t>
            </w:r>
          </w:p>
        </w:tc>
        <w:tc>
          <w:tcPr>
            <w:tcW w:w="146" w:type="dxa"/>
            <w:tcBorders/>
            <w:shd w:fill="auto" w:val="clear"/>
            <w:vAlign w:val="center"/>
          </w:tcPr>
          <w:p>
            <w:pPr>
              <w:pStyle w:val="TableContents"/>
              <w:spacing w:before="0" w:after="0"/>
              <w:ind w:left="0" w:right="0" w:hanging="0"/>
              <w:jc w:val="left"/>
              <w:rPr/>
            </w:pPr>
            <w:r>
              <w:rPr/>
              <w:t> </w:t>
            </w:r>
          </w:p>
        </w:tc>
        <w:tc>
          <w:tcPr>
            <w:tcW w:w="7366" w:type="dxa"/>
            <w:tcBorders/>
            <w:shd w:fill="auto" w:val="clear"/>
            <w:vAlign w:val="center"/>
          </w:tcPr>
          <w:p>
            <w:pPr>
              <w:pStyle w:val="TableContents"/>
              <w:spacing w:before="0" w:after="0"/>
              <w:ind w:left="0" w:right="0" w:hanging="0"/>
              <w:jc w:val="left"/>
              <w:rPr>
                <w:rFonts w:ascii="Times New Roman;serif" w:hAnsi="Times New Roman;serif"/>
                <w:b w:val="false"/>
                <w:sz w:val="20"/>
                <w:u w:val="single"/>
              </w:rPr>
            </w:pPr>
            <w:r>
              <w:rPr>
                <w:rFonts w:ascii="Times New Roman;serif" w:hAnsi="Times New Roman;serif"/>
                <w:b w:val="false"/>
                <w:sz w:val="20"/>
                <w:u w:val="single"/>
              </w:rPr>
              <w:t>Management’s Discussion and Analysis of Financial Condition and Results of Operations</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22</w:t>
            </w:r>
          </w:p>
        </w:tc>
      </w:tr>
      <w:tr>
        <w:trPr/>
        <w:tc>
          <w:tcPr>
            <w:tcW w:w="8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3:</w:t>
            </w:r>
          </w:p>
        </w:tc>
        <w:tc>
          <w:tcPr>
            <w:tcW w:w="146" w:type="dxa"/>
            <w:tcBorders/>
            <w:shd w:fill="auto" w:val="clear"/>
            <w:vAlign w:val="center"/>
          </w:tcPr>
          <w:p>
            <w:pPr>
              <w:pStyle w:val="TableContents"/>
              <w:spacing w:before="0" w:after="0"/>
              <w:ind w:left="0" w:right="0" w:hanging="0"/>
              <w:jc w:val="left"/>
              <w:rPr/>
            </w:pPr>
            <w:r>
              <w:rPr/>
              <w:t> </w:t>
            </w:r>
          </w:p>
        </w:tc>
        <w:tc>
          <w:tcPr>
            <w:tcW w:w="7366" w:type="dxa"/>
            <w:tcBorders/>
            <w:shd w:fill="auto" w:val="clear"/>
            <w:vAlign w:val="center"/>
          </w:tcPr>
          <w:p>
            <w:pPr>
              <w:pStyle w:val="TableContents"/>
              <w:spacing w:before="0" w:after="0"/>
              <w:ind w:left="0" w:right="0" w:hanging="0"/>
              <w:jc w:val="left"/>
              <w:rPr/>
            </w:pPr>
            <w:hyperlink w:anchor="item3_quantitativeandqualitative_111536">
              <w:r>
                <w:rPr>
                  <w:rStyle w:val="InternetLink"/>
                  <w:rFonts w:ascii="Times New Roman;serif" w:hAnsi="Times New Roman;serif"/>
                  <w:b w:val="false"/>
                  <w:sz w:val="20"/>
                  <w:u w:val="single"/>
                </w:rPr>
                <w:t>Quantitative and Qualitative Disclosures About Market Risk</w:t>
              </w:r>
            </w:hyperlink>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30</w:t>
            </w:r>
          </w:p>
        </w:tc>
      </w:tr>
      <w:tr>
        <w:trPr/>
        <w:tc>
          <w:tcPr>
            <w:tcW w:w="8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4:</w:t>
            </w:r>
          </w:p>
        </w:tc>
        <w:tc>
          <w:tcPr>
            <w:tcW w:w="146" w:type="dxa"/>
            <w:tcBorders/>
            <w:shd w:fill="auto" w:val="clear"/>
            <w:vAlign w:val="center"/>
          </w:tcPr>
          <w:p>
            <w:pPr>
              <w:pStyle w:val="TableContents"/>
              <w:spacing w:before="0" w:after="0"/>
              <w:ind w:left="0" w:right="0" w:hanging="0"/>
              <w:jc w:val="left"/>
              <w:rPr/>
            </w:pPr>
            <w:r>
              <w:rPr/>
              <w:t> </w:t>
            </w:r>
          </w:p>
        </w:tc>
        <w:tc>
          <w:tcPr>
            <w:tcW w:w="7366" w:type="dxa"/>
            <w:tcBorders/>
            <w:shd w:fill="auto" w:val="clear"/>
            <w:vAlign w:val="center"/>
          </w:tcPr>
          <w:p>
            <w:pPr>
              <w:pStyle w:val="TableContents"/>
              <w:spacing w:before="0" w:after="0"/>
              <w:ind w:left="0" w:right="0" w:hanging="0"/>
              <w:jc w:val="left"/>
              <w:rPr/>
            </w:pPr>
            <w:hyperlink w:anchor="item4_controlsandprocedures_112118">
              <w:r>
                <w:rPr>
                  <w:rStyle w:val="InternetLink"/>
                  <w:rFonts w:ascii="Times New Roman;serif" w:hAnsi="Times New Roman;serif"/>
                  <w:b w:val="false"/>
                  <w:sz w:val="20"/>
                  <w:u w:val="single"/>
                </w:rPr>
                <w:t>Controls and Procedures</w:t>
              </w:r>
            </w:hyperlink>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30</w:t>
            </w:r>
          </w:p>
        </w:tc>
      </w:tr>
      <w:tr>
        <w:trPr/>
        <w:tc>
          <w:tcPr>
            <w:tcW w:w="82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pPr>
            <w:r>
              <w:rPr/>
              <w:t> </w:t>
            </w:r>
          </w:p>
        </w:tc>
      </w:tr>
      <w:tr>
        <w:trPr/>
        <w:tc>
          <w:tcPr>
            <w:tcW w:w="8995" w:type="dxa"/>
            <w:gridSpan w:val="5"/>
            <w:tcBorders/>
            <w:shd w:fill="auto" w:val="clear"/>
            <w:vAlign w:val="center"/>
          </w:tcPr>
          <w:p>
            <w:pPr>
              <w:pStyle w:val="TableContents"/>
              <w:spacing w:before="0" w:after="0"/>
              <w:ind w:left="0" w:right="0" w:hanging="0"/>
              <w:jc w:val="center"/>
              <w:rPr/>
            </w:pPr>
            <w:hyperlink w:anchor="part_ii_or_information">
              <w:r>
                <w:rPr>
                  <w:rStyle w:val="InternetLink"/>
                  <w:rFonts w:ascii="Times New Roman;serif" w:hAnsi="Times New Roman;serif"/>
                  <w:b/>
                  <w:sz w:val="20"/>
                  <w:u w:val="single"/>
                </w:rPr>
                <w:t>PART II. OTHER INFORMATION</w:t>
              </w:r>
            </w:hyperlink>
          </w:p>
        </w:tc>
      </w:tr>
      <w:tr>
        <w:trPr/>
        <w:tc>
          <w:tcPr>
            <w:tcW w:w="82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pPr>
            <w:r>
              <w:rPr/>
              <w:t> </w:t>
            </w:r>
          </w:p>
        </w:tc>
      </w:tr>
      <w:tr>
        <w:trPr/>
        <w:tc>
          <w:tcPr>
            <w:tcW w:w="8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1:</w:t>
            </w:r>
          </w:p>
        </w:tc>
        <w:tc>
          <w:tcPr>
            <w:tcW w:w="146" w:type="dxa"/>
            <w:tcBorders/>
            <w:shd w:fill="auto" w:val="clear"/>
            <w:vAlign w:val="center"/>
          </w:tcPr>
          <w:p>
            <w:pPr>
              <w:pStyle w:val="TableContents"/>
              <w:spacing w:before="0" w:after="0"/>
              <w:ind w:left="0" w:right="0" w:hanging="0"/>
              <w:jc w:val="left"/>
              <w:rPr/>
            </w:pPr>
            <w:r>
              <w:rPr/>
              <w:t> </w:t>
            </w:r>
          </w:p>
        </w:tc>
        <w:tc>
          <w:tcPr>
            <w:tcW w:w="7366" w:type="dxa"/>
            <w:tcBorders/>
            <w:shd w:fill="auto" w:val="clear"/>
            <w:vAlign w:val="center"/>
          </w:tcPr>
          <w:p>
            <w:pPr>
              <w:pStyle w:val="TableContents"/>
              <w:spacing w:before="0" w:after="0"/>
              <w:ind w:left="0" w:right="0" w:hanging="0"/>
              <w:jc w:val="left"/>
              <w:rPr/>
            </w:pPr>
            <w:hyperlink w:anchor="item_1_legal_proceedings">
              <w:r>
                <w:rPr>
                  <w:rStyle w:val="InternetLink"/>
                  <w:rFonts w:ascii="Times New Roman;serif" w:hAnsi="Times New Roman;serif"/>
                  <w:b w:val="false"/>
                  <w:sz w:val="20"/>
                  <w:u w:val="single"/>
                </w:rPr>
                <w:t>Legal Proceedings</w:t>
              </w:r>
            </w:hyperlink>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30</w:t>
            </w:r>
          </w:p>
        </w:tc>
      </w:tr>
      <w:tr>
        <w:trPr/>
        <w:tc>
          <w:tcPr>
            <w:tcW w:w="8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1A:</w:t>
            </w:r>
          </w:p>
        </w:tc>
        <w:tc>
          <w:tcPr>
            <w:tcW w:w="146" w:type="dxa"/>
            <w:tcBorders/>
            <w:shd w:fill="auto" w:val="clear"/>
            <w:vAlign w:val="center"/>
          </w:tcPr>
          <w:p>
            <w:pPr>
              <w:pStyle w:val="TableContents"/>
              <w:spacing w:before="0" w:after="0"/>
              <w:ind w:left="0" w:right="0" w:hanging="0"/>
              <w:jc w:val="left"/>
              <w:rPr/>
            </w:pPr>
            <w:r>
              <w:rPr/>
              <w:t> </w:t>
            </w:r>
          </w:p>
        </w:tc>
        <w:tc>
          <w:tcPr>
            <w:tcW w:w="7366" w:type="dxa"/>
            <w:tcBorders/>
            <w:shd w:fill="auto" w:val="clear"/>
            <w:vAlign w:val="center"/>
          </w:tcPr>
          <w:p>
            <w:pPr>
              <w:pStyle w:val="TableContents"/>
              <w:spacing w:before="0" w:after="0"/>
              <w:ind w:left="0" w:right="0" w:hanging="0"/>
              <w:jc w:val="left"/>
              <w:rPr>
                <w:rFonts w:ascii="Times New Roman;serif" w:hAnsi="Times New Roman;serif"/>
                <w:b w:val="false"/>
                <w:sz w:val="20"/>
                <w:u w:val="single"/>
              </w:rPr>
            </w:pPr>
            <w:r>
              <w:rPr>
                <w:rFonts w:ascii="Times New Roman;serif" w:hAnsi="Times New Roman;serif"/>
                <w:b w:val="false"/>
                <w:sz w:val="20"/>
                <w:u w:val="single"/>
              </w:rPr>
              <w:t>Risk Factors</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31</w:t>
            </w:r>
          </w:p>
        </w:tc>
      </w:tr>
      <w:tr>
        <w:trPr/>
        <w:tc>
          <w:tcPr>
            <w:tcW w:w="8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2:</w:t>
            </w:r>
          </w:p>
        </w:tc>
        <w:tc>
          <w:tcPr>
            <w:tcW w:w="146" w:type="dxa"/>
            <w:tcBorders/>
            <w:shd w:fill="auto" w:val="clear"/>
            <w:vAlign w:val="center"/>
          </w:tcPr>
          <w:p>
            <w:pPr>
              <w:pStyle w:val="TableContents"/>
              <w:spacing w:before="0" w:after="0"/>
              <w:ind w:left="0" w:right="0" w:hanging="0"/>
              <w:jc w:val="left"/>
              <w:rPr/>
            </w:pPr>
            <w:r>
              <w:rPr/>
              <w:t> </w:t>
            </w:r>
          </w:p>
        </w:tc>
        <w:tc>
          <w:tcPr>
            <w:tcW w:w="7366" w:type="dxa"/>
            <w:tcBorders/>
            <w:shd w:fill="auto" w:val="clear"/>
            <w:vAlign w:val="center"/>
          </w:tcPr>
          <w:p>
            <w:pPr>
              <w:pStyle w:val="TableContents"/>
              <w:spacing w:before="0" w:after="0"/>
              <w:ind w:left="0" w:right="0" w:hanging="0"/>
              <w:jc w:val="left"/>
              <w:rPr/>
            </w:pPr>
            <w:hyperlink w:anchor="item2_unregisteredsalesofequitys_115807">
              <w:r>
                <w:rPr>
                  <w:rStyle w:val="InternetLink"/>
                  <w:rFonts w:ascii="Times New Roman;serif" w:hAnsi="Times New Roman;serif"/>
                  <w:b w:val="false"/>
                  <w:sz w:val="20"/>
                  <w:u w:val="single"/>
                </w:rPr>
                <w:t>Unregistered Sales of Equity Securities and Use of Proceeds</w:t>
              </w:r>
            </w:hyperlink>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78</w:t>
            </w:r>
          </w:p>
        </w:tc>
      </w:tr>
      <w:tr>
        <w:trPr/>
        <w:tc>
          <w:tcPr>
            <w:tcW w:w="8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3:</w:t>
            </w:r>
          </w:p>
        </w:tc>
        <w:tc>
          <w:tcPr>
            <w:tcW w:w="146" w:type="dxa"/>
            <w:tcBorders/>
            <w:shd w:fill="auto" w:val="clear"/>
            <w:vAlign w:val="center"/>
          </w:tcPr>
          <w:p>
            <w:pPr>
              <w:pStyle w:val="TableContents"/>
              <w:spacing w:before="0" w:after="0"/>
              <w:ind w:left="0" w:right="0" w:hanging="0"/>
              <w:jc w:val="left"/>
              <w:rPr/>
            </w:pPr>
            <w:r>
              <w:rPr/>
              <w:t> </w:t>
            </w:r>
          </w:p>
        </w:tc>
        <w:tc>
          <w:tcPr>
            <w:tcW w:w="7366" w:type="dxa"/>
            <w:tcBorders/>
            <w:shd w:fill="auto" w:val="clear"/>
            <w:vAlign w:val="center"/>
          </w:tcPr>
          <w:p>
            <w:pPr>
              <w:pStyle w:val="TableContents"/>
              <w:spacing w:before="0" w:after="0"/>
              <w:ind w:left="0" w:right="0" w:hanging="0"/>
              <w:jc w:val="left"/>
              <w:rPr/>
            </w:pPr>
            <w:hyperlink w:anchor="item3_defaultsuponseniorsecuriti_115814">
              <w:r>
                <w:rPr>
                  <w:rStyle w:val="InternetLink"/>
                  <w:rFonts w:ascii="Times New Roman;serif" w:hAnsi="Times New Roman;serif"/>
                  <w:b w:val="false"/>
                  <w:sz w:val="20"/>
                  <w:u w:val="single"/>
                </w:rPr>
                <w:t>Defaults Upon Senior Securities</w:t>
              </w:r>
            </w:hyperlink>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78</w:t>
            </w:r>
          </w:p>
        </w:tc>
      </w:tr>
      <w:tr>
        <w:trPr/>
        <w:tc>
          <w:tcPr>
            <w:tcW w:w="8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4:</w:t>
            </w:r>
          </w:p>
        </w:tc>
        <w:tc>
          <w:tcPr>
            <w:tcW w:w="146" w:type="dxa"/>
            <w:tcBorders/>
            <w:shd w:fill="auto" w:val="clear"/>
            <w:vAlign w:val="center"/>
          </w:tcPr>
          <w:p>
            <w:pPr>
              <w:pStyle w:val="TableContents"/>
              <w:spacing w:before="0" w:after="0"/>
              <w:ind w:left="0" w:right="0" w:hanging="0"/>
              <w:jc w:val="left"/>
              <w:rPr/>
            </w:pPr>
            <w:r>
              <w:rPr/>
              <w:t> </w:t>
            </w:r>
          </w:p>
        </w:tc>
        <w:tc>
          <w:tcPr>
            <w:tcW w:w="7366" w:type="dxa"/>
            <w:tcBorders/>
            <w:shd w:fill="auto" w:val="clear"/>
            <w:vAlign w:val="center"/>
          </w:tcPr>
          <w:p>
            <w:pPr>
              <w:pStyle w:val="TableContents"/>
              <w:spacing w:before="0" w:after="0"/>
              <w:ind w:left="0" w:right="0" w:hanging="0"/>
              <w:jc w:val="left"/>
              <w:rPr/>
            </w:pPr>
            <w:hyperlink w:anchor="item4_minesafetydisclosures_115825">
              <w:r>
                <w:rPr>
                  <w:rStyle w:val="InternetLink"/>
                  <w:rFonts w:ascii="Times New Roman;serif" w:hAnsi="Times New Roman;serif"/>
                  <w:b w:val="false"/>
                  <w:sz w:val="20"/>
                  <w:u w:val="single"/>
                </w:rPr>
                <w:t>Mine Safety Disclosures</w:t>
              </w:r>
            </w:hyperlink>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78</w:t>
            </w:r>
          </w:p>
        </w:tc>
      </w:tr>
      <w:tr>
        <w:trPr/>
        <w:tc>
          <w:tcPr>
            <w:tcW w:w="8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5:</w:t>
            </w:r>
          </w:p>
        </w:tc>
        <w:tc>
          <w:tcPr>
            <w:tcW w:w="146" w:type="dxa"/>
            <w:tcBorders/>
            <w:shd w:fill="auto" w:val="clear"/>
            <w:vAlign w:val="center"/>
          </w:tcPr>
          <w:p>
            <w:pPr>
              <w:pStyle w:val="TableContents"/>
              <w:spacing w:before="0" w:after="0"/>
              <w:ind w:left="0" w:right="0" w:hanging="0"/>
              <w:jc w:val="left"/>
              <w:rPr/>
            </w:pPr>
            <w:r>
              <w:rPr/>
              <w:t> </w:t>
            </w:r>
          </w:p>
        </w:tc>
        <w:tc>
          <w:tcPr>
            <w:tcW w:w="7366" w:type="dxa"/>
            <w:tcBorders/>
            <w:shd w:fill="auto" w:val="clear"/>
            <w:vAlign w:val="center"/>
          </w:tcPr>
          <w:p>
            <w:pPr>
              <w:pStyle w:val="TableContents"/>
              <w:spacing w:before="0" w:after="0"/>
              <w:ind w:left="0" w:right="0" w:hanging="0"/>
              <w:jc w:val="left"/>
              <w:rPr/>
            </w:pPr>
            <w:hyperlink w:anchor="item5_otherinformation_115829">
              <w:r>
                <w:rPr>
                  <w:rStyle w:val="InternetLink"/>
                  <w:rFonts w:ascii="Times New Roman;serif" w:hAnsi="Times New Roman;serif"/>
                  <w:b w:val="false"/>
                  <w:sz w:val="20"/>
                  <w:u w:val="single"/>
                </w:rPr>
                <w:t>Other Information</w:t>
              </w:r>
            </w:hyperlink>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78</w:t>
            </w:r>
          </w:p>
        </w:tc>
      </w:tr>
      <w:tr>
        <w:trPr/>
        <w:tc>
          <w:tcPr>
            <w:tcW w:w="8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6:</w:t>
            </w:r>
          </w:p>
        </w:tc>
        <w:tc>
          <w:tcPr>
            <w:tcW w:w="146" w:type="dxa"/>
            <w:tcBorders/>
            <w:shd w:fill="auto" w:val="clear"/>
            <w:vAlign w:val="center"/>
          </w:tcPr>
          <w:p>
            <w:pPr>
              <w:pStyle w:val="TableContents"/>
              <w:spacing w:before="0" w:after="0"/>
              <w:ind w:left="0" w:right="0" w:hanging="0"/>
              <w:jc w:val="left"/>
              <w:rPr/>
            </w:pPr>
            <w:r>
              <w:rPr/>
              <w:t> </w:t>
            </w:r>
          </w:p>
        </w:tc>
        <w:tc>
          <w:tcPr>
            <w:tcW w:w="7366" w:type="dxa"/>
            <w:tcBorders/>
            <w:shd w:fill="auto" w:val="clear"/>
            <w:vAlign w:val="center"/>
          </w:tcPr>
          <w:p>
            <w:pPr>
              <w:pStyle w:val="TableContents"/>
              <w:spacing w:before="0" w:after="0"/>
              <w:ind w:left="0" w:right="0" w:hanging="0"/>
              <w:jc w:val="left"/>
              <w:rPr>
                <w:rFonts w:ascii="Times New Roman;serif" w:hAnsi="Times New Roman;serif"/>
                <w:b w:val="false"/>
                <w:sz w:val="20"/>
                <w:u w:val="single"/>
              </w:rPr>
            </w:pPr>
            <w:r>
              <w:rPr>
                <w:rFonts w:ascii="Times New Roman;serif" w:hAnsi="Times New Roman;serif"/>
                <w:b w:val="false"/>
                <w:sz w:val="20"/>
                <w:u w:val="single"/>
              </w:rPr>
              <w:t>Exhibits</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79</w:t>
            </w:r>
          </w:p>
        </w:tc>
      </w:tr>
      <w:tr>
        <w:trPr/>
        <w:tc>
          <w:tcPr>
            <w:tcW w:w="82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66" w:type="dxa"/>
            <w:tcBorders/>
            <w:shd w:fill="auto" w:val="clear"/>
            <w:vAlign w:val="center"/>
          </w:tcPr>
          <w:p>
            <w:pPr>
              <w:pStyle w:val="TableContents"/>
              <w:spacing w:before="0" w:after="0"/>
              <w:ind w:left="0" w:right="0" w:hanging="0"/>
              <w:jc w:val="left"/>
              <w:rPr/>
            </w:pPr>
            <w:hyperlink w:anchor="signature_125425">
              <w:r>
                <w:rPr>
                  <w:rStyle w:val="InternetLink"/>
                  <w:rFonts w:ascii="Times New Roman;serif" w:hAnsi="Times New Roman;serif"/>
                  <w:b w:val="false"/>
                  <w:sz w:val="20"/>
                  <w:u w:val="single"/>
                </w:rPr>
                <w:t>SIGNATURES</w:t>
              </w:r>
            </w:hyperlink>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80</w:t>
            </w:r>
          </w:p>
        </w:tc>
      </w:tr>
    </w:tbl>
    <w:p>
      <w:pPr>
        <w:pStyle w:val="TextBody"/>
        <w:spacing w:before="0" w:after="0"/>
        <w:jc w:val="left"/>
        <w:rPr/>
      </w:pPr>
      <w:r>
        <w:rPr/>
        <w:t> </w:t>
      </w:r>
    </w:p>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0"/>
        <w:jc w:val="center"/>
        <w:rPr>
          <w:rFonts w:ascii="Times New Roman;serif" w:hAnsi="Times New Roman;serif"/>
          <w:b/>
          <w:sz w:val="20"/>
        </w:rPr>
      </w:pPr>
      <w:bookmarkStart w:id="3" w:name="parti_financialinformation_091654"/>
      <w:bookmarkEnd w:id="3"/>
      <w:r>
        <w:rPr>
          <w:rFonts w:ascii="Times New Roman;serif" w:hAnsi="Times New Roman;serif"/>
          <w:b/>
          <w:sz w:val="20"/>
        </w:rPr>
        <w:t>PART I. FINANCIAL INFORMATION</w:t>
      </w:r>
    </w:p>
    <w:p>
      <w:pPr>
        <w:pStyle w:val="TextBody"/>
        <w:spacing w:before="240" w:after="0"/>
        <w:jc w:val="left"/>
        <w:rPr>
          <w:rFonts w:ascii="Times New Roman" w:hAnsi="Times New Roman"/>
          <w:sz w:val="20"/>
        </w:rPr>
      </w:pPr>
      <w:bookmarkStart w:id="4" w:name="item1_condensedfinancialstatemen_125311"/>
      <w:bookmarkEnd w:id="4"/>
      <w:r>
        <w:rPr>
          <w:rFonts w:ascii="Times New Roman;serif" w:hAnsi="Times New Roman;serif"/>
          <w:b/>
          <w:sz w:val="20"/>
        </w:rPr>
        <w:t>ITEM 1. FINANCIAL STATEMENTS</w:t>
      </w:r>
      <w:r>
        <w:rPr>
          <w:rFonts w:ascii="Times New Roman" w:hAnsi="Times New Roman"/>
          <w:sz w:val="20"/>
        </w:rPr>
        <w:t xml:space="preserve"> </w:t>
      </w:r>
      <w:r>
        <w:rPr>
          <w:rFonts w:ascii="Times New Roman;serif" w:hAnsi="Times New Roman;serif"/>
          <w:b/>
          <w:sz w:val="20"/>
        </w:rPr>
        <w:t>(UNAUDITED)</w:t>
      </w:r>
    </w:p>
    <w:p>
      <w:pPr>
        <w:pStyle w:val="TextBody"/>
        <w:spacing w:before="240" w:after="0"/>
        <w:jc w:val="center"/>
        <w:rPr>
          <w:rFonts w:ascii="Times New Roman;serif" w:hAnsi="Times New Roman;serif"/>
          <w:b/>
          <w:sz w:val="20"/>
        </w:rPr>
      </w:pPr>
      <w:r>
        <w:rPr>
          <w:rFonts w:ascii="Times New Roman;serif" w:hAnsi="Times New Roman;serif"/>
          <w:b/>
          <w:sz w:val="20"/>
        </w:rPr>
        <w:t>GERON CORPORATION</w:t>
      </w:r>
    </w:p>
    <w:p>
      <w:pPr>
        <w:pStyle w:val="TextBody"/>
        <w:spacing w:before="0" w:after="0"/>
        <w:jc w:val="center"/>
        <w:rPr>
          <w:rFonts w:ascii="Times New Roman;serif" w:hAnsi="Times New Roman;serif"/>
          <w:b/>
          <w:sz w:val="20"/>
        </w:rPr>
      </w:pPr>
      <w:bookmarkStart w:id="5" w:name="condensedbalancesheets_091656"/>
      <w:bookmarkEnd w:id="5"/>
      <w:r>
        <w:rPr>
          <w:rFonts w:ascii="Times New Roman;serif" w:hAnsi="Times New Roman;serif"/>
          <w:b/>
          <w:sz w:val="20"/>
        </w:rPr>
        <w:t>CONDENSED CONSOLIDATED BALANCE SHEETS</w:t>
      </w:r>
    </w:p>
    <w:p>
      <w:pPr>
        <w:pStyle w:val="TextBody"/>
        <w:spacing w:before="0" w:after="0"/>
        <w:jc w:val="center"/>
        <w:rPr>
          <w:rFonts w:ascii="Times New Roman;serif" w:hAnsi="Times New Roman;serif"/>
          <w:b/>
          <w:sz w:val="20"/>
        </w:rPr>
      </w:pPr>
      <w:r>
        <w:rPr>
          <w:rFonts w:ascii="Times New Roman;serif" w:hAnsi="Times New Roman;serif"/>
          <w:b/>
          <w:sz w:val="20"/>
        </w:rPr>
        <w:t>(IN THOUSANDS)</w:t>
      </w:r>
    </w:p>
    <w:tbl>
      <w:tblPr>
        <w:tblW w:w="7910" w:type="dxa"/>
        <w:jc w:val="left"/>
        <w:tblInd w:w="0" w:type="dxa"/>
        <w:tblCellMar>
          <w:top w:w="28" w:type="dxa"/>
          <w:left w:w="28" w:type="dxa"/>
          <w:bottom w:w="28" w:type="dxa"/>
          <w:right w:w="28" w:type="dxa"/>
        </w:tblCellMar>
      </w:tblPr>
      <w:tblGrid>
        <w:gridCol w:w="4321"/>
        <w:gridCol w:w="146"/>
        <w:gridCol w:w="213"/>
        <w:gridCol w:w="1002"/>
        <w:gridCol w:w="166"/>
        <w:gridCol w:w="146"/>
        <w:gridCol w:w="229"/>
        <w:gridCol w:w="1076"/>
        <w:gridCol w:w="611"/>
      </w:tblGrid>
      <w:tr>
        <w:trPr/>
        <w:tc>
          <w:tcPr>
            <w:tcW w:w="432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1002"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1076" w:type="dxa"/>
            <w:tcBorders/>
            <w:shd w:fill="auto" w:val="clear"/>
            <w:vAlign w:val="center"/>
          </w:tcPr>
          <w:p>
            <w:pPr>
              <w:pStyle w:val="TableContents"/>
              <w:spacing w:before="0" w:after="283"/>
              <w:rPr>
                <w:sz w:val="4"/>
                <w:szCs w:val="4"/>
              </w:rPr>
            </w:pPr>
            <w:r>
              <w:rPr>
                <w:sz w:val="4"/>
                <w:szCs w:val="4"/>
              </w:rPr>
            </w:r>
          </w:p>
        </w:tc>
        <w:tc>
          <w:tcPr>
            <w:tcW w:w="611" w:type="dxa"/>
            <w:tcBorders/>
            <w:shd w:fill="auto" w:val="clear"/>
            <w:vAlign w:val="center"/>
          </w:tcPr>
          <w:p>
            <w:pPr>
              <w:pStyle w:val="TableContents"/>
              <w:spacing w:before="0" w:after="283"/>
              <w:rPr>
                <w:sz w:val="4"/>
                <w:szCs w:val="4"/>
              </w:rPr>
            </w:pPr>
            <w:r>
              <w:rPr>
                <w:sz w:val="4"/>
                <w:szCs w:val="4"/>
              </w:rPr>
            </w:r>
          </w:p>
        </w:tc>
      </w:tr>
      <w:tr>
        <w:trPr/>
        <w:tc>
          <w:tcPr>
            <w:tcW w:w="432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15"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05"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DECEMBER 31,</w:t>
            </w:r>
          </w:p>
        </w:tc>
        <w:tc>
          <w:tcPr>
            <w:tcW w:w="611" w:type="dxa"/>
            <w:tcBorders/>
            <w:shd w:fill="auto" w:val="clear"/>
            <w:vAlign w:val="center"/>
          </w:tcPr>
          <w:p>
            <w:pPr>
              <w:pStyle w:val="TableContents"/>
              <w:spacing w:before="0" w:after="0"/>
              <w:ind w:left="0" w:right="0" w:hanging="0"/>
              <w:jc w:val="center"/>
              <w:rPr/>
            </w:pPr>
            <w:r>
              <w:rPr/>
              <w:t> </w:t>
            </w:r>
          </w:p>
        </w:tc>
      </w:tr>
      <w:tr>
        <w:trPr/>
        <w:tc>
          <w:tcPr>
            <w:tcW w:w="432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1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0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32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15"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(UNAUDITED)</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05"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(NOTE 1)</w:t>
            </w:r>
          </w:p>
        </w:tc>
        <w:tc>
          <w:tcPr>
            <w:tcW w:w="611" w:type="dxa"/>
            <w:tcBorders/>
            <w:shd w:fill="auto" w:val="clear"/>
            <w:vAlign w:val="center"/>
          </w:tcPr>
          <w:p>
            <w:pPr>
              <w:pStyle w:val="TableContents"/>
              <w:spacing w:before="0" w:after="0"/>
              <w:ind w:left="0" w:right="0" w:hanging="0"/>
              <w:jc w:val="center"/>
              <w:rPr/>
            </w:pPr>
            <w:r>
              <w:rPr/>
              <w:t> </w:t>
            </w:r>
          </w:p>
        </w:tc>
      </w:tr>
      <w:tr>
        <w:trPr/>
        <w:tc>
          <w:tcPr>
            <w:tcW w:w="4321" w:type="dxa"/>
            <w:tcBorders/>
            <w:shd w:fill="auto" w:val="cle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ASSETS</w:t>
            </w:r>
          </w:p>
        </w:tc>
        <w:tc>
          <w:tcPr>
            <w:tcW w:w="146" w:type="dxa"/>
            <w:tcBorders/>
            <w:shd w:fill="auto" w:val="clear"/>
            <w:vAlign w:val="center"/>
          </w:tcPr>
          <w:p>
            <w:pPr>
              <w:pStyle w:val="TableContents"/>
              <w:spacing w:before="0" w:after="0"/>
              <w:ind w:left="0" w:right="0" w:hanging="0"/>
              <w:jc w:val="left"/>
              <w:rPr/>
            </w:pPr>
            <w:r>
              <w:rPr/>
              <w:t> </w:t>
            </w:r>
          </w:p>
        </w:tc>
        <w:tc>
          <w:tcPr>
            <w:tcW w:w="1215"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05" w:type="dxa"/>
            <w:gridSpan w:val="2"/>
            <w:tcBorders/>
            <w:shd w:fill="auto" w:val="clear"/>
            <w:vAlign w:val="center"/>
          </w:tcPr>
          <w:p>
            <w:pPr>
              <w:pStyle w:val="TableContents"/>
              <w:spacing w:before="0" w:after="0"/>
              <w:ind w:left="0" w:right="0" w:hanging="0"/>
              <w:jc w:val="left"/>
              <w:rPr/>
            </w:pPr>
            <w:r>
              <w:rPr/>
              <w:t> </w:t>
            </w:r>
          </w:p>
        </w:tc>
        <w:tc>
          <w:tcPr>
            <w:tcW w:w="611" w:type="dxa"/>
            <w:tcBorders/>
            <w:shd w:fill="auto" w:val="clear"/>
            <w:vAlign w:val="center"/>
          </w:tcPr>
          <w:p>
            <w:pPr>
              <w:pStyle w:val="TableContents"/>
              <w:spacing w:before="0" w:after="0"/>
              <w:ind w:left="0" w:right="0" w:hanging="0"/>
              <w:jc w:val="left"/>
              <w:rPr/>
            </w:pPr>
            <w:r>
              <w:rPr/>
              <w:t> </w:t>
            </w:r>
          </w:p>
        </w:tc>
      </w:tr>
      <w:tr>
        <w:trPr/>
        <w:tc>
          <w:tcPr>
            <w:tcW w:w="43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Current assets:</w:t>
            </w:r>
          </w:p>
        </w:tc>
        <w:tc>
          <w:tcPr>
            <w:tcW w:w="146" w:type="dxa"/>
            <w:tcBorders/>
            <w:shd w:fill="auto" w:val="clear"/>
            <w:vAlign w:val="center"/>
          </w:tcPr>
          <w:p>
            <w:pPr>
              <w:pStyle w:val="TableContents"/>
              <w:spacing w:before="0" w:after="0"/>
              <w:ind w:left="0" w:right="0" w:hanging="0"/>
              <w:jc w:val="left"/>
              <w:rPr/>
            </w:pPr>
            <w:r>
              <w:rPr/>
              <w:t> </w:t>
            </w:r>
          </w:p>
        </w:tc>
        <w:tc>
          <w:tcPr>
            <w:tcW w:w="1215"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05" w:type="dxa"/>
            <w:gridSpan w:val="2"/>
            <w:tcBorders/>
            <w:shd w:fill="auto" w:val="clear"/>
            <w:vAlign w:val="center"/>
          </w:tcPr>
          <w:p>
            <w:pPr>
              <w:pStyle w:val="TableContents"/>
              <w:spacing w:before="0" w:after="0"/>
              <w:ind w:left="0" w:right="0" w:hanging="0"/>
              <w:jc w:val="left"/>
              <w:rPr/>
            </w:pPr>
            <w:r>
              <w:rPr/>
              <w:t> </w:t>
            </w:r>
          </w:p>
        </w:tc>
        <w:tc>
          <w:tcPr>
            <w:tcW w:w="611" w:type="dxa"/>
            <w:tcBorders/>
            <w:shd w:fill="auto" w:val="clear"/>
            <w:vAlign w:val="center"/>
          </w:tcPr>
          <w:p>
            <w:pPr>
              <w:pStyle w:val="TableContents"/>
              <w:spacing w:before="0" w:after="0"/>
              <w:ind w:left="0" w:right="0" w:firstLine="200"/>
              <w:jc w:val="left"/>
              <w:rPr/>
            </w:pPr>
            <w:r>
              <w:rPr/>
              <w:t> </w:t>
            </w:r>
          </w:p>
        </w:tc>
      </w:tr>
      <w:tr>
        <w:trPr/>
        <w:tc>
          <w:tcPr>
            <w:tcW w:w="432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Cash and cash equivalents</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0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112,777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56,845</w:t>
            </w:r>
          </w:p>
        </w:tc>
        <w:tc>
          <w:tcPr>
            <w:tcW w:w="611" w:type="dxa"/>
            <w:tcBorders/>
            <w:shd w:fill="auto" w:val="clear"/>
            <w:vAlign w:val="center"/>
          </w:tcPr>
          <w:p>
            <w:pPr>
              <w:pStyle w:val="TableContents"/>
              <w:spacing w:before="0" w:after="0"/>
              <w:ind w:left="0" w:right="0" w:firstLine="200"/>
              <w:jc w:val="left"/>
              <w:rPr/>
            </w:pPr>
            <w:r>
              <w:rPr/>
              <w:t> </w:t>
            </w:r>
          </w:p>
        </w:tc>
      </w:tr>
      <w:tr>
        <w:trPr/>
        <w:tc>
          <w:tcPr>
            <w:tcW w:w="4321"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Restricted cash</w:t>
            </w:r>
          </w:p>
        </w:tc>
        <w:tc>
          <w:tcPr>
            <w:tcW w:w="146" w:type="dxa"/>
            <w:tcBorders/>
            <w:shd w:fill="auto" w:val="clear"/>
            <w:vAlign w:val="center"/>
          </w:tcPr>
          <w:p>
            <w:pPr>
              <w:pStyle w:val="TableContents"/>
              <w:spacing w:before="0" w:after="0"/>
              <w:ind w:left="100" w:right="0" w:hanging="0"/>
              <w:jc w:val="left"/>
              <w:rPr/>
            </w:pPr>
            <w:r>
              <w:rPr/>
              <w:t> </w:t>
            </w:r>
          </w:p>
        </w:tc>
        <w:tc>
          <w:tcPr>
            <w:tcW w:w="213" w:type="dxa"/>
            <w:tcBorders/>
            <w:shd w:fill="auto" w:val="clear"/>
            <w:vAlign w:val="center"/>
          </w:tcPr>
          <w:p>
            <w:pPr>
              <w:pStyle w:val="TableContents"/>
              <w:spacing w:before="0" w:after="0"/>
              <w:ind w:left="0" w:right="0" w:hanging="0"/>
              <w:jc w:val="left"/>
              <w:rPr/>
            </w:pPr>
            <w:r>
              <w:rPr/>
              <w:t> </w:t>
            </w:r>
          </w:p>
        </w:tc>
        <w:tc>
          <w:tcPr>
            <w:tcW w:w="100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9" w:type="dxa"/>
            <w:tcBorders/>
            <w:shd w:fill="auto" w:val="clear"/>
            <w:vAlign w:val="center"/>
          </w:tcPr>
          <w:p>
            <w:pPr>
              <w:pStyle w:val="TableContents"/>
              <w:spacing w:before="0" w:after="0"/>
              <w:ind w:left="0" w:right="0" w:hanging="0"/>
              <w:jc w:val="left"/>
              <w:rPr/>
            </w:pPr>
            <w:r>
              <w:rPr/>
              <w:t> </w:t>
            </w:r>
          </w:p>
        </w:tc>
        <w:tc>
          <w:tcPr>
            <w:tcW w:w="10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364</w:t>
            </w:r>
          </w:p>
        </w:tc>
        <w:tc>
          <w:tcPr>
            <w:tcW w:w="611" w:type="dxa"/>
            <w:tcBorders/>
            <w:shd w:fill="auto" w:val="clear"/>
            <w:vAlign w:val="center"/>
          </w:tcPr>
          <w:p>
            <w:pPr>
              <w:pStyle w:val="TableContents"/>
              <w:spacing w:before="0" w:after="0"/>
              <w:ind w:left="0" w:right="0" w:firstLine="200"/>
              <w:jc w:val="left"/>
              <w:rPr/>
            </w:pPr>
            <w:r>
              <w:rPr/>
              <w:t> </w:t>
            </w:r>
          </w:p>
        </w:tc>
      </w:tr>
      <w:tr>
        <w:trPr/>
        <w:tc>
          <w:tcPr>
            <w:tcW w:w="432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Marketable securities</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shd w:fill="auto" w:val="clear"/>
            <w:vAlign w:val="center"/>
          </w:tcPr>
          <w:p>
            <w:pPr>
              <w:pStyle w:val="TableContents"/>
              <w:spacing w:before="0" w:after="0"/>
              <w:ind w:left="0" w:right="0" w:hanging="0"/>
              <w:jc w:val="left"/>
              <w:rPr/>
            </w:pPr>
            <w:r>
              <w:rPr/>
              <w:t> </w:t>
            </w:r>
          </w:p>
        </w:tc>
        <w:tc>
          <w:tcPr>
            <w:tcW w:w="100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267,964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9" w:type="dxa"/>
            <w:tcBorders/>
            <w:shd w:fill="auto" w:val="clear"/>
            <w:vAlign w:val="center"/>
          </w:tcPr>
          <w:p>
            <w:pPr>
              <w:pStyle w:val="TableContents"/>
              <w:spacing w:before="0" w:after="0"/>
              <w:ind w:left="0" w:right="0" w:hanging="0"/>
              <w:jc w:val="left"/>
              <w:rPr/>
            </w:pPr>
            <w:r>
              <w:rPr/>
              <w:t> </w:t>
            </w:r>
          </w:p>
        </w:tc>
        <w:tc>
          <w:tcPr>
            <w:tcW w:w="10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115,901</w:t>
            </w:r>
          </w:p>
        </w:tc>
        <w:tc>
          <w:tcPr>
            <w:tcW w:w="611" w:type="dxa"/>
            <w:tcBorders/>
            <w:shd w:fill="auto" w:val="clear"/>
            <w:vAlign w:val="center"/>
          </w:tcPr>
          <w:p>
            <w:pPr>
              <w:pStyle w:val="TableContents"/>
              <w:spacing w:before="0" w:after="0"/>
              <w:ind w:left="0" w:right="0" w:firstLine="200"/>
              <w:jc w:val="left"/>
              <w:rPr/>
            </w:pPr>
            <w:r>
              <w:rPr/>
              <w:t> </w:t>
            </w:r>
          </w:p>
        </w:tc>
      </w:tr>
      <w:tr>
        <w:trPr/>
        <w:tc>
          <w:tcPr>
            <w:tcW w:w="432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Interest and other receivables</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shd w:fill="auto" w:val="clear"/>
            <w:vAlign w:val="center"/>
          </w:tcPr>
          <w:p>
            <w:pPr>
              <w:pStyle w:val="TableContents"/>
              <w:spacing w:before="0" w:after="0"/>
              <w:ind w:left="0" w:right="0" w:hanging="0"/>
              <w:jc w:val="left"/>
              <w:rPr/>
            </w:pPr>
            <w:r>
              <w:rPr/>
              <w:t> </w:t>
            </w:r>
          </w:p>
        </w:tc>
        <w:tc>
          <w:tcPr>
            <w:tcW w:w="100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1,596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9" w:type="dxa"/>
            <w:tcBorders/>
            <w:shd w:fill="auto" w:val="clear"/>
            <w:vAlign w:val="center"/>
          </w:tcPr>
          <w:p>
            <w:pPr>
              <w:pStyle w:val="TableContents"/>
              <w:spacing w:before="0" w:after="0"/>
              <w:ind w:left="0" w:right="0" w:hanging="0"/>
              <w:jc w:val="left"/>
              <w:rPr/>
            </w:pPr>
            <w:r>
              <w:rPr/>
              <w:t> </w:t>
            </w:r>
          </w:p>
        </w:tc>
        <w:tc>
          <w:tcPr>
            <w:tcW w:w="10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3,144</w:t>
            </w:r>
          </w:p>
        </w:tc>
        <w:tc>
          <w:tcPr>
            <w:tcW w:w="611" w:type="dxa"/>
            <w:tcBorders/>
            <w:shd w:fill="auto" w:val="clear"/>
            <w:vAlign w:val="center"/>
          </w:tcPr>
          <w:p>
            <w:pPr>
              <w:pStyle w:val="TableContents"/>
              <w:spacing w:before="0" w:after="0"/>
              <w:ind w:left="0" w:right="0" w:firstLine="200"/>
              <w:jc w:val="left"/>
              <w:rPr/>
            </w:pPr>
            <w:r>
              <w:rPr/>
              <w:t> </w:t>
            </w:r>
          </w:p>
        </w:tc>
      </w:tr>
      <w:tr>
        <w:trPr/>
        <w:tc>
          <w:tcPr>
            <w:tcW w:w="432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Prepaid and other current assets</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0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4,321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3,992</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r>
      <w:tr>
        <w:trPr/>
        <w:tc>
          <w:tcPr>
            <w:tcW w:w="4321"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current assets</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shd w:fill="auto" w:val="clear"/>
            <w:vAlign w:val="center"/>
          </w:tcPr>
          <w:p>
            <w:pPr>
              <w:pStyle w:val="TableContents"/>
              <w:spacing w:before="0" w:after="0"/>
              <w:ind w:left="0" w:right="0" w:hanging="0"/>
              <w:jc w:val="left"/>
              <w:rPr/>
            </w:pPr>
            <w:r>
              <w:rPr/>
              <w:t> </w:t>
            </w:r>
          </w:p>
        </w:tc>
        <w:tc>
          <w:tcPr>
            <w:tcW w:w="100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387,023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9" w:type="dxa"/>
            <w:tcBorders/>
            <w:shd w:fill="auto" w:val="clear"/>
            <w:vAlign w:val="center"/>
          </w:tcPr>
          <w:p>
            <w:pPr>
              <w:pStyle w:val="TableContents"/>
              <w:spacing w:before="0" w:after="0"/>
              <w:ind w:left="0" w:right="0" w:hanging="0"/>
              <w:jc w:val="left"/>
              <w:rPr/>
            </w:pPr>
            <w:r>
              <w:rPr/>
              <w:t> </w:t>
            </w:r>
          </w:p>
        </w:tc>
        <w:tc>
          <w:tcPr>
            <w:tcW w:w="10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180,246</w:t>
            </w:r>
          </w:p>
        </w:tc>
        <w:tc>
          <w:tcPr>
            <w:tcW w:w="611" w:type="dxa"/>
            <w:tcBorders/>
            <w:shd w:fill="auto" w:val="clear"/>
            <w:vAlign w:val="center"/>
          </w:tcPr>
          <w:p>
            <w:pPr>
              <w:pStyle w:val="TableContents"/>
              <w:spacing w:before="0" w:after="0"/>
              <w:ind w:left="0" w:right="0" w:hanging="0"/>
              <w:jc w:val="left"/>
              <w:rPr/>
            </w:pPr>
            <w:r>
              <w:rPr/>
              <w:t> </w:t>
            </w:r>
          </w:p>
        </w:tc>
      </w:tr>
      <w:tr>
        <w:trPr/>
        <w:tc>
          <w:tcPr>
            <w:tcW w:w="43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Noncurrent marketable securities</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shd w:fill="auto" w:val="clear"/>
            <w:vAlign w:val="center"/>
          </w:tcPr>
          <w:p>
            <w:pPr>
              <w:pStyle w:val="TableContents"/>
              <w:spacing w:before="0" w:after="0"/>
              <w:ind w:left="0" w:right="0" w:hanging="0"/>
              <w:jc w:val="left"/>
              <w:rPr/>
            </w:pPr>
            <w:r>
              <w:rPr/>
              <w:t> </w:t>
            </w:r>
          </w:p>
        </w:tc>
        <w:tc>
          <w:tcPr>
            <w:tcW w:w="100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28,100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9" w:type="dxa"/>
            <w:tcBorders/>
            <w:shd w:fill="auto" w:val="clear"/>
            <w:vAlign w:val="center"/>
          </w:tcPr>
          <w:p>
            <w:pPr>
              <w:pStyle w:val="TableContents"/>
              <w:spacing w:before="0" w:after="0"/>
              <w:ind w:left="0" w:right="0" w:hanging="0"/>
              <w:jc w:val="left"/>
              <w:rPr/>
            </w:pPr>
            <w:r>
              <w:rPr/>
              <w:t> </w:t>
            </w:r>
          </w:p>
        </w:tc>
        <w:tc>
          <w:tcPr>
            <w:tcW w:w="1076" w:type="dxa"/>
            <w:tcBorders/>
            <w:shd w:fill="auto" w:val="clear"/>
            <w:vAlign w:val="center"/>
          </w:tcPr>
          <w:p>
            <w:pPr>
              <w:pStyle w:val="TableContents"/>
              <w:spacing w:before="0" w:after="0"/>
              <w:ind w:left="0" w:right="0" w:hanging="0"/>
              <w:jc w:val="right"/>
              <w:rPr/>
            </w:pPr>
            <w:r>
              <w:rPr/>
              <w:t>—</w:t>
            </w:r>
          </w:p>
        </w:tc>
        <w:tc>
          <w:tcPr>
            <w:tcW w:w="611" w:type="dxa"/>
            <w:tcBorders/>
            <w:shd w:fill="auto" w:val="clear"/>
            <w:vAlign w:val="center"/>
          </w:tcPr>
          <w:p>
            <w:pPr>
              <w:pStyle w:val="TableContents"/>
              <w:spacing w:before="0" w:after="0"/>
              <w:ind w:left="0" w:right="0" w:hanging="0"/>
              <w:jc w:val="left"/>
              <w:rPr/>
            </w:pPr>
            <w:r>
              <w:rPr/>
              <w:t> </w:t>
            </w:r>
          </w:p>
        </w:tc>
      </w:tr>
      <w:tr>
        <w:trPr/>
        <w:tc>
          <w:tcPr>
            <w:tcW w:w="43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Property and equipment, net</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shd w:fill="auto" w:val="clear"/>
            <w:vAlign w:val="center"/>
          </w:tcPr>
          <w:p>
            <w:pPr>
              <w:pStyle w:val="TableContents"/>
              <w:spacing w:before="0" w:after="0"/>
              <w:ind w:left="0" w:right="0" w:hanging="0"/>
              <w:jc w:val="left"/>
              <w:rPr/>
            </w:pPr>
            <w:r>
              <w:rPr/>
              <w:t> </w:t>
            </w:r>
          </w:p>
        </w:tc>
        <w:tc>
          <w:tcPr>
            <w:tcW w:w="100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1,066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9" w:type="dxa"/>
            <w:tcBorders/>
            <w:shd w:fill="auto" w:val="clear"/>
            <w:vAlign w:val="center"/>
          </w:tcPr>
          <w:p>
            <w:pPr>
              <w:pStyle w:val="TableContents"/>
              <w:spacing w:before="0" w:after="0"/>
              <w:ind w:left="0" w:right="0" w:hanging="0"/>
              <w:jc w:val="left"/>
              <w:rPr/>
            </w:pPr>
            <w:r>
              <w:rPr/>
              <w:t> </w:t>
            </w:r>
          </w:p>
        </w:tc>
        <w:tc>
          <w:tcPr>
            <w:tcW w:w="10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793</w:t>
            </w:r>
          </w:p>
        </w:tc>
        <w:tc>
          <w:tcPr>
            <w:tcW w:w="611" w:type="dxa"/>
            <w:tcBorders/>
            <w:shd w:fill="auto" w:val="clear"/>
            <w:vAlign w:val="center"/>
          </w:tcPr>
          <w:p>
            <w:pPr>
              <w:pStyle w:val="TableContents"/>
              <w:spacing w:before="0" w:after="0"/>
              <w:ind w:left="0" w:right="0" w:hanging="0"/>
              <w:jc w:val="left"/>
              <w:rPr/>
            </w:pPr>
            <w:r>
              <w:rPr/>
              <w:t> </w:t>
            </w:r>
          </w:p>
        </w:tc>
      </w:tr>
      <w:tr>
        <w:trPr/>
        <w:tc>
          <w:tcPr>
            <w:tcW w:w="43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leases, right-of-use assets</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shd w:fill="auto" w:val="clear"/>
            <w:vAlign w:val="center"/>
          </w:tcPr>
          <w:p>
            <w:pPr>
              <w:pStyle w:val="TableContents"/>
              <w:spacing w:before="0" w:after="0"/>
              <w:ind w:left="0" w:right="0" w:hanging="0"/>
              <w:jc w:val="left"/>
              <w:rPr/>
            </w:pPr>
            <w:r>
              <w:rPr/>
              <w:t> </w:t>
            </w:r>
          </w:p>
        </w:tc>
        <w:tc>
          <w:tcPr>
            <w:tcW w:w="100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3,995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9" w:type="dxa"/>
            <w:tcBorders/>
            <w:shd w:fill="auto" w:val="clear"/>
            <w:vAlign w:val="center"/>
          </w:tcPr>
          <w:p>
            <w:pPr>
              <w:pStyle w:val="TableContents"/>
              <w:spacing w:before="0" w:after="0"/>
              <w:ind w:left="0" w:right="0" w:hanging="0"/>
              <w:jc w:val="left"/>
              <w:rPr/>
            </w:pPr>
            <w:r>
              <w:rPr/>
              <w:t> </w:t>
            </w:r>
          </w:p>
        </w:tc>
        <w:tc>
          <w:tcPr>
            <w:tcW w:w="10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4,147</w:t>
            </w:r>
          </w:p>
        </w:tc>
        <w:tc>
          <w:tcPr>
            <w:tcW w:w="611" w:type="dxa"/>
            <w:tcBorders/>
            <w:shd w:fill="auto" w:val="clear"/>
            <w:vAlign w:val="center"/>
          </w:tcPr>
          <w:p>
            <w:pPr>
              <w:pStyle w:val="TableContents"/>
              <w:spacing w:before="0" w:after="0"/>
              <w:ind w:left="0" w:right="0" w:hanging="0"/>
              <w:jc w:val="left"/>
              <w:rPr/>
            </w:pPr>
            <w:r>
              <w:rPr/>
              <w:t> </w:t>
            </w:r>
          </w:p>
        </w:tc>
      </w:tr>
      <w:tr>
        <w:trPr/>
        <w:tc>
          <w:tcPr>
            <w:tcW w:w="43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Deposits and other assets</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0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4,693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5,389</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32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0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424,877</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190,575</w:t>
            </w:r>
          </w:p>
        </w:tc>
        <w:tc>
          <w:tcPr>
            <w:tcW w:w="6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32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15"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05" w:type="dxa"/>
            <w:gridSpan w:val="2"/>
            <w:tcBorders/>
            <w:shd w:fill="auto" w:val="clear"/>
            <w:vAlign w:val="center"/>
          </w:tcPr>
          <w:p>
            <w:pPr>
              <w:pStyle w:val="TableContents"/>
              <w:spacing w:before="0" w:after="0"/>
              <w:ind w:left="0" w:right="0" w:hanging="0"/>
              <w:jc w:val="left"/>
              <w:rPr/>
            </w:pPr>
            <w:r>
              <w:rPr/>
              <w:t> </w:t>
            </w:r>
          </w:p>
        </w:tc>
        <w:tc>
          <w:tcPr>
            <w:tcW w:w="611" w:type="dxa"/>
            <w:tcBorders/>
            <w:shd w:fill="auto" w:val="clear"/>
            <w:vAlign w:val="center"/>
          </w:tcPr>
          <w:p>
            <w:pPr>
              <w:pStyle w:val="TableContents"/>
              <w:spacing w:before="0" w:after="0"/>
              <w:ind w:left="0" w:right="0" w:hanging="0"/>
              <w:jc w:val="left"/>
              <w:rPr/>
            </w:pPr>
            <w:r>
              <w:rPr/>
              <w:t> </w:t>
            </w:r>
          </w:p>
        </w:tc>
      </w:tr>
      <w:tr>
        <w:trPr/>
        <w:tc>
          <w:tcPr>
            <w:tcW w:w="4321" w:type="dxa"/>
            <w:tcBorders/>
            <w:shd w:fill="auto" w:val="cle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LIABILITIES AND STOCKHOLDERS' EQUITY</w:t>
            </w:r>
          </w:p>
        </w:tc>
        <w:tc>
          <w:tcPr>
            <w:tcW w:w="146" w:type="dxa"/>
            <w:tcBorders/>
            <w:shd w:fill="auto" w:val="clear"/>
            <w:vAlign w:val="center"/>
          </w:tcPr>
          <w:p>
            <w:pPr>
              <w:pStyle w:val="TableContents"/>
              <w:spacing w:before="0" w:after="0"/>
              <w:ind w:left="0" w:right="0" w:hanging="0"/>
              <w:jc w:val="left"/>
              <w:rPr/>
            </w:pPr>
            <w:r>
              <w:rPr/>
              <w:t> </w:t>
            </w:r>
          </w:p>
        </w:tc>
        <w:tc>
          <w:tcPr>
            <w:tcW w:w="1215"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05" w:type="dxa"/>
            <w:gridSpan w:val="2"/>
            <w:tcBorders/>
            <w:shd w:fill="auto" w:val="clear"/>
            <w:vAlign w:val="center"/>
          </w:tcPr>
          <w:p>
            <w:pPr>
              <w:pStyle w:val="TableContents"/>
              <w:spacing w:before="0" w:after="0"/>
              <w:ind w:left="0" w:right="0" w:hanging="0"/>
              <w:jc w:val="left"/>
              <w:rPr/>
            </w:pPr>
            <w:r>
              <w:rPr/>
              <w:t> </w:t>
            </w:r>
          </w:p>
        </w:tc>
        <w:tc>
          <w:tcPr>
            <w:tcW w:w="611" w:type="dxa"/>
            <w:tcBorders/>
            <w:shd w:fill="auto" w:val="clear"/>
            <w:vAlign w:val="center"/>
          </w:tcPr>
          <w:p>
            <w:pPr>
              <w:pStyle w:val="TableContents"/>
              <w:spacing w:before="0" w:after="0"/>
              <w:ind w:left="0" w:right="0" w:hanging="0"/>
              <w:jc w:val="left"/>
              <w:rPr/>
            </w:pPr>
            <w:r>
              <w:rPr/>
              <w:t> </w:t>
            </w:r>
          </w:p>
        </w:tc>
      </w:tr>
      <w:tr>
        <w:trPr/>
        <w:tc>
          <w:tcPr>
            <w:tcW w:w="43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Current liabilities:</w:t>
            </w:r>
          </w:p>
        </w:tc>
        <w:tc>
          <w:tcPr>
            <w:tcW w:w="146" w:type="dxa"/>
            <w:tcBorders/>
            <w:shd w:fill="auto" w:val="clear"/>
            <w:vAlign w:val="center"/>
          </w:tcPr>
          <w:p>
            <w:pPr>
              <w:pStyle w:val="TableContents"/>
              <w:spacing w:before="0" w:after="0"/>
              <w:ind w:left="0" w:right="0" w:hanging="0"/>
              <w:jc w:val="left"/>
              <w:rPr/>
            </w:pPr>
            <w:r>
              <w:rPr/>
              <w:t> </w:t>
            </w:r>
          </w:p>
        </w:tc>
        <w:tc>
          <w:tcPr>
            <w:tcW w:w="1215"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05" w:type="dxa"/>
            <w:gridSpan w:val="2"/>
            <w:tcBorders/>
            <w:shd w:fill="auto" w:val="clear"/>
            <w:vAlign w:val="center"/>
          </w:tcPr>
          <w:p>
            <w:pPr>
              <w:pStyle w:val="TableContents"/>
              <w:spacing w:before="0" w:after="0"/>
              <w:ind w:left="0" w:right="0" w:hanging="0"/>
              <w:jc w:val="left"/>
              <w:rPr/>
            </w:pPr>
            <w:r>
              <w:rPr/>
              <w:t> </w:t>
            </w:r>
          </w:p>
        </w:tc>
        <w:tc>
          <w:tcPr>
            <w:tcW w:w="611" w:type="dxa"/>
            <w:tcBorders/>
            <w:shd w:fill="auto" w:val="clear"/>
            <w:vAlign w:val="center"/>
          </w:tcPr>
          <w:p>
            <w:pPr>
              <w:pStyle w:val="TableContents"/>
              <w:spacing w:before="0" w:after="0"/>
              <w:ind w:left="0" w:right="0" w:firstLine="200"/>
              <w:jc w:val="left"/>
              <w:rPr/>
            </w:pPr>
            <w:r>
              <w:rPr/>
              <w:t> </w:t>
            </w:r>
          </w:p>
        </w:tc>
      </w:tr>
      <w:tr>
        <w:trPr/>
        <w:tc>
          <w:tcPr>
            <w:tcW w:w="432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Accounts payable</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0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3,383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10,190</w:t>
            </w:r>
          </w:p>
        </w:tc>
        <w:tc>
          <w:tcPr>
            <w:tcW w:w="611" w:type="dxa"/>
            <w:tcBorders/>
            <w:shd w:fill="auto" w:val="clear"/>
            <w:vAlign w:val="center"/>
          </w:tcPr>
          <w:p>
            <w:pPr>
              <w:pStyle w:val="TableContents"/>
              <w:spacing w:before="0" w:after="0"/>
              <w:ind w:left="0" w:right="0" w:firstLine="200"/>
              <w:jc w:val="left"/>
              <w:rPr/>
            </w:pPr>
            <w:r>
              <w:rPr/>
              <w:t> </w:t>
            </w:r>
          </w:p>
        </w:tc>
      </w:tr>
      <w:tr>
        <w:trPr/>
        <w:tc>
          <w:tcPr>
            <w:tcW w:w="432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Accrued compensation and benefits</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shd w:fill="auto" w:val="clear"/>
            <w:vAlign w:val="center"/>
          </w:tcPr>
          <w:p>
            <w:pPr>
              <w:pStyle w:val="TableContents"/>
              <w:spacing w:before="0" w:after="0"/>
              <w:ind w:left="0" w:right="0" w:hanging="0"/>
              <w:jc w:val="left"/>
              <w:rPr/>
            </w:pPr>
            <w:r>
              <w:rPr/>
              <w:t> </w:t>
            </w:r>
          </w:p>
        </w:tc>
        <w:tc>
          <w:tcPr>
            <w:tcW w:w="100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4,906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9" w:type="dxa"/>
            <w:tcBorders/>
            <w:shd w:fill="auto" w:val="clear"/>
            <w:vAlign w:val="center"/>
          </w:tcPr>
          <w:p>
            <w:pPr>
              <w:pStyle w:val="TableContents"/>
              <w:spacing w:before="0" w:after="0"/>
              <w:ind w:left="0" w:right="0" w:hanging="0"/>
              <w:jc w:val="left"/>
              <w:rPr/>
            </w:pPr>
            <w:r>
              <w:rPr/>
              <w:t> </w:t>
            </w:r>
          </w:p>
        </w:tc>
        <w:tc>
          <w:tcPr>
            <w:tcW w:w="10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11,534</w:t>
            </w:r>
          </w:p>
        </w:tc>
        <w:tc>
          <w:tcPr>
            <w:tcW w:w="611" w:type="dxa"/>
            <w:tcBorders/>
            <w:shd w:fill="auto" w:val="clear"/>
            <w:vAlign w:val="center"/>
          </w:tcPr>
          <w:p>
            <w:pPr>
              <w:pStyle w:val="TableContents"/>
              <w:spacing w:before="0" w:after="0"/>
              <w:ind w:left="0" w:right="0" w:firstLine="200"/>
              <w:jc w:val="left"/>
              <w:rPr/>
            </w:pPr>
            <w:r>
              <w:rPr/>
              <w:t> </w:t>
            </w:r>
          </w:p>
        </w:tc>
      </w:tr>
      <w:tr>
        <w:trPr/>
        <w:tc>
          <w:tcPr>
            <w:tcW w:w="432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Operating lease liabilities</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shd w:fill="auto" w:val="clear"/>
            <w:vAlign w:val="center"/>
          </w:tcPr>
          <w:p>
            <w:pPr>
              <w:pStyle w:val="TableContents"/>
              <w:spacing w:before="0" w:after="0"/>
              <w:ind w:left="0" w:right="0" w:hanging="0"/>
              <w:jc w:val="left"/>
              <w:rPr/>
            </w:pPr>
            <w:r>
              <w:rPr/>
              <w:t> </w:t>
            </w:r>
          </w:p>
        </w:tc>
        <w:tc>
          <w:tcPr>
            <w:tcW w:w="100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931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9" w:type="dxa"/>
            <w:tcBorders/>
            <w:shd w:fill="auto" w:val="clear"/>
            <w:vAlign w:val="center"/>
          </w:tcPr>
          <w:p>
            <w:pPr>
              <w:pStyle w:val="TableContents"/>
              <w:spacing w:before="0" w:after="0"/>
              <w:ind w:left="0" w:right="0" w:hanging="0"/>
              <w:jc w:val="left"/>
              <w:rPr/>
            </w:pPr>
            <w:r>
              <w:rPr/>
              <w:t> </w:t>
            </w:r>
          </w:p>
        </w:tc>
        <w:tc>
          <w:tcPr>
            <w:tcW w:w="10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925</w:t>
            </w:r>
          </w:p>
        </w:tc>
        <w:tc>
          <w:tcPr>
            <w:tcW w:w="611" w:type="dxa"/>
            <w:tcBorders/>
            <w:shd w:fill="auto" w:val="clear"/>
            <w:vAlign w:val="center"/>
          </w:tcPr>
          <w:p>
            <w:pPr>
              <w:pStyle w:val="TableContents"/>
              <w:spacing w:before="0" w:after="0"/>
              <w:ind w:left="0" w:right="0" w:firstLine="200"/>
              <w:jc w:val="left"/>
              <w:rPr/>
            </w:pPr>
            <w:r>
              <w:rPr/>
              <w:t> </w:t>
            </w:r>
          </w:p>
        </w:tc>
      </w:tr>
      <w:tr>
        <w:trPr/>
        <w:tc>
          <w:tcPr>
            <w:tcW w:w="432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Debt</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shd w:fill="auto" w:val="clear"/>
            <w:vAlign w:val="center"/>
          </w:tcPr>
          <w:p>
            <w:pPr>
              <w:pStyle w:val="TableContents"/>
              <w:spacing w:before="0" w:after="0"/>
              <w:ind w:left="0" w:right="0" w:hanging="0"/>
              <w:jc w:val="left"/>
              <w:rPr/>
            </w:pPr>
            <w:r>
              <w:rPr/>
              <w:t> </w:t>
            </w:r>
          </w:p>
        </w:tc>
        <w:tc>
          <w:tcPr>
            <w:tcW w:w="1002"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9" w:type="dxa"/>
            <w:tcBorders/>
            <w:shd w:fill="auto" w:val="clear"/>
            <w:vAlign w:val="center"/>
          </w:tcPr>
          <w:p>
            <w:pPr>
              <w:pStyle w:val="TableContents"/>
              <w:spacing w:before="0" w:after="0"/>
              <w:ind w:left="0" w:right="0" w:hanging="0"/>
              <w:jc w:val="left"/>
              <w:rPr/>
            </w:pPr>
            <w:r>
              <w:rPr/>
              <w:t> </w:t>
            </w:r>
          </w:p>
        </w:tc>
        <w:tc>
          <w:tcPr>
            <w:tcW w:w="10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20,945</w:t>
            </w:r>
          </w:p>
        </w:tc>
        <w:tc>
          <w:tcPr>
            <w:tcW w:w="611" w:type="dxa"/>
            <w:tcBorders/>
            <w:shd w:fill="auto" w:val="clear"/>
            <w:vAlign w:val="center"/>
          </w:tcPr>
          <w:p>
            <w:pPr>
              <w:pStyle w:val="TableContents"/>
              <w:spacing w:before="0" w:after="0"/>
              <w:ind w:left="0" w:right="0" w:firstLine="200"/>
              <w:jc w:val="left"/>
              <w:rPr/>
            </w:pPr>
            <w:r>
              <w:rPr/>
              <w:t> </w:t>
            </w:r>
          </w:p>
        </w:tc>
      </w:tr>
      <w:tr>
        <w:trPr/>
        <w:tc>
          <w:tcPr>
            <w:tcW w:w="432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Accrued liabilities</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0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34,691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33,100</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r>
      <w:tr>
        <w:trPr/>
        <w:tc>
          <w:tcPr>
            <w:tcW w:w="4321"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current liabilities</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shd w:fill="auto" w:val="clear"/>
            <w:vAlign w:val="center"/>
          </w:tcPr>
          <w:p>
            <w:pPr>
              <w:pStyle w:val="TableContents"/>
              <w:spacing w:before="0" w:after="0"/>
              <w:ind w:left="0" w:right="0" w:hanging="0"/>
              <w:jc w:val="left"/>
              <w:rPr/>
            </w:pPr>
            <w:r>
              <w:rPr/>
              <w:t> </w:t>
            </w:r>
          </w:p>
        </w:tc>
        <w:tc>
          <w:tcPr>
            <w:tcW w:w="100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43,911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9" w:type="dxa"/>
            <w:tcBorders/>
            <w:shd w:fill="auto" w:val="clear"/>
            <w:vAlign w:val="center"/>
          </w:tcPr>
          <w:p>
            <w:pPr>
              <w:pStyle w:val="TableContents"/>
              <w:spacing w:before="0" w:after="0"/>
              <w:ind w:left="0" w:right="0" w:hanging="0"/>
              <w:jc w:val="left"/>
              <w:rPr/>
            </w:pPr>
            <w:r>
              <w:rPr/>
              <w:t> </w:t>
            </w:r>
          </w:p>
        </w:tc>
        <w:tc>
          <w:tcPr>
            <w:tcW w:w="10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76,694</w:t>
            </w:r>
          </w:p>
        </w:tc>
        <w:tc>
          <w:tcPr>
            <w:tcW w:w="611" w:type="dxa"/>
            <w:tcBorders/>
            <w:shd w:fill="auto" w:val="clear"/>
            <w:vAlign w:val="center"/>
          </w:tcPr>
          <w:p>
            <w:pPr>
              <w:pStyle w:val="TableContents"/>
              <w:spacing w:before="0" w:after="0"/>
              <w:ind w:left="0" w:right="0" w:hanging="0"/>
              <w:jc w:val="left"/>
              <w:rPr/>
            </w:pPr>
            <w:r>
              <w:rPr/>
              <w:t> </w:t>
            </w:r>
          </w:p>
        </w:tc>
      </w:tr>
      <w:tr>
        <w:trPr/>
        <w:tc>
          <w:tcPr>
            <w:tcW w:w="43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Noncurrent operating lease liabilities</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shd w:fill="auto" w:val="clear"/>
            <w:vAlign w:val="center"/>
          </w:tcPr>
          <w:p>
            <w:pPr>
              <w:pStyle w:val="TableContents"/>
              <w:spacing w:before="0" w:after="0"/>
              <w:ind w:left="0" w:right="0" w:hanging="0"/>
              <w:jc w:val="left"/>
              <w:rPr/>
            </w:pPr>
            <w:r>
              <w:rPr/>
              <w:t> </w:t>
            </w:r>
          </w:p>
        </w:tc>
        <w:tc>
          <w:tcPr>
            <w:tcW w:w="100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3,512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9" w:type="dxa"/>
            <w:tcBorders/>
            <w:shd w:fill="auto" w:val="clear"/>
            <w:vAlign w:val="center"/>
          </w:tcPr>
          <w:p>
            <w:pPr>
              <w:pStyle w:val="TableContents"/>
              <w:spacing w:before="0" w:after="0"/>
              <w:ind w:left="0" w:right="0" w:hanging="0"/>
              <w:jc w:val="left"/>
              <w:rPr/>
            </w:pPr>
            <w:r>
              <w:rPr/>
              <w:t> </w:t>
            </w:r>
          </w:p>
        </w:tc>
        <w:tc>
          <w:tcPr>
            <w:tcW w:w="10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3,671</w:t>
            </w:r>
          </w:p>
        </w:tc>
        <w:tc>
          <w:tcPr>
            <w:tcW w:w="611" w:type="dxa"/>
            <w:tcBorders/>
            <w:shd w:fill="auto" w:val="clear"/>
            <w:vAlign w:val="center"/>
          </w:tcPr>
          <w:p>
            <w:pPr>
              <w:pStyle w:val="TableContents"/>
              <w:spacing w:before="0" w:after="0"/>
              <w:ind w:left="0" w:right="0" w:hanging="0"/>
              <w:jc w:val="left"/>
              <w:rPr/>
            </w:pPr>
            <w:r>
              <w:rPr/>
              <w:t> </w:t>
            </w:r>
          </w:p>
        </w:tc>
      </w:tr>
      <w:tr>
        <w:trPr/>
        <w:tc>
          <w:tcPr>
            <w:tcW w:w="43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Noncurrent debt</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shd w:fill="auto" w:val="clear"/>
            <w:vAlign w:val="center"/>
          </w:tcPr>
          <w:p>
            <w:pPr>
              <w:pStyle w:val="TableContents"/>
              <w:spacing w:before="0" w:after="0"/>
              <w:ind w:left="0" w:right="0" w:hanging="0"/>
              <w:jc w:val="left"/>
              <w:rPr/>
            </w:pPr>
            <w:r>
              <w:rPr/>
              <w:t> </w:t>
            </w:r>
          </w:p>
        </w:tc>
        <w:tc>
          <w:tcPr>
            <w:tcW w:w="100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51,399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9" w:type="dxa"/>
            <w:tcBorders/>
            <w:shd w:fill="auto" w:val="clear"/>
            <w:vAlign w:val="center"/>
          </w:tcPr>
          <w:p>
            <w:pPr>
              <w:pStyle w:val="TableContents"/>
              <w:spacing w:before="0" w:after="0"/>
              <w:ind w:left="0" w:right="0" w:hanging="0"/>
              <w:jc w:val="left"/>
              <w:rPr/>
            </w:pPr>
            <w:r>
              <w:rPr/>
              <w:t> </w:t>
            </w:r>
          </w:p>
        </w:tc>
        <w:tc>
          <w:tcPr>
            <w:tcW w:w="10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30,212</w:t>
            </w:r>
          </w:p>
        </w:tc>
        <w:tc>
          <w:tcPr>
            <w:tcW w:w="611" w:type="dxa"/>
            <w:tcBorders/>
            <w:shd w:fill="auto" w:val="clear"/>
            <w:vAlign w:val="center"/>
          </w:tcPr>
          <w:p>
            <w:pPr>
              <w:pStyle w:val="TableContents"/>
              <w:spacing w:before="0" w:after="0"/>
              <w:ind w:left="0" w:right="0" w:hanging="0"/>
              <w:jc w:val="left"/>
              <w:rPr/>
            </w:pPr>
            <w:r>
              <w:rPr/>
              <w:t> </w:t>
            </w:r>
          </w:p>
        </w:tc>
      </w:tr>
      <w:tr>
        <w:trPr/>
        <w:tc>
          <w:tcPr>
            <w:tcW w:w="43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Commitments and contingencies</w:t>
            </w:r>
          </w:p>
        </w:tc>
        <w:tc>
          <w:tcPr>
            <w:tcW w:w="146" w:type="dxa"/>
            <w:tcBorders/>
            <w:shd w:fill="auto" w:val="clear"/>
            <w:vAlign w:val="center"/>
          </w:tcPr>
          <w:p>
            <w:pPr>
              <w:pStyle w:val="TableContents"/>
              <w:spacing w:before="0" w:after="0"/>
              <w:ind w:left="0" w:right="0" w:hanging="0"/>
              <w:jc w:val="left"/>
              <w:rPr/>
            </w:pPr>
            <w:r>
              <w:rPr/>
              <w:t> </w:t>
            </w:r>
          </w:p>
        </w:tc>
        <w:tc>
          <w:tcPr>
            <w:tcW w:w="1215"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05" w:type="dxa"/>
            <w:gridSpan w:val="2"/>
            <w:tcBorders/>
            <w:shd w:fill="auto" w:val="clear"/>
            <w:vAlign w:val="center"/>
          </w:tcPr>
          <w:p>
            <w:pPr>
              <w:pStyle w:val="TableContents"/>
              <w:spacing w:before="0" w:after="0"/>
              <w:ind w:left="0" w:right="0" w:hanging="0"/>
              <w:jc w:val="left"/>
              <w:rPr/>
            </w:pPr>
            <w:r>
              <w:rPr/>
              <w:t> </w:t>
            </w:r>
          </w:p>
        </w:tc>
        <w:tc>
          <w:tcPr>
            <w:tcW w:w="611" w:type="dxa"/>
            <w:tcBorders/>
            <w:shd w:fill="auto" w:val="clear"/>
            <w:vAlign w:val="center"/>
          </w:tcPr>
          <w:p>
            <w:pPr>
              <w:pStyle w:val="TableContents"/>
              <w:spacing w:before="0" w:after="0"/>
              <w:ind w:left="0" w:right="0" w:hanging="0"/>
              <w:jc w:val="left"/>
              <w:rPr/>
            </w:pPr>
            <w:r>
              <w:rPr/>
              <w:t> </w:t>
            </w:r>
          </w:p>
        </w:tc>
      </w:tr>
      <w:tr>
        <w:trPr/>
        <w:tc>
          <w:tcPr>
            <w:tcW w:w="43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Stockholders' equity:</w:t>
            </w:r>
          </w:p>
        </w:tc>
        <w:tc>
          <w:tcPr>
            <w:tcW w:w="146" w:type="dxa"/>
            <w:tcBorders/>
            <w:shd w:fill="auto" w:val="clear"/>
            <w:vAlign w:val="center"/>
          </w:tcPr>
          <w:p>
            <w:pPr>
              <w:pStyle w:val="TableContents"/>
              <w:spacing w:before="0" w:after="0"/>
              <w:ind w:left="0" w:right="0" w:hanging="0"/>
              <w:jc w:val="left"/>
              <w:rPr/>
            </w:pPr>
            <w:r>
              <w:rPr/>
              <w:t> </w:t>
            </w:r>
          </w:p>
        </w:tc>
        <w:tc>
          <w:tcPr>
            <w:tcW w:w="1215"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05" w:type="dxa"/>
            <w:gridSpan w:val="2"/>
            <w:tcBorders/>
            <w:shd w:fill="auto" w:val="clear"/>
            <w:vAlign w:val="center"/>
          </w:tcPr>
          <w:p>
            <w:pPr>
              <w:pStyle w:val="TableContents"/>
              <w:spacing w:before="0" w:after="0"/>
              <w:ind w:left="0" w:right="0" w:hanging="0"/>
              <w:jc w:val="left"/>
              <w:rPr/>
            </w:pPr>
            <w:r>
              <w:rPr/>
              <w:t> </w:t>
            </w:r>
          </w:p>
        </w:tc>
        <w:tc>
          <w:tcPr>
            <w:tcW w:w="611" w:type="dxa"/>
            <w:tcBorders/>
            <w:shd w:fill="auto" w:val="clear"/>
            <w:vAlign w:val="center"/>
          </w:tcPr>
          <w:p>
            <w:pPr>
              <w:pStyle w:val="TableContents"/>
              <w:spacing w:before="0" w:after="0"/>
              <w:ind w:left="0" w:right="0" w:firstLine="200"/>
              <w:jc w:val="left"/>
              <w:rPr/>
            </w:pPr>
            <w:r>
              <w:rPr/>
              <w:t> </w:t>
            </w:r>
          </w:p>
        </w:tc>
      </w:tr>
      <w:tr>
        <w:trPr/>
        <w:tc>
          <w:tcPr>
            <w:tcW w:w="432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Common stock</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shd w:fill="auto" w:val="clear"/>
            <w:vAlign w:val="center"/>
          </w:tcPr>
          <w:p>
            <w:pPr>
              <w:pStyle w:val="TableContents"/>
              <w:spacing w:before="0" w:after="0"/>
              <w:ind w:left="0" w:right="0" w:hanging="0"/>
              <w:jc w:val="left"/>
              <w:rPr/>
            </w:pPr>
            <w:r>
              <w:rPr/>
              <w:t> </w:t>
            </w:r>
          </w:p>
        </w:tc>
        <w:tc>
          <w:tcPr>
            <w:tcW w:w="100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9" w:type="dxa"/>
            <w:tcBorders/>
            <w:shd w:fill="auto" w:val="clear"/>
            <w:vAlign w:val="center"/>
          </w:tcPr>
          <w:p>
            <w:pPr>
              <w:pStyle w:val="TableContents"/>
              <w:spacing w:before="0" w:after="0"/>
              <w:ind w:left="0" w:right="0" w:hanging="0"/>
              <w:jc w:val="left"/>
              <w:rPr/>
            </w:pPr>
            <w:r>
              <w:rPr/>
              <w:t> </w:t>
            </w:r>
          </w:p>
        </w:tc>
        <w:tc>
          <w:tcPr>
            <w:tcW w:w="10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390</w:t>
            </w:r>
          </w:p>
        </w:tc>
        <w:tc>
          <w:tcPr>
            <w:tcW w:w="611" w:type="dxa"/>
            <w:tcBorders/>
            <w:shd w:fill="auto" w:val="clear"/>
            <w:vAlign w:val="center"/>
          </w:tcPr>
          <w:p>
            <w:pPr>
              <w:pStyle w:val="TableContents"/>
              <w:spacing w:before="0" w:after="0"/>
              <w:ind w:left="0" w:right="0" w:firstLine="200"/>
              <w:jc w:val="left"/>
              <w:rPr/>
            </w:pPr>
            <w:r>
              <w:rPr/>
              <w:t> </w:t>
            </w:r>
          </w:p>
        </w:tc>
      </w:tr>
      <w:tr>
        <w:trPr/>
        <w:tc>
          <w:tcPr>
            <w:tcW w:w="432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Additional paid-in capital</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shd w:fill="auto" w:val="clear"/>
            <w:vAlign w:val="center"/>
          </w:tcPr>
          <w:p>
            <w:pPr>
              <w:pStyle w:val="TableContents"/>
              <w:spacing w:before="0" w:after="0"/>
              <w:ind w:left="0" w:right="0" w:hanging="0"/>
              <w:jc w:val="left"/>
              <w:rPr/>
            </w:pPr>
            <w:r>
              <w:rPr/>
              <w:t> </w:t>
            </w:r>
          </w:p>
        </w:tc>
        <w:tc>
          <w:tcPr>
            <w:tcW w:w="100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1,777,470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9" w:type="dxa"/>
            <w:tcBorders/>
            <w:shd w:fill="auto" w:val="clear"/>
            <w:vAlign w:val="center"/>
          </w:tcPr>
          <w:p>
            <w:pPr>
              <w:pStyle w:val="TableContents"/>
              <w:spacing w:before="0" w:after="0"/>
              <w:ind w:left="0" w:right="0" w:hanging="0"/>
              <w:jc w:val="left"/>
              <w:rPr/>
            </w:pPr>
            <w:r>
              <w:rPr/>
              <w:t> </w:t>
            </w:r>
          </w:p>
        </w:tc>
        <w:tc>
          <w:tcPr>
            <w:tcW w:w="10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1,493,469</w:t>
            </w:r>
          </w:p>
        </w:tc>
        <w:tc>
          <w:tcPr>
            <w:tcW w:w="611" w:type="dxa"/>
            <w:tcBorders/>
            <w:shd w:fill="auto" w:val="clear"/>
            <w:vAlign w:val="center"/>
          </w:tcPr>
          <w:p>
            <w:pPr>
              <w:pStyle w:val="TableContents"/>
              <w:spacing w:before="0" w:after="0"/>
              <w:ind w:left="0" w:right="0" w:firstLine="200"/>
              <w:jc w:val="left"/>
              <w:rPr/>
            </w:pPr>
            <w:r>
              <w:rPr/>
              <w:t> </w:t>
            </w:r>
          </w:p>
        </w:tc>
      </w:tr>
      <w:tr>
        <w:trPr/>
        <w:tc>
          <w:tcPr>
            <w:tcW w:w="432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Accumulated deficit</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shd w:fill="auto" w:val="clear"/>
            <w:vAlign w:val="center"/>
          </w:tcPr>
          <w:p>
            <w:pPr>
              <w:pStyle w:val="TableContents"/>
              <w:spacing w:before="0" w:after="0"/>
              <w:ind w:left="0" w:right="0" w:hanging="0"/>
              <w:jc w:val="left"/>
              <w:rPr/>
            </w:pPr>
            <w:r>
              <w:rPr/>
              <w:t> </w:t>
            </w:r>
          </w:p>
        </w:tc>
        <w:tc>
          <w:tcPr>
            <w:tcW w:w="100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(1,451,764</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29" w:type="dxa"/>
            <w:tcBorders/>
            <w:shd w:fill="auto" w:val="clear"/>
            <w:vAlign w:val="center"/>
          </w:tcPr>
          <w:p>
            <w:pPr>
              <w:pStyle w:val="TableContents"/>
              <w:spacing w:before="0" w:after="0"/>
              <w:ind w:left="0" w:right="0" w:hanging="0"/>
              <w:jc w:val="left"/>
              <w:rPr/>
            </w:pPr>
            <w:r>
              <w:rPr/>
              <w:t> </w:t>
            </w:r>
          </w:p>
        </w:tc>
        <w:tc>
          <w:tcPr>
            <w:tcW w:w="10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(1,413,642</w:t>
            </w:r>
          </w:p>
        </w:tc>
        <w:tc>
          <w:tcPr>
            <w:tcW w:w="611"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432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Accumulated other comprehensive loss</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0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(160</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2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(219</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4321"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stockholders' equity</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0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326,055</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79,998</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32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0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424,877</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190,575</w:t>
            </w:r>
          </w:p>
        </w:tc>
        <w:tc>
          <w:tcPr>
            <w:tcW w:w="6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40" w:after="0"/>
        <w:jc w:val="center"/>
        <w:rPr>
          <w:rFonts w:ascii="Times New Roman;serif" w:hAnsi="Times New Roman;serif"/>
          <w:b w:val="false"/>
          <w:sz w:val="20"/>
        </w:rPr>
      </w:pPr>
      <w:r>
        <w:rPr>
          <w:rFonts w:ascii="Times New Roman;serif" w:hAnsi="Times New Roman;serif"/>
          <w:b w:val="false"/>
          <w:sz w:val="20"/>
        </w:rPr>
        <w:t>See accompanying notes.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w:t>
      </w:r>
    </w:p>
    <w:p>
      <w:pPr>
        <w:pStyle w:val="HorizontalLine"/>
        <w:rPr/>
      </w:pPr>
      <w:r>
        <w:rPr/>
      </w:r>
    </w:p>
    <w:p>
      <w:pPr>
        <w:pStyle w:val="TextBody"/>
        <w:spacing w:before="0" w:after="0"/>
        <w:jc w:val="left"/>
        <w:rPr/>
      </w:pPr>
      <w:r>
        <w:rPr/>
        <w:t> </w:t>
      </w:r>
    </w:p>
    <w:p>
      <w:pPr>
        <w:pStyle w:val="TextBody"/>
        <w:spacing w:before="0" w:after="0"/>
        <w:jc w:val="center"/>
        <w:rPr>
          <w:rFonts w:ascii="Times New Roman;serif" w:hAnsi="Times New Roman;serif"/>
          <w:b/>
          <w:sz w:val="20"/>
        </w:rPr>
      </w:pPr>
      <w:r>
        <w:rPr>
          <w:rFonts w:ascii="Times New Roman;serif" w:hAnsi="Times New Roman;serif"/>
          <w:b/>
          <w:sz w:val="20"/>
        </w:rPr>
        <w:t>GERON CORPORATION</w:t>
      </w:r>
    </w:p>
    <w:p>
      <w:pPr>
        <w:pStyle w:val="TextBody"/>
        <w:spacing w:before="0" w:after="0"/>
        <w:jc w:val="center"/>
        <w:rPr>
          <w:rFonts w:ascii="Times New Roman;serif" w:hAnsi="Times New Roman;serif"/>
          <w:b/>
          <w:sz w:val="20"/>
        </w:rPr>
      </w:pPr>
      <w:bookmarkStart w:id="6" w:name="condensedstatementsofoperations_091820"/>
      <w:bookmarkEnd w:id="6"/>
      <w:r>
        <w:rPr>
          <w:rFonts w:ascii="Times New Roman;serif" w:hAnsi="Times New Roman;serif"/>
          <w:b/>
          <w:sz w:val="20"/>
        </w:rPr>
        <w:t>CONDENSED CONSOLIDATED STATEMENTS OF OPERATIONS</w:t>
      </w:r>
    </w:p>
    <w:p>
      <w:pPr>
        <w:pStyle w:val="TextBody"/>
        <w:spacing w:before="0" w:after="0"/>
        <w:jc w:val="center"/>
        <w:rPr>
          <w:rFonts w:ascii="Times New Roman;serif" w:hAnsi="Times New Roman;serif"/>
          <w:b/>
          <w:sz w:val="20"/>
        </w:rPr>
      </w:pPr>
      <w:r>
        <w:rPr>
          <w:rFonts w:ascii="Times New Roman;serif" w:hAnsi="Times New Roman;serif"/>
          <w:b/>
          <w:sz w:val="20"/>
        </w:rPr>
        <w:t>(IN THOUSANDS, EXCEPT SHARE AND PER SHARE DATA)</w:t>
      </w:r>
    </w:p>
    <w:p>
      <w:pPr>
        <w:pStyle w:val="TextBody"/>
        <w:spacing w:before="0" w:after="0"/>
        <w:jc w:val="center"/>
        <w:rPr>
          <w:rFonts w:ascii="Times New Roman;serif" w:hAnsi="Times New Roman;serif"/>
          <w:b/>
          <w:sz w:val="20"/>
        </w:rPr>
      </w:pPr>
      <w:r>
        <w:rPr>
          <w:rFonts w:ascii="Times New Roman;serif" w:hAnsi="Times New Roman;serif"/>
          <w:b/>
          <w:sz w:val="20"/>
        </w:rPr>
        <w:t>(UNAUDITED)</w:t>
      </w:r>
    </w:p>
    <w:tbl>
      <w:tblPr>
        <w:tblW w:w="8824" w:type="dxa"/>
        <w:jc w:val="left"/>
        <w:tblInd w:w="0" w:type="dxa"/>
        <w:tblCellMar>
          <w:top w:w="28" w:type="dxa"/>
          <w:left w:w="28" w:type="dxa"/>
          <w:bottom w:w="28" w:type="dxa"/>
          <w:right w:w="28" w:type="dxa"/>
        </w:tblCellMar>
      </w:tblPr>
      <w:tblGrid>
        <w:gridCol w:w="5071"/>
        <w:gridCol w:w="146"/>
        <w:gridCol w:w="211"/>
        <w:gridCol w:w="1141"/>
        <w:gridCol w:w="166"/>
        <w:gridCol w:w="146"/>
        <w:gridCol w:w="211"/>
        <w:gridCol w:w="1141"/>
        <w:gridCol w:w="591"/>
      </w:tblGrid>
      <w:tr>
        <w:trPr/>
        <w:tc>
          <w:tcPr>
            <w:tcW w:w="50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14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141" w:type="dxa"/>
            <w:tcBorders/>
            <w:shd w:fill="auto" w:val="clear"/>
            <w:vAlign w:val="center"/>
          </w:tcPr>
          <w:p>
            <w:pPr>
              <w:pStyle w:val="TableContents"/>
              <w:spacing w:before="0" w:after="283"/>
              <w:rPr>
                <w:sz w:val="4"/>
                <w:szCs w:val="4"/>
              </w:rPr>
            </w:pPr>
            <w:r>
              <w:rPr>
                <w:sz w:val="4"/>
                <w:szCs w:val="4"/>
              </w:rPr>
            </w:r>
          </w:p>
        </w:tc>
        <w:tc>
          <w:tcPr>
            <w:tcW w:w="591" w:type="dxa"/>
            <w:tcBorders/>
            <w:shd w:fill="auto" w:val="clear"/>
            <w:vAlign w:val="center"/>
          </w:tcPr>
          <w:p>
            <w:pPr>
              <w:pStyle w:val="TableContents"/>
              <w:spacing w:before="0" w:after="283"/>
              <w:rPr>
                <w:sz w:val="4"/>
                <w:szCs w:val="4"/>
              </w:rPr>
            </w:pPr>
            <w:r>
              <w:rPr>
                <w:sz w:val="4"/>
                <w:szCs w:val="4"/>
              </w:rPr>
            </w:r>
          </w:p>
        </w:tc>
      </w:tr>
      <w:tr>
        <w:trPr/>
        <w:tc>
          <w:tcPr>
            <w:tcW w:w="50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16" w:type="dxa"/>
            <w:gridSpan w:val="6"/>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w:t>
            </w:r>
          </w:p>
        </w:tc>
        <w:tc>
          <w:tcPr>
            <w:tcW w:w="591" w:type="dxa"/>
            <w:tcBorders/>
            <w:shd w:fill="auto" w:val="clear"/>
            <w:vAlign w:val="center"/>
          </w:tcPr>
          <w:p>
            <w:pPr>
              <w:pStyle w:val="TableContents"/>
              <w:spacing w:before="0" w:after="0"/>
              <w:ind w:left="0" w:right="0" w:hanging="0"/>
              <w:jc w:val="center"/>
              <w:rPr/>
            </w:pPr>
            <w:r>
              <w:rPr/>
              <w:t> </w:t>
            </w:r>
          </w:p>
        </w:tc>
      </w:tr>
      <w:tr>
        <w:trPr/>
        <w:tc>
          <w:tcPr>
            <w:tcW w:w="50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1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50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5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5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50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Revenues:</w:t>
            </w:r>
          </w:p>
        </w:tc>
        <w:tc>
          <w:tcPr>
            <w:tcW w:w="146" w:type="dxa"/>
            <w:tcBorders/>
            <w:shd w:fill="auto" w:val="clear"/>
            <w:vAlign w:val="center"/>
          </w:tcPr>
          <w:p>
            <w:pPr>
              <w:pStyle w:val="TableContents"/>
              <w:spacing w:before="0" w:after="0"/>
              <w:ind w:left="0" w:right="0" w:hanging="0"/>
              <w:jc w:val="left"/>
              <w:rPr/>
            </w:pPr>
            <w:r>
              <w:rPr/>
              <w:t> </w:t>
            </w:r>
          </w:p>
        </w:tc>
        <w:tc>
          <w:tcPr>
            <w:tcW w:w="135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52" w:type="dxa"/>
            <w:gridSpan w:val="2"/>
            <w:tcBorders/>
            <w:shd w:fill="auto" w:val="clear"/>
            <w:vAlign w:val="center"/>
          </w:tcPr>
          <w:p>
            <w:pPr>
              <w:pStyle w:val="TableContents"/>
              <w:spacing w:before="0" w:after="0"/>
              <w:ind w:left="0" w:right="0" w:hanging="0"/>
              <w:jc w:val="left"/>
              <w:rPr/>
            </w:pPr>
            <w:r>
              <w:rPr/>
              <w:t> </w:t>
            </w:r>
          </w:p>
        </w:tc>
        <w:tc>
          <w:tcPr>
            <w:tcW w:w="591" w:type="dxa"/>
            <w:tcBorders/>
            <w:shd w:fill="auto" w:val="clear"/>
            <w:vAlign w:val="center"/>
          </w:tcPr>
          <w:p>
            <w:pPr>
              <w:pStyle w:val="TableContents"/>
              <w:spacing w:before="0" w:after="0"/>
              <w:ind w:left="0" w:right="0" w:firstLine="200"/>
              <w:jc w:val="left"/>
              <w:rPr/>
            </w:pPr>
            <w:r>
              <w:rPr/>
              <w:t> </w:t>
            </w:r>
          </w:p>
        </w:tc>
      </w:tr>
      <w:tr>
        <w:trPr/>
        <w:tc>
          <w:tcPr>
            <w:tcW w:w="507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Royalties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123</w:t>
            </w:r>
          </w:p>
        </w:tc>
        <w:tc>
          <w:tcPr>
            <w:tcW w:w="591" w:type="dxa"/>
            <w:tcBorders/>
            <w:shd w:fill="auto" w:val="clear"/>
            <w:vAlign w:val="center"/>
          </w:tcPr>
          <w:p>
            <w:pPr>
              <w:pStyle w:val="TableContents"/>
              <w:spacing w:before="0" w:after="0"/>
              <w:ind w:left="0" w:right="0" w:hanging="0"/>
              <w:jc w:val="left"/>
              <w:rPr/>
            </w:pPr>
            <w:r>
              <w:rPr/>
              <w:t> </w:t>
            </w:r>
          </w:p>
        </w:tc>
      </w:tr>
      <w:tr>
        <w:trPr/>
        <w:tc>
          <w:tcPr>
            <w:tcW w:w="50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5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52" w:type="dxa"/>
            <w:gridSpan w:val="2"/>
            <w:tcBorders/>
            <w:shd w:fill="auto" w:val="clear"/>
            <w:vAlign w:val="center"/>
          </w:tcPr>
          <w:p>
            <w:pPr>
              <w:pStyle w:val="TableContents"/>
              <w:spacing w:before="0" w:after="0"/>
              <w:ind w:left="0" w:right="0" w:hanging="0"/>
              <w:jc w:val="left"/>
              <w:rPr/>
            </w:pPr>
            <w:r>
              <w:rPr/>
              <w:t> </w:t>
            </w:r>
          </w:p>
        </w:tc>
        <w:tc>
          <w:tcPr>
            <w:tcW w:w="591" w:type="dxa"/>
            <w:tcBorders/>
            <w:shd w:fill="auto" w:val="clear"/>
            <w:vAlign w:val="center"/>
          </w:tcPr>
          <w:p>
            <w:pPr>
              <w:pStyle w:val="TableContents"/>
              <w:spacing w:before="0" w:after="0"/>
              <w:ind w:left="0" w:right="0" w:hanging="0"/>
              <w:jc w:val="left"/>
              <w:rPr/>
            </w:pPr>
            <w:r>
              <w:rPr/>
              <w:t> </w:t>
            </w:r>
          </w:p>
        </w:tc>
      </w:tr>
      <w:tr>
        <w:trPr/>
        <w:tc>
          <w:tcPr>
            <w:tcW w:w="50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expenses:</w:t>
            </w:r>
          </w:p>
        </w:tc>
        <w:tc>
          <w:tcPr>
            <w:tcW w:w="146" w:type="dxa"/>
            <w:tcBorders/>
            <w:shd w:fill="auto" w:val="clear"/>
            <w:vAlign w:val="center"/>
          </w:tcPr>
          <w:p>
            <w:pPr>
              <w:pStyle w:val="TableContents"/>
              <w:spacing w:before="0" w:after="0"/>
              <w:ind w:left="0" w:right="0" w:hanging="0"/>
              <w:jc w:val="left"/>
              <w:rPr/>
            </w:pPr>
            <w:r>
              <w:rPr/>
              <w:t> </w:t>
            </w:r>
          </w:p>
        </w:tc>
        <w:tc>
          <w:tcPr>
            <w:tcW w:w="135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52" w:type="dxa"/>
            <w:gridSpan w:val="2"/>
            <w:tcBorders/>
            <w:shd w:fill="auto" w:val="clear"/>
            <w:vAlign w:val="center"/>
          </w:tcPr>
          <w:p>
            <w:pPr>
              <w:pStyle w:val="TableContents"/>
              <w:spacing w:before="0" w:after="0"/>
              <w:ind w:left="0" w:right="0" w:hanging="0"/>
              <w:jc w:val="left"/>
              <w:rPr/>
            </w:pPr>
            <w:r>
              <w:rPr/>
              <w:t> </w:t>
            </w:r>
          </w:p>
        </w:tc>
        <w:tc>
          <w:tcPr>
            <w:tcW w:w="591" w:type="dxa"/>
            <w:tcBorders/>
            <w:shd w:fill="auto" w:val="clear"/>
            <w:vAlign w:val="center"/>
          </w:tcPr>
          <w:p>
            <w:pPr>
              <w:pStyle w:val="TableContents"/>
              <w:spacing w:before="0" w:after="0"/>
              <w:ind w:left="0" w:right="0" w:firstLine="200"/>
              <w:jc w:val="left"/>
              <w:rPr/>
            </w:pPr>
            <w:r>
              <w:rPr/>
              <w:t> </w:t>
            </w:r>
          </w:p>
        </w:tc>
      </w:tr>
      <w:tr>
        <w:trPr/>
        <w:tc>
          <w:tcPr>
            <w:tcW w:w="507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Research and development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1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27,219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1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22,099</w:t>
            </w:r>
          </w:p>
        </w:tc>
        <w:tc>
          <w:tcPr>
            <w:tcW w:w="591" w:type="dxa"/>
            <w:tcBorders/>
            <w:shd w:fill="auto" w:val="clear"/>
            <w:vAlign w:val="center"/>
          </w:tcPr>
          <w:p>
            <w:pPr>
              <w:pStyle w:val="TableContents"/>
              <w:spacing w:before="0" w:after="0"/>
              <w:ind w:left="0" w:right="0" w:firstLine="200"/>
              <w:jc w:val="left"/>
              <w:rPr/>
            </w:pPr>
            <w:r>
              <w:rPr/>
              <w:t> </w:t>
            </w:r>
          </w:p>
        </w:tc>
      </w:tr>
      <w:tr>
        <w:trPr/>
        <w:tc>
          <w:tcPr>
            <w:tcW w:w="507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General and administrative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12,894</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6,699</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r>
      <w:tr>
        <w:trPr/>
        <w:tc>
          <w:tcPr>
            <w:tcW w:w="5071"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operating expenses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40,113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28,798</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0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Loss from operations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1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(40,092</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1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(28,675</w:t>
            </w:r>
          </w:p>
        </w:tc>
        <w:tc>
          <w:tcPr>
            <w:tcW w:w="5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0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Interest income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1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3,853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1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112</w:t>
            </w:r>
          </w:p>
        </w:tc>
        <w:tc>
          <w:tcPr>
            <w:tcW w:w="591" w:type="dxa"/>
            <w:tcBorders/>
            <w:shd w:fill="auto" w:val="clear"/>
            <w:vAlign w:val="center"/>
          </w:tcPr>
          <w:p>
            <w:pPr>
              <w:pStyle w:val="TableContents"/>
              <w:spacing w:before="0" w:after="0"/>
              <w:ind w:left="0" w:right="0" w:hanging="0"/>
              <w:jc w:val="left"/>
              <w:rPr/>
            </w:pPr>
            <w:r>
              <w:rPr/>
              <w:t> </w:t>
            </w:r>
          </w:p>
        </w:tc>
      </w:tr>
      <w:tr>
        <w:trPr/>
        <w:tc>
          <w:tcPr>
            <w:tcW w:w="50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Interest expense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1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(1,922</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1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(1,479</w:t>
            </w:r>
          </w:p>
        </w:tc>
        <w:tc>
          <w:tcPr>
            <w:tcW w:w="5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0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 income and (expense), net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(56</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0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(38,122</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(30,098</w:t>
            </w:r>
          </w:p>
        </w:tc>
        <w:tc>
          <w:tcPr>
            <w:tcW w:w="5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0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5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52" w:type="dxa"/>
            <w:gridSpan w:val="2"/>
            <w:tcBorders/>
            <w:shd w:fill="auto" w:val="clear"/>
            <w:vAlign w:val="center"/>
          </w:tcPr>
          <w:p>
            <w:pPr>
              <w:pStyle w:val="TableContents"/>
              <w:spacing w:before="0" w:after="0"/>
              <w:ind w:left="0" w:right="0" w:hanging="0"/>
              <w:jc w:val="left"/>
              <w:rPr/>
            </w:pPr>
            <w:r>
              <w:rPr/>
              <w:t> </w:t>
            </w:r>
          </w:p>
        </w:tc>
        <w:tc>
          <w:tcPr>
            <w:tcW w:w="591" w:type="dxa"/>
            <w:tcBorders/>
            <w:shd w:fill="auto" w:val="clear"/>
            <w:vAlign w:val="center"/>
          </w:tcPr>
          <w:p>
            <w:pPr>
              <w:pStyle w:val="TableContents"/>
              <w:spacing w:before="0" w:after="0"/>
              <w:ind w:left="0" w:right="0" w:hanging="0"/>
              <w:jc w:val="left"/>
              <w:rPr/>
            </w:pPr>
            <w:r>
              <w:rPr/>
              <w:t> </w:t>
            </w:r>
          </w:p>
        </w:tc>
      </w:tr>
      <w:tr>
        <w:trPr/>
        <w:tc>
          <w:tcPr>
            <w:tcW w:w="50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Basic and diluted net loss per share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(0.07</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(0.09</w:t>
            </w:r>
          </w:p>
        </w:tc>
        <w:tc>
          <w:tcPr>
            <w:tcW w:w="5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0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5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52" w:type="dxa"/>
            <w:gridSpan w:val="2"/>
            <w:tcBorders/>
            <w:shd w:fill="auto" w:val="clear"/>
            <w:vAlign w:val="center"/>
          </w:tcPr>
          <w:p>
            <w:pPr>
              <w:pStyle w:val="TableContents"/>
              <w:spacing w:before="0" w:after="0"/>
              <w:ind w:left="0" w:right="0" w:hanging="0"/>
              <w:jc w:val="left"/>
              <w:rPr/>
            </w:pPr>
            <w:r>
              <w:rPr/>
              <w:t> </w:t>
            </w:r>
          </w:p>
        </w:tc>
        <w:tc>
          <w:tcPr>
            <w:tcW w:w="591" w:type="dxa"/>
            <w:tcBorders/>
            <w:shd w:fill="auto" w:val="clear"/>
            <w:vAlign w:val="center"/>
          </w:tcPr>
          <w:p>
            <w:pPr>
              <w:pStyle w:val="TableContents"/>
              <w:spacing w:before="0" w:after="0"/>
              <w:ind w:left="0" w:right="0" w:hanging="0"/>
              <w:jc w:val="left"/>
              <w:rPr/>
            </w:pPr>
            <w:r>
              <w:rPr/>
              <w:t> </w:t>
            </w:r>
          </w:p>
        </w:tc>
      </w:tr>
      <w:tr>
        <w:trPr/>
        <w:tc>
          <w:tcPr>
            <w:tcW w:w="50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Shares used in computing basic and diluted net loss per share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544,459,004</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332,066,889</w:t>
            </w:r>
          </w:p>
        </w:tc>
        <w:tc>
          <w:tcPr>
            <w:tcW w:w="5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40" w:after="0"/>
        <w:jc w:val="center"/>
        <w:rPr>
          <w:rFonts w:ascii="Times New Roman;serif" w:hAnsi="Times New Roman;serif"/>
          <w:b w:val="false"/>
          <w:sz w:val="20"/>
        </w:rPr>
      </w:pPr>
      <w:r>
        <w:rPr>
          <w:rFonts w:ascii="Times New Roman;serif" w:hAnsi="Times New Roman;serif"/>
          <w:b w:val="false"/>
          <w:sz w:val="20"/>
        </w:rPr>
        <w:t>See accompanying notes.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4</w:t>
      </w:r>
    </w:p>
    <w:p>
      <w:pPr>
        <w:pStyle w:val="HorizontalLine"/>
        <w:rPr/>
      </w:pPr>
      <w:r>
        <w:rPr/>
      </w:r>
    </w:p>
    <w:p>
      <w:pPr>
        <w:pStyle w:val="TextBody"/>
        <w:spacing w:before="0" w:after="0"/>
        <w:jc w:val="left"/>
        <w:rPr/>
      </w:pPr>
      <w:r>
        <w:rPr/>
        <w:t> </w:t>
      </w:r>
    </w:p>
    <w:p>
      <w:pPr>
        <w:pStyle w:val="TextBody"/>
        <w:spacing w:before="0" w:after="0"/>
        <w:jc w:val="center"/>
        <w:rPr>
          <w:rFonts w:ascii="Times New Roman;serif" w:hAnsi="Times New Roman;serif"/>
          <w:b/>
          <w:sz w:val="20"/>
        </w:rPr>
      </w:pPr>
      <w:r>
        <w:rPr>
          <w:rFonts w:ascii="Times New Roman;serif" w:hAnsi="Times New Roman;serif"/>
          <w:b/>
          <w:sz w:val="20"/>
        </w:rPr>
        <w:t>GERON CORPORATION</w:t>
      </w:r>
    </w:p>
    <w:p>
      <w:pPr>
        <w:pStyle w:val="TextBody"/>
        <w:spacing w:before="0" w:after="0"/>
        <w:jc w:val="center"/>
        <w:rPr>
          <w:rFonts w:ascii="Times New Roman;serif" w:hAnsi="Times New Roman;serif"/>
          <w:b/>
          <w:sz w:val="20"/>
        </w:rPr>
      </w:pPr>
      <w:bookmarkStart w:id="7" w:name="condensedstatementsofcomprehensi_093353"/>
      <w:bookmarkEnd w:id="7"/>
      <w:r>
        <w:rPr>
          <w:rFonts w:ascii="Times New Roman;serif" w:hAnsi="Times New Roman;serif"/>
          <w:b/>
          <w:sz w:val="20"/>
        </w:rPr>
        <w:t>CONDENSED CONSOLIDATED STATEMENTS OF COMPREHENSIVE LOSS</w:t>
      </w:r>
    </w:p>
    <w:p>
      <w:pPr>
        <w:pStyle w:val="TextBody"/>
        <w:spacing w:before="0" w:after="0"/>
        <w:jc w:val="center"/>
        <w:rPr>
          <w:rFonts w:ascii="Times New Roman;serif" w:hAnsi="Times New Roman;serif"/>
          <w:b/>
          <w:sz w:val="20"/>
        </w:rPr>
      </w:pPr>
      <w:r>
        <w:rPr>
          <w:rFonts w:ascii="Times New Roman;serif" w:hAnsi="Times New Roman;serif"/>
          <w:b/>
          <w:sz w:val="20"/>
        </w:rPr>
        <w:t>(IN THOUSANDS)</w:t>
      </w:r>
    </w:p>
    <w:p>
      <w:pPr>
        <w:pStyle w:val="TextBody"/>
        <w:spacing w:before="0" w:after="0"/>
        <w:jc w:val="center"/>
        <w:rPr>
          <w:rFonts w:ascii="Times New Roman;serif" w:hAnsi="Times New Roman;serif"/>
          <w:b/>
          <w:sz w:val="20"/>
        </w:rPr>
      </w:pPr>
      <w:r>
        <w:rPr>
          <w:rFonts w:ascii="Times New Roman;serif" w:hAnsi="Times New Roman;serif"/>
          <w:b/>
          <w:sz w:val="20"/>
        </w:rPr>
        <w:t>(UNAUDITED)</w:t>
      </w:r>
    </w:p>
    <w:tbl>
      <w:tblPr>
        <w:tblW w:w="6764" w:type="dxa"/>
        <w:jc w:val="left"/>
        <w:tblInd w:w="0" w:type="dxa"/>
        <w:tblCellMar>
          <w:top w:w="28" w:type="dxa"/>
          <w:left w:w="28" w:type="dxa"/>
          <w:bottom w:w="28" w:type="dxa"/>
          <w:right w:w="28" w:type="dxa"/>
        </w:tblCellMar>
      </w:tblPr>
      <w:tblGrid>
        <w:gridCol w:w="4201"/>
        <w:gridCol w:w="146"/>
        <w:gridCol w:w="211"/>
        <w:gridCol w:w="736"/>
        <w:gridCol w:w="166"/>
        <w:gridCol w:w="146"/>
        <w:gridCol w:w="211"/>
        <w:gridCol w:w="736"/>
        <w:gridCol w:w="211"/>
      </w:tblGrid>
      <w:tr>
        <w:trPr/>
        <w:tc>
          <w:tcPr>
            <w:tcW w:w="420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420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06" w:type="dxa"/>
            <w:gridSpan w:val="6"/>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w:t>
            </w:r>
          </w:p>
        </w:tc>
        <w:tc>
          <w:tcPr>
            <w:tcW w:w="211" w:type="dxa"/>
            <w:tcBorders/>
            <w:shd w:fill="auto" w:val="clear"/>
            <w:vAlign w:val="center"/>
          </w:tcPr>
          <w:p>
            <w:pPr>
              <w:pStyle w:val="TableContents"/>
              <w:spacing w:before="0" w:after="0"/>
              <w:ind w:left="0" w:right="0" w:hanging="0"/>
              <w:jc w:val="center"/>
              <w:rPr/>
            </w:pPr>
            <w:r>
              <w:rPr/>
              <w:t> </w:t>
            </w:r>
          </w:p>
        </w:tc>
      </w:tr>
      <w:tr>
        <w:trPr/>
        <w:tc>
          <w:tcPr>
            <w:tcW w:w="420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0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20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20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(38,122</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(30,098</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20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unrealized gain (loss) on marketable securities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(539</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20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Foreign currency translation adjustments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20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Comprehensive loss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(38,063</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(30,636</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40" w:after="0"/>
        <w:jc w:val="center"/>
        <w:rPr>
          <w:rFonts w:ascii="Times New Roman;serif" w:hAnsi="Times New Roman;serif"/>
          <w:b w:val="false"/>
          <w:sz w:val="20"/>
        </w:rPr>
      </w:pPr>
      <w:r>
        <w:rPr>
          <w:rFonts w:ascii="Times New Roman;serif" w:hAnsi="Times New Roman;serif"/>
          <w:b w:val="false"/>
          <w:sz w:val="20"/>
        </w:rPr>
        <w:t>See accompanying notes.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5</w:t>
      </w:r>
    </w:p>
    <w:p>
      <w:pPr>
        <w:pStyle w:val="HorizontalLine"/>
        <w:rPr/>
      </w:pPr>
      <w:r>
        <w:rPr/>
      </w:r>
    </w:p>
    <w:p>
      <w:pPr>
        <w:pStyle w:val="TextBody"/>
        <w:spacing w:before="0" w:after="0"/>
        <w:jc w:val="left"/>
        <w:rPr/>
      </w:pPr>
      <w:r>
        <w:rPr/>
        <w:t> </w:t>
      </w:r>
    </w:p>
    <w:p>
      <w:pPr>
        <w:pStyle w:val="TextBody"/>
        <w:spacing w:before="0" w:after="0"/>
        <w:jc w:val="center"/>
        <w:rPr>
          <w:rFonts w:ascii="Times New Roman;serif" w:hAnsi="Times New Roman;serif"/>
          <w:b/>
          <w:sz w:val="20"/>
        </w:rPr>
      </w:pPr>
      <w:r>
        <w:rPr>
          <w:rFonts w:ascii="Times New Roman;serif" w:hAnsi="Times New Roman;serif"/>
          <w:b/>
          <w:sz w:val="20"/>
        </w:rPr>
        <w:t>GERON CORPORATION</w:t>
      </w:r>
    </w:p>
    <w:p>
      <w:pPr>
        <w:pStyle w:val="TextBody"/>
        <w:spacing w:before="0" w:after="0"/>
        <w:jc w:val="center"/>
        <w:rPr>
          <w:rFonts w:ascii="Times New Roman;serif" w:hAnsi="Times New Roman;serif"/>
          <w:b/>
          <w:sz w:val="20"/>
        </w:rPr>
      </w:pPr>
      <w:bookmarkStart w:id="8" w:name="condensed_statements_stockholders_equity"/>
      <w:bookmarkEnd w:id="8"/>
      <w:r>
        <w:rPr>
          <w:rFonts w:ascii="Times New Roman;serif" w:hAnsi="Times New Roman;serif"/>
          <w:b/>
          <w:sz w:val="20"/>
        </w:rPr>
        <w:t>CONDENSED CONSOLIDATED STATEMENTS OF STOCKHOLDERS’ EQUITY</w:t>
      </w:r>
    </w:p>
    <w:p>
      <w:pPr>
        <w:pStyle w:val="TextBody"/>
        <w:spacing w:before="0" w:after="0"/>
        <w:jc w:val="center"/>
        <w:rPr>
          <w:rFonts w:ascii="Times New Roman;serif" w:hAnsi="Times New Roman;serif"/>
          <w:b/>
          <w:sz w:val="20"/>
        </w:rPr>
      </w:pPr>
      <w:r>
        <w:rPr>
          <w:rFonts w:ascii="Times New Roman;serif" w:hAnsi="Times New Roman;serif"/>
          <w:b/>
          <w:sz w:val="20"/>
        </w:rPr>
        <w:t>(IN THOUSANDS, EXCEPT SHARE DATA)</w:t>
      </w:r>
    </w:p>
    <w:p>
      <w:pPr>
        <w:pStyle w:val="TextBody"/>
        <w:spacing w:before="0" w:after="0"/>
        <w:jc w:val="center"/>
        <w:rPr>
          <w:rFonts w:ascii="Times New Roman;serif" w:hAnsi="Times New Roman;serif"/>
          <w:b/>
          <w:sz w:val="20"/>
        </w:rPr>
      </w:pPr>
      <w:r>
        <w:rPr>
          <w:rFonts w:ascii="Times New Roman;serif" w:hAnsi="Times New Roman;serif"/>
          <w:b/>
          <w:sz w:val="20"/>
        </w:rPr>
        <w:t>(UNAUDITED)</w:t>
      </w:r>
    </w:p>
    <w:p>
      <w:pPr>
        <w:pStyle w:val="TextBody"/>
        <w:spacing w:before="0" w:after="0"/>
        <w:jc w:val="center"/>
        <w:rPr/>
      </w:pPr>
      <w:r>
        <w:rPr/>
        <w:t> </w:t>
      </w:r>
    </w:p>
    <w:tbl>
      <w:tblPr>
        <w:tblW w:w="10539" w:type="dxa"/>
        <w:jc w:val="left"/>
        <w:tblInd w:w="0" w:type="dxa"/>
        <w:tblCellMar>
          <w:top w:w="28" w:type="dxa"/>
          <w:left w:w="28" w:type="dxa"/>
          <w:bottom w:w="28" w:type="dxa"/>
          <w:right w:w="28" w:type="dxa"/>
        </w:tblCellMar>
      </w:tblPr>
      <w:tblGrid>
        <w:gridCol w:w="2451"/>
        <w:gridCol w:w="146"/>
        <w:gridCol w:w="146"/>
        <w:gridCol w:w="1006"/>
        <w:gridCol w:w="146"/>
        <w:gridCol w:w="146"/>
        <w:gridCol w:w="236"/>
        <w:gridCol w:w="455"/>
        <w:gridCol w:w="146"/>
        <w:gridCol w:w="146"/>
        <w:gridCol w:w="196"/>
        <w:gridCol w:w="826"/>
        <w:gridCol w:w="146"/>
        <w:gridCol w:w="146"/>
        <w:gridCol w:w="196"/>
        <w:gridCol w:w="886"/>
        <w:gridCol w:w="166"/>
        <w:gridCol w:w="146"/>
        <w:gridCol w:w="376"/>
        <w:gridCol w:w="840"/>
        <w:gridCol w:w="166"/>
        <w:gridCol w:w="146"/>
        <w:gridCol w:w="234"/>
        <w:gridCol w:w="833"/>
        <w:gridCol w:w="212"/>
      </w:tblGrid>
      <w:tr>
        <w:trPr/>
        <w:tc>
          <w:tcPr>
            <w:tcW w:w="24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0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45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8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840"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833"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r>
      <w:tr>
        <w:trPr/>
        <w:tc>
          <w:tcPr>
            <w:tcW w:w="24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5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2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8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16"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Accumulated</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67" w:type="dxa"/>
            <w:gridSpan w:val="2"/>
            <w:tcBorders/>
            <w:shd w:fill="auto" w:val="clear"/>
            <w:vAlign w:val="center"/>
          </w:tcPr>
          <w:p>
            <w:pPr>
              <w:pStyle w:val="TableContents"/>
              <w:spacing w:before="0" w:after="0"/>
              <w:ind w:left="0" w:right="0" w:hanging="0"/>
              <w:jc w:val="left"/>
              <w:rPr/>
            </w:pPr>
            <w:r>
              <w:rPr/>
              <w:t> </w:t>
            </w:r>
          </w:p>
        </w:tc>
        <w:tc>
          <w:tcPr>
            <w:tcW w:w="212" w:type="dxa"/>
            <w:tcBorders/>
            <w:shd w:fill="auto" w:val="clear"/>
            <w:vAlign w:val="center"/>
          </w:tcPr>
          <w:p>
            <w:pPr>
              <w:pStyle w:val="TableContents"/>
              <w:spacing w:before="0" w:after="0"/>
              <w:ind w:left="0" w:right="0" w:hanging="0"/>
              <w:jc w:val="left"/>
              <w:rPr/>
            </w:pPr>
            <w:r>
              <w:rPr/>
              <w:t> </w:t>
            </w:r>
          </w:p>
        </w:tc>
      </w:tr>
      <w:tr>
        <w:trPr/>
        <w:tc>
          <w:tcPr>
            <w:tcW w:w="24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5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22"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Additional</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8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16"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Other</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67"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212" w:type="dxa"/>
            <w:tcBorders/>
            <w:shd w:fill="auto" w:val="clear"/>
            <w:vAlign w:val="center"/>
          </w:tcPr>
          <w:p>
            <w:pPr>
              <w:pStyle w:val="TableContents"/>
              <w:spacing w:before="0" w:after="0"/>
              <w:ind w:left="0" w:right="0" w:hanging="0"/>
              <w:jc w:val="center"/>
              <w:rPr/>
            </w:pPr>
            <w:r>
              <w:rPr/>
              <w:t> </w:t>
            </w:r>
          </w:p>
        </w:tc>
      </w:tr>
      <w:tr>
        <w:trPr/>
        <w:tc>
          <w:tcPr>
            <w:tcW w:w="24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35"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Common Stock</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22"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Paid-In</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82"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Accumulated</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16"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Comprehensive</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67"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Stockholders'</w:t>
            </w:r>
          </w:p>
        </w:tc>
        <w:tc>
          <w:tcPr>
            <w:tcW w:w="212" w:type="dxa"/>
            <w:tcBorders/>
            <w:shd w:fill="auto" w:val="clear"/>
            <w:vAlign w:val="center"/>
          </w:tcPr>
          <w:p>
            <w:pPr>
              <w:pStyle w:val="TableContents"/>
              <w:spacing w:before="0" w:after="0"/>
              <w:ind w:left="0" w:right="0" w:hanging="0"/>
              <w:jc w:val="center"/>
              <w:rPr/>
            </w:pPr>
            <w:r>
              <w:rPr/>
              <w:t> </w:t>
            </w:r>
          </w:p>
        </w:tc>
      </w:tr>
      <w:tr>
        <w:trPr/>
        <w:tc>
          <w:tcPr>
            <w:tcW w:w="24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5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Shares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2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Capital</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Deficit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1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Gain (Loss)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6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Equity</w:t>
            </w:r>
          </w:p>
        </w:tc>
        <w:tc>
          <w:tcPr>
            <w:tcW w:w="21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4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5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91"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2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82" w:type="dxa"/>
            <w:gridSpan w:val="2"/>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216" w:type="dxa"/>
            <w:gridSpan w:val="2"/>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67" w:type="dxa"/>
            <w:gridSpan w:val="2"/>
            <w:tcBorders/>
            <w:shd w:fill="auto" w:val="clear"/>
            <w:vAlign w:val="center"/>
          </w:tcPr>
          <w:p>
            <w:pPr>
              <w:pStyle w:val="TableContents"/>
              <w:spacing w:before="0" w:after="0"/>
              <w:ind w:left="0" w:right="0" w:hanging="0"/>
              <w:jc w:val="center"/>
              <w:rPr/>
            </w:pPr>
            <w:r>
              <w:rPr/>
              <w:t> </w:t>
            </w:r>
          </w:p>
        </w:tc>
        <w:tc>
          <w:tcPr>
            <w:tcW w:w="212" w:type="dxa"/>
            <w:tcBorders/>
            <w:shd w:fill="auto" w:val="clear"/>
            <w:vAlign w:val="center"/>
          </w:tcPr>
          <w:p>
            <w:pPr>
              <w:pStyle w:val="TableContents"/>
              <w:spacing w:before="0" w:after="0"/>
              <w:ind w:left="0" w:right="0" w:hanging="0"/>
              <w:jc w:val="center"/>
              <w:rPr/>
            </w:pPr>
            <w:r>
              <w:rPr/>
              <w:t> </w:t>
            </w:r>
          </w:p>
        </w:tc>
      </w:tr>
      <w:tr>
        <w:trPr/>
        <w:tc>
          <w:tcPr>
            <w:tcW w:w="245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Balance at December 31, 2022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0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390,262,524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455"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390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2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1,493,469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8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(1,413,642</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37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40"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(219</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234"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33"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79,998</w:t>
            </w:r>
          </w:p>
        </w:tc>
        <w:tc>
          <w:tcPr>
            <w:tcW w:w="212" w:type="dxa"/>
            <w:tcBorders/>
            <w:shd w:fill="auto" w:val="clear"/>
            <w:vAlign w:val="center"/>
          </w:tcPr>
          <w:p>
            <w:pPr>
              <w:pStyle w:val="TableContents"/>
              <w:spacing w:before="0" w:after="0"/>
              <w:ind w:left="0" w:right="0" w:hanging="0"/>
              <w:jc w:val="left"/>
              <w:rPr/>
            </w:pPr>
            <w:r>
              <w:rPr/>
              <w:t> </w:t>
            </w:r>
          </w:p>
        </w:tc>
      </w:tr>
      <w:tr>
        <w:trPr/>
        <w:tc>
          <w:tcPr>
            <w:tcW w:w="245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Net loss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0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6" w:type="dxa"/>
            <w:tcBorders/>
            <w:shd w:fill="auto" w:val="clear"/>
            <w:vAlign w:val="center"/>
          </w:tcPr>
          <w:p>
            <w:pPr>
              <w:pStyle w:val="TableContents"/>
              <w:spacing w:before="0" w:after="0"/>
              <w:ind w:left="0" w:right="0" w:hanging="0"/>
              <w:jc w:val="left"/>
              <w:rPr/>
            </w:pPr>
            <w:r>
              <w:rPr/>
              <w:t> </w:t>
            </w:r>
          </w:p>
        </w:tc>
        <w:tc>
          <w:tcPr>
            <w:tcW w:w="45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88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(38,122</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376" w:type="dxa"/>
            <w:tcBorders/>
            <w:shd w:fill="auto" w:val="clear"/>
            <w:vAlign w:val="center"/>
          </w:tcPr>
          <w:p>
            <w:pPr>
              <w:pStyle w:val="TableContents"/>
              <w:spacing w:before="0" w:after="0"/>
              <w:ind w:left="0" w:right="0" w:hanging="0"/>
              <w:jc w:val="left"/>
              <w:rPr/>
            </w:pPr>
            <w:r>
              <w:rPr/>
              <w:t> </w:t>
            </w:r>
          </w:p>
        </w:tc>
        <w:tc>
          <w:tcPr>
            <w:tcW w:w="840"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4" w:type="dxa"/>
            <w:tcBorders/>
            <w:shd w:fill="auto" w:val="clear"/>
            <w:vAlign w:val="center"/>
          </w:tcPr>
          <w:p>
            <w:pPr>
              <w:pStyle w:val="TableContents"/>
              <w:spacing w:before="0" w:after="0"/>
              <w:ind w:left="0" w:right="0" w:hanging="0"/>
              <w:jc w:val="left"/>
              <w:rPr/>
            </w:pPr>
            <w:r>
              <w:rPr/>
              <w:t> </w:t>
            </w:r>
          </w:p>
        </w:tc>
        <w:tc>
          <w:tcPr>
            <w:tcW w:w="833"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(38,122</w:t>
            </w:r>
          </w:p>
        </w:tc>
        <w:tc>
          <w:tcPr>
            <w:tcW w:w="212"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245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Other comprehensive income</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0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6" w:type="dxa"/>
            <w:tcBorders/>
            <w:shd w:fill="auto" w:val="clear"/>
            <w:vAlign w:val="center"/>
          </w:tcPr>
          <w:p>
            <w:pPr>
              <w:pStyle w:val="TableContents"/>
              <w:spacing w:before="0" w:after="0"/>
              <w:ind w:left="0" w:right="0" w:hanging="0"/>
              <w:jc w:val="left"/>
              <w:rPr/>
            </w:pPr>
            <w:r>
              <w:rPr/>
              <w:t> </w:t>
            </w:r>
          </w:p>
        </w:tc>
        <w:tc>
          <w:tcPr>
            <w:tcW w:w="45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88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76" w:type="dxa"/>
            <w:tcBorders/>
            <w:shd w:fill="auto" w:val="clear"/>
            <w:vAlign w:val="center"/>
          </w:tcPr>
          <w:p>
            <w:pPr>
              <w:pStyle w:val="TableContents"/>
              <w:spacing w:before="0" w:after="0"/>
              <w:ind w:left="0" w:right="0" w:hanging="0"/>
              <w:jc w:val="left"/>
              <w:rPr/>
            </w:pPr>
            <w:r>
              <w:rPr/>
              <w:t> </w:t>
            </w:r>
          </w:p>
        </w:tc>
        <w:tc>
          <w:tcPr>
            <w:tcW w:w="840"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75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4" w:type="dxa"/>
            <w:tcBorders/>
            <w:shd w:fill="auto" w:val="clear"/>
            <w:vAlign w:val="center"/>
          </w:tcPr>
          <w:p>
            <w:pPr>
              <w:pStyle w:val="TableContents"/>
              <w:spacing w:before="0" w:after="0"/>
              <w:ind w:left="0" w:right="0" w:hanging="0"/>
              <w:jc w:val="left"/>
              <w:rPr/>
            </w:pPr>
            <w:r>
              <w:rPr/>
              <w:t> </w:t>
            </w:r>
          </w:p>
        </w:tc>
        <w:tc>
          <w:tcPr>
            <w:tcW w:w="833"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75</w:t>
            </w:r>
          </w:p>
        </w:tc>
        <w:tc>
          <w:tcPr>
            <w:tcW w:w="212" w:type="dxa"/>
            <w:tcBorders/>
            <w:shd w:fill="auto" w:val="clear"/>
            <w:vAlign w:val="center"/>
          </w:tcPr>
          <w:p>
            <w:pPr>
              <w:pStyle w:val="TableContents"/>
              <w:spacing w:before="0" w:after="0"/>
              <w:ind w:left="0" w:right="0" w:hanging="0"/>
              <w:jc w:val="left"/>
              <w:rPr/>
            </w:pPr>
            <w:r>
              <w:rPr/>
              <w:t> </w:t>
            </w:r>
          </w:p>
        </w:tc>
      </w:tr>
      <w:tr>
        <w:trPr/>
        <w:tc>
          <w:tcPr>
            <w:tcW w:w="245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Foreign currency translation adjustment</w:t>
            </w:r>
          </w:p>
        </w:tc>
        <w:tc>
          <w:tcPr>
            <w:tcW w:w="146" w:type="dxa"/>
            <w:tcBorders/>
            <w:shd w:fill="auto" w:val="clear"/>
            <w:vAlign w:val="center"/>
          </w:tcPr>
          <w:p>
            <w:pPr>
              <w:pStyle w:val="TableContents"/>
              <w:spacing w:before="0" w:after="0"/>
              <w:ind w:left="0" w:right="0" w:hanging="0"/>
              <w:jc w:val="left"/>
              <w:rPr/>
            </w:pPr>
            <w:r>
              <w:rPr/>
              <w:t> </w:t>
            </w:r>
          </w:p>
        </w:tc>
        <w:tc>
          <w:tcPr>
            <w:tcW w:w="115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2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8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76" w:type="dxa"/>
            <w:tcBorders/>
            <w:shd w:fill="auto" w:val="clear"/>
            <w:vAlign w:val="center"/>
          </w:tcPr>
          <w:p>
            <w:pPr>
              <w:pStyle w:val="TableContents"/>
              <w:spacing w:before="0" w:after="0"/>
              <w:ind w:left="0" w:right="0" w:hanging="0"/>
              <w:jc w:val="left"/>
              <w:rPr/>
            </w:pPr>
            <w:r>
              <w:rPr/>
              <w:t> </w:t>
            </w:r>
          </w:p>
        </w:tc>
        <w:tc>
          <w:tcPr>
            <w:tcW w:w="840"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(16</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234" w:type="dxa"/>
            <w:tcBorders/>
            <w:shd w:fill="auto" w:val="clear"/>
            <w:vAlign w:val="center"/>
          </w:tcPr>
          <w:p>
            <w:pPr>
              <w:pStyle w:val="TableContents"/>
              <w:spacing w:before="0" w:after="0"/>
              <w:ind w:left="0" w:right="0" w:hanging="0"/>
              <w:jc w:val="left"/>
              <w:rPr/>
            </w:pPr>
            <w:r>
              <w:rPr/>
              <w:t> </w:t>
            </w:r>
          </w:p>
        </w:tc>
        <w:tc>
          <w:tcPr>
            <w:tcW w:w="833"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(16</w:t>
            </w:r>
          </w:p>
        </w:tc>
        <w:tc>
          <w:tcPr>
            <w:tcW w:w="212"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245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Issuance of common stock and</w:t>
              <w:br/>
              <w:t xml:space="preserve">   pre-funded warrant to purchase </w:t>
              <w:br/>
              <w:t xml:space="preserve">   common stock in public </w:t>
              <w:br/>
              <w:t xml:space="preserve">   offering, net of issuance </w:t>
              <w:br/>
              <w:t>   costs of $14,507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0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68,007,741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6" w:type="dxa"/>
            <w:tcBorders/>
            <w:shd w:fill="auto" w:val="clear"/>
            <w:vAlign w:val="center"/>
          </w:tcPr>
          <w:p>
            <w:pPr>
              <w:pStyle w:val="TableContents"/>
              <w:spacing w:before="0" w:after="0"/>
              <w:ind w:left="0" w:right="0" w:hanging="0"/>
              <w:jc w:val="left"/>
              <w:rPr/>
            </w:pPr>
            <w:r>
              <w:rPr/>
              <w:t> </w:t>
            </w:r>
          </w:p>
        </w:tc>
        <w:tc>
          <w:tcPr>
            <w:tcW w:w="455"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68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213,269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88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76" w:type="dxa"/>
            <w:tcBorders/>
            <w:shd w:fill="auto" w:val="clear"/>
            <w:vAlign w:val="center"/>
          </w:tcPr>
          <w:p>
            <w:pPr>
              <w:pStyle w:val="TableContents"/>
              <w:spacing w:before="0" w:after="0"/>
              <w:ind w:left="0" w:right="0" w:hanging="0"/>
              <w:jc w:val="left"/>
              <w:rPr/>
            </w:pPr>
            <w:r>
              <w:rPr/>
              <w:t> </w:t>
            </w:r>
          </w:p>
        </w:tc>
        <w:tc>
          <w:tcPr>
            <w:tcW w:w="840"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4" w:type="dxa"/>
            <w:tcBorders/>
            <w:shd w:fill="auto" w:val="clear"/>
            <w:vAlign w:val="center"/>
          </w:tcPr>
          <w:p>
            <w:pPr>
              <w:pStyle w:val="TableContents"/>
              <w:spacing w:before="0" w:after="0"/>
              <w:ind w:left="0" w:right="0" w:hanging="0"/>
              <w:jc w:val="left"/>
              <w:rPr/>
            </w:pPr>
            <w:r>
              <w:rPr/>
              <w:t> </w:t>
            </w:r>
          </w:p>
        </w:tc>
        <w:tc>
          <w:tcPr>
            <w:tcW w:w="833"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213,337</w:t>
            </w:r>
          </w:p>
        </w:tc>
        <w:tc>
          <w:tcPr>
            <w:tcW w:w="212" w:type="dxa"/>
            <w:tcBorders/>
            <w:shd w:fill="auto" w:val="clear"/>
            <w:vAlign w:val="center"/>
          </w:tcPr>
          <w:p>
            <w:pPr>
              <w:pStyle w:val="TableContents"/>
              <w:spacing w:before="0" w:after="0"/>
              <w:ind w:left="0" w:right="0" w:hanging="0"/>
              <w:jc w:val="left"/>
              <w:rPr/>
            </w:pPr>
            <w:r>
              <w:rPr/>
              <w:t> </w:t>
            </w:r>
          </w:p>
        </w:tc>
      </w:tr>
      <w:tr>
        <w:trPr/>
        <w:tc>
          <w:tcPr>
            <w:tcW w:w="245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Issuance of common stock in</w:t>
              <w:br/>
              <w:t xml:space="preserve">   connection with exercise of </w:t>
              <w:br/>
              <w:t>   warrants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0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44,983,193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6" w:type="dxa"/>
            <w:tcBorders/>
            <w:shd w:fill="auto" w:val="clear"/>
            <w:vAlign w:val="center"/>
          </w:tcPr>
          <w:p>
            <w:pPr>
              <w:pStyle w:val="TableContents"/>
              <w:spacing w:before="0" w:after="0"/>
              <w:ind w:left="0" w:right="0" w:hanging="0"/>
              <w:jc w:val="left"/>
              <w:rPr/>
            </w:pPr>
            <w:r>
              <w:rPr/>
              <w:t> </w:t>
            </w:r>
          </w:p>
        </w:tc>
        <w:tc>
          <w:tcPr>
            <w:tcW w:w="455"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45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59,790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88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76" w:type="dxa"/>
            <w:tcBorders/>
            <w:shd w:fill="auto" w:val="clear"/>
            <w:vAlign w:val="center"/>
          </w:tcPr>
          <w:p>
            <w:pPr>
              <w:pStyle w:val="TableContents"/>
              <w:spacing w:before="0" w:after="0"/>
              <w:ind w:left="0" w:right="0" w:hanging="0"/>
              <w:jc w:val="left"/>
              <w:rPr/>
            </w:pPr>
            <w:r>
              <w:rPr/>
              <w:t> </w:t>
            </w:r>
          </w:p>
        </w:tc>
        <w:tc>
          <w:tcPr>
            <w:tcW w:w="840"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4" w:type="dxa"/>
            <w:tcBorders/>
            <w:shd w:fill="auto" w:val="clear"/>
            <w:vAlign w:val="center"/>
          </w:tcPr>
          <w:p>
            <w:pPr>
              <w:pStyle w:val="TableContents"/>
              <w:spacing w:before="0" w:after="0"/>
              <w:ind w:left="0" w:right="0" w:hanging="0"/>
              <w:jc w:val="left"/>
              <w:rPr/>
            </w:pPr>
            <w:r>
              <w:rPr/>
              <w:t> </w:t>
            </w:r>
          </w:p>
        </w:tc>
        <w:tc>
          <w:tcPr>
            <w:tcW w:w="833"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59,835</w:t>
            </w:r>
          </w:p>
        </w:tc>
        <w:tc>
          <w:tcPr>
            <w:tcW w:w="212" w:type="dxa"/>
            <w:tcBorders/>
            <w:shd w:fill="auto" w:val="clear"/>
            <w:vAlign w:val="center"/>
          </w:tcPr>
          <w:p>
            <w:pPr>
              <w:pStyle w:val="TableContents"/>
              <w:spacing w:before="0" w:after="0"/>
              <w:ind w:left="0" w:right="0" w:hanging="0"/>
              <w:jc w:val="left"/>
              <w:rPr/>
            </w:pPr>
            <w:r>
              <w:rPr/>
              <w:t> </w:t>
            </w:r>
          </w:p>
        </w:tc>
      </w:tr>
      <w:tr>
        <w:trPr/>
        <w:tc>
          <w:tcPr>
            <w:tcW w:w="245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 xml:space="preserve">Stock-based compensation related </w:t>
              <w:br/>
              <w:t xml:space="preserve">   to issuance of common stock </w:t>
              <w:br/>
              <w:t xml:space="preserve">   and options in exchange </w:t>
              <w:br/>
              <w:t>   for services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0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9,360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6" w:type="dxa"/>
            <w:tcBorders/>
            <w:shd w:fill="auto" w:val="clear"/>
            <w:vAlign w:val="center"/>
          </w:tcPr>
          <w:p>
            <w:pPr>
              <w:pStyle w:val="TableContents"/>
              <w:spacing w:before="0" w:after="0"/>
              <w:ind w:left="0" w:right="0" w:hanging="0"/>
              <w:jc w:val="left"/>
              <w:rPr/>
            </w:pPr>
            <w:r>
              <w:rPr/>
              <w:t> </w:t>
            </w:r>
          </w:p>
        </w:tc>
        <w:tc>
          <w:tcPr>
            <w:tcW w:w="455"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111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88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76" w:type="dxa"/>
            <w:tcBorders/>
            <w:shd w:fill="auto" w:val="clear"/>
            <w:vAlign w:val="center"/>
          </w:tcPr>
          <w:p>
            <w:pPr>
              <w:pStyle w:val="TableContents"/>
              <w:spacing w:before="0" w:after="0"/>
              <w:ind w:left="0" w:right="0" w:hanging="0"/>
              <w:jc w:val="left"/>
              <w:rPr/>
            </w:pPr>
            <w:r>
              <w:rPr/>
              <w:t> </w:t>
            </w:r>
          </w:p>
        </w:tc>
        <w:tc>
          <w:tcPr>
            <w:tcW w:w="840"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4" w:type="dxa"/>
            <w:tcBorders/>
            <w:shd w:fill="auto" w:val="clear"/>
            <w:vAlign w:val="center"/>
          </w:tcPr>
          <w:p>
            <w:pPr>
              <w:pStyle w:val="TableContents"/>
              <w:spacing w:before="0" w:after="0"/>
              <w:ind w:left="0" w:right="0" w:hanging="0"/>
              <w:jc w:val="left"/>
              <w:rPr/>
            </w:pPr>
            <w:r>
              <w:rPr/>
              <w:t> </w:t>
            </w:r>
          </w:p>
        </w:tc>
        <w:tc>
          <w:tcPr>
            <w:tcW w:w="833"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112</w:t>
            </w:r>
          </w:p>
        </w:tc>
        <w:tc>
          <w:tcPr>
            <w:tcW w:w="212" w:type="dxa"/>
            <w:tcBorders/>
            <w:shd w:fill="auto" w:val="clear"/>
            <w:vAlign w:val="center"/>
          </w:tcPr>
          <w:p>
            <w:pPr>
              <w:pStyle w:val="TableContents"/>
              <w:spacing w:before="0" w:after="0"/>
              <w:ind w:left="0" w:right="0" w:hanging="0"/>
              <w:jc w:val="left"/>
              <w:rPr/>
            </w:pPr>
            <w:r>
              <w:rPr/>
              <w:t> </w:t>
            </w:r>
          </w:p>
        </w:tc>
      </w:tr>
      <w:tr>
        <w:trPr/>
        <w:tc>
          <w:tcPr>
            <w:tcW w:w="245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Issuance of common stock</w:t>
              <w:br/>
              <w:t>    under equity plans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0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5,469,028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6" w:type="dxa"/>
            <w:tcBorders/>
            <w:shd w:fill="auto" w:val="clear"/>
            <w:vAlign w:val="center"/>
          </w:tcPr>
          <w:p>
            <w:pPr>
              <w:pStyle w:val="TableContents"/>
              <w:spacing w:before="0" w:after="0"/>
              <w:ind w:left="0" w:right="0" w:hanging="0"/>
              <w:jc w:val="left"/>
              <w:rPr/>
            </w:pPr>
            <w:r>
              <w:rPr/>
              <w:t> </w:t>
            </w:r>
          </w:p>
        </w:tc>
        <w:tc>
          <w:tcPr>
            <w:tcW w:w="455"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7,870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88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76" w:type="dxa"/>
            <w:tcBorders/>
            <w:shd w:fill="auto" w:val="clear"/>
            <w:vAlign w:val="center"/>
          </w:tcPr>
          <w:p>
            <w:pPr>
              <w:pStyle w:val="TableContents"/>
              <w:spacing w:before="0" w:after="0"/>
              <w:ind w:left="0" w:right="0" w:hanging="0"/>
              <w:jc w:val="left"/>
              <w:rPr/>
            </w:pPr>
            <w:r>
              <w:rPr/>
              <w:t> </w:t>
            </w:r>
          </w:p>
        </w:tc>
        <w:tc>
          <w:tcPr>
            <w:tcW w:w="840"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4" w:type="dxa"/>
            <w:tcBorders/>
            <w:shd w:fill="auto" w:val="clear"/>
            <w:vAlign w:val="center"/>
          </w:tcPr>
          <w:p>
            <w:pPr>
              <w:pStyle w:val="TableContents"/>
              <w:spacing w:before="0" w:after="0"/>
              <w:ind w:left="0" w:right="0" w:hanging="0"/>
              <w:jc w:val="left"/>
              <w:rPr/>
            </w:pPr>
            <w:r>
              <w:rPr/>
              <w:t> </w:t>
            </w:r>
          </w:p>
        </w:tc>
        <w:tc>
          <w:tcPr>
            <w:tcW w:w="833"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7,875</w:t>
            </w:r>
          </w:p>
        </w:tc>
        <w:tc>
          <w:tcPr>
            <w:tcW w:w="212" w:type="dxa"/>
            <w:tcBorders/>
            <w:shd w:fill="auto" w:val="clear"/>
            <w:vAlign w:val="center"/>
          </w:tcPr>
          <w:p>
            <w:pPr>
              <w:pStyle w:val="TableContents"/>
              <w:spacing w:before="0" w:after="0"/>
              <w:ind w:left="0" w:right="0" w:hanging="0"/>
              <w:jc w:val="left"/>
              <w:rPr/>
            </w:pPr>
            <w:r>
              <w:rPr/>
              <w:t> </w:t>
            </w:r>
          </w:p>
        </w:tc>
      </w:tr>
      <w:tr>
        <w:trPr/>
        <w:tc>
          <w:tcPr>
            <w:tcW w:w="245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Stock-based compensation for</w:t>
              <w:br/>
              <w:t xml:space="preserve">   equity-based awards to </w:t>
              <w:br/>
              <w:t>   employees and directors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0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5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2,961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3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2,961</w:t>
            </w:r>
          </w:p>
        </w:tc>
        <w:tc>
          <w:tcPr>
            <w:tcW w:w="21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45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Balance at March 31, 2023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0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508,731,846</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45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509</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2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1,777,470</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8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(1,451,764</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3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4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(160</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23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3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326,055</w:t>
            </w:r>
          </w:p>
        </w:tc>
        <w:tc>
          <w:tcPr>
            <w:tcW w:w="21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center"/>
        <w:rPr/>
      </w:pPr>
      <w:r>
        <w:rPr/>
        <w:t> </w:t>
      </w:r>
    </w:p>
    <w:p>
      <w:pPr>
        <w:pStyle w:val="TextBody"/>
        <w:spacing w:before="0" w:after="0"/>
        <w:jc w:val="center"/>
        <w:rPr/>
      </w:pPr>
      <w:r>
        <w:rPr/>
        <w:t> </w:t>
      </w:r>
    </w:p>
    <w:p>
      <w:pPr>
        <w:pStyle w:val="TextBody"/>
        <w:spacing w:before="0" w:after="0"/>
        <w:jc w:val="center"/>
        <w:rPr/>
      </w:pPr>
      <w:r>
        <w:rPr/>
        <w:t> </w:t>
      </w:r>
    </w:p>
    <w:tbl>
      <w:tblPr>
        <w:tblW w:w="10539" w:type="dxa"/>
        <w:jc w:val="left"/>
        <w:tblInd w:w="0" w:type="dxa"/>
        <w:tblCellMar>
          <w:top w:w="28" w:type="dxa"/>
          <w:left w:w="28" w:type="dxa"/>
          <w:bottom w:w="28" w:type="dxa"/>
          <w:right w:w="28" w:type="dxa"/>
        </w:tblCellMar>
      </w:tblPr>
      <w:tblGrid>
        <w:gridCol w:w="2451"/>
        <w:gridCol w:w="146"/>
        <w:gridCol w:w="146"/>
        <w:gridCol w:w="1006"/>
        <w:gridCol w:w="146"/>
        <w:gridCol w:w="146"/>
        <w:gridCol w:w="236"/>
        <w:gridCol w:w="455"/>
        <w:gridCol w:w="146"/>
        <w:gridCol w:w="146"/>
        <w:gridCol w:w="196"/>
        <w:gridCol w:w="826"/>
        <w:gridCol w:w="146"/>
        <w:gridCol w:w="146"/>
        <w:gridCol w:w="196"/>
        <w:gridCol w:w="886"/>
        <w:gridCol w:w="166"/>
        <w:gridCol w:w="146"/>
        <w:gridCol w:w="376"/>
        <w:gridCol w:w="840"/>
        <w:gridCol w:w="166"/>
        <w:gridCol w:w="146"/>
        <w:gridCol w:w="234"/>
        <w:gridCol w:w="833"/>
        <w:gridCol w:w="212"/>
      </w:tblGrid>
      <w:tr>
        <w:trPr/>
        <w:tc>
          <w:tcPr>
            <w:tcW w:w="24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0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45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8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840"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833"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r>
      <w:tr>
        <w:trPr/>
        <w:tc>
          <w:tcPr>
            <w:tcW w:w="24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5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2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8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16"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Accumulated</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67" w:type="dxa"/>
            <w:gridSpan w:val="2"/>
            <w:tcBorders/>
            <w:shd w:fill="auto" w:val="clear"/>
            <w:vAlign w:val="center"/>
          </w:tcPr>
          <w:p>
            <w:pPr>
              <w:pStyle w:val="TableContents"/>
              <w:spacing w:before="0" w:after="0"/>
              <w:ind w:left="0" w:right="0" w:hanging="0"/>
              <w:jc w:val="left"/>
              <w:rPr/>
            </w:pPr>
            <w:r>
              <w:rPr/>
              <w:t> </w:t>
            </w:r>
          </w:p>
        </w:tc>
        <w:tc>
          <w:tcPr>
            <w:tcW w:w="212" w:type="dxa"/>
            <w:tcBorders/>
            <w:shd w:fill="auto" w:val="clear"/>
            <w:vAlign w:val="center"/>
          </w:tcPr>
          <w:p>
            <w:pPr>
              <w:pStyle w:val="TableContents"/>
              <w:spacing w:before="0" w:after="0"/>
              <w:ind w:left="0" w:right="0" w:hanging="0"/>
              <w:jc w:val="left"/>
              <w:rPr/>
            </w:pPr>
            <w:r>
              <w:rPr/>
              <w:t> </w:t>
            </w:r>
          </w:p>
        </w:tc>
      </w:tr>
      <w:tr>
        <w:trPr/>
        <w:tc>
          <w:tcPr>
            <w:tcW w:w="24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5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22"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Additional</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8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16"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Other</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67"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212" w:type="dxa"/>
            <w:tcBorders/>
            <w:shd w:fill="auto" w:val="clear"/>
            <w:vAlign w:val="center"/>
          </w:tcPr>
          <w:p>
            <w:pPr>
              <w:pStyle w:val="TableContents"/>
              <w:spacing w:before="0" w:after="0"/>
              <w:ind w:left="0" w:right="0" w:hanging="0"/>
              <w:jc w:val="center"/>
              <w:rPr/>
            </w:pPr>
            <w:r>
              <w:rPr/>
              <w:t> </w:t>
            </w:r>
          </w:p>
        </w:tc>
      </w:tr>
      <w:tr>
        <w:trPr/>
        <w:tc>
          <w:tcPr>
            <w:tcW w:w="24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35"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Common Stock</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22"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Paid-In</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82"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Accumulated</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16"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Comprehensive</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67"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Stockholders'</w:t>
            </w:r>
          </w:p>
        </w:tc>
        <w:tc>
          <w:tcPr>
            <w:tcW w:w="212" w:type="dxa"/>
            <w:tcBorders/>
            <w:shd w:fill="auto" w:val="clear"/>
            <w:vAlign w:val="center"/>
          </w:tcPr>
          <w:p>
            <w:pPr>
              <w:pStyle w:val="TableContents"/>
              <w:spacing w:before="0" w:after="0"/>
              <w:ind w:left="0" w:right="0" w:hanging="0"/>
              <w:jc w:val="center"/>
              <w:rPr/>
            </w:pPr>
            <w:r>
              <w:rPr/>
              <w:t> </w:t>
            </w:r>
          </w:p>
        </w:tc>
      </w:tr>
      <w:tr>
        <w:trPr/>
        <w:tc>
          <w:tcPr>
            <w:tcW w:w="24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5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Shares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2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Capital</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Deficit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1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Gain (Loss)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6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Equity</w:t>
            </w:r>
          </w:p>
        </w:tc>
        <w:tc>
          <w:tcPr>
            <w:tcW w:w="21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4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5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91"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2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82" w:type="dxa"/>
            <w:gridSpan w:val="2"/>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216" w:type="dxa"/>
            <w:gridSpan w:val="2"/>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67" w:type="dxa"/>
            <w:gridSpan w:val="2"/>
            <w:tcBorders/>
            <w:shd w:fill="auto" w:val="clear"/>
            <w:vAlign w:val="center"/>
          </w:tcPr>
          <w:p>
            <w:pPr>
              <w:pStyle w:val="TableContents"/>
              <w:spacing w:before="0" w:after="0"/>
              <w:ind w:left="0" w:right="0" w:hanging="0"/>
              <w:jc w:val="center"/>
              <w:rPr/>
            </w:pPr>
            <w:r>
              <w:rPr/>
              <w:t> </w:t>
            </w:r>
          </w:p>
        </w:tc>
        <w:tc>
          <w:tcPr>
            <w:tcW w:w="212" w:type="dxa"/>
            <w:tcBorders/>
            <w:shd w:fill="auto" w:val="clear"/>
            <w:vAlign w:val="center"/>
          </w:tcPr>
          <w:p>
            <w:pPr>
              <w:pStyle w:val="TableContents"/>
              <w:spacing w:before="0" w:after="0"/>
              <w:ind w:left="0" w:right="0" w:hanging="0"/>
              <w:jc w:val="center"/>
              <w:rPr/>
            </w:pPr>
            <w:r>
              <w:rPr/>
              <w:t> </w:t>
            </w:r>
          </w:p>
        </w:tc>
      </w:tr>
      <w:tr>
        <w:trPr/>
        <w:tc>
          <w:tcPr>
            <w:tcW w:w="245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Balance at December 31, 2021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0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323,731,591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455"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324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2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1,398,006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8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(1,271,741</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37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40"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(173</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234"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33"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126,416</w:t>
            </w:r>
          </w:p>
        </w:tc>
        <w:tc>
          <w:tcPr>
            <w:tcW w:w="212" w:type="dxa"/>
            <w:tcBorders/>
            <w:shd w:fill="auto" w:val="clear"/>
            <w:vAlign w:val="center"/>
          </w:tcPr>
          <w:p>
            <w:pPr>
              <w:pStyle w:val="TableContents"/>
              <w:spacing w:before="0" w:after="0"/>
              <w:ind w:left="0" w:right="0" w:hanging="0"/>
              <w:jc w:val="left"/>
              <w:rPr/>
            </w:pPr>
            <w:r>
              <w:rPr/>
              <w:t> </w:t>
            </w:r>
          </w:p>
        </w:tc>
      </w:tr>
      <w:tr>
        <w:trPr/>
        <w:tc>
          <w:tcPr>
            <w:tcW w:w="245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Net loss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0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6" w:type="dxa"/>
            <w:tcBorders/>
            <w:shd w:fill="auto" w:val="clear"/>
            <w:vAlign w:val="center"/>
          </w:tcPr>
          <w:p>
            <w:pPr>
              <w:pStyle w:val="TableContents"/>
              <w:spacing w:before="0" w:after="0"/>
              <w:ind w:left="0" w:right="0" w:hanging="0"/>
              <w:jc w:val="left"/>
              <w:rPr/>
            </w:pPr>
            <w:r>
              <w:rPr/>
              <w:t> </w:t>
            </w:r>
          </w:p>
        </w:tc>
        <w:tc>
          <w:tcPr>
            <w:tcW w:w="45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88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(30,098</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376" w:type="dxa"/>
            <w:tcBorders/>
            <w:shd w:fill="auto" w:val="clear"/>
            <w:vAlign w:val="center"/>
          </w:tcPr>
          <w:p>
            <w:pPr>
              <w:pStyle w:val="TableContents"/>
              <w:spacing w:before="0" w:after="0"/>
              <w:ind w:left="0" w:right="0" w:hanging="0"/>
              <w:jc w:val="left"/>
              <w:rPr/>
            </w:pPr>
            <w:r>
              <w:rPr/>
              <w:t> </w:t>
            </w:r>
          </w:p>
        </w:tc>
        <w:tc>
          <w:tcPr>
            <w:tcW w:w="840"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4" w:type="dxa"/>
            <w:tcBorders/>
            <w:shd w:fill="auto" w:val="clear"/>
            <w:vAlign w:val="center"/>
          </w:tcPr>
          <w:p>
            <w:pPr>
              <w:pStyle w:val="TableContents"/>
              <w:spacing w:before="0" w:after="0"/>
              <w:ind w:left="0" w:right="0" w:hanging="0"/>
              <w:jc w:val="left"/>
              <w:rPr/>
            </w:pPr>
            <w:r>
              <w:rPr/>
              <w:t> </w:t>
            </w:r>
          </w:p>
        </w:tc>
        <w:tc>
          <w:tcPr>
            <w:tcW w:w="833"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(30,098</w:t>
            </w:r>
          </w:p>
        </w:tc>
        <w:tc>
          <w:tcPr>
            <w:tcW w:w="212"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245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Other comprehensive loss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0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6" w:type="dxa"/>
            <w:tcBorders/>
            <w:shd w:fill="auto" w:val="clear"/>
            <w:vAlign w:val="center"/>
          </w:tcPr>
          <w:p>
            <w:pPr>
              <w:pStyle w:val="TableContents"/>
              <w:spacing w:before="0" w:after="0"/>
              <w:ind w:left="0" w:right="0" w:hanging="0"/>
              <w:jc w:val="left"/>
              <w:rPr/>
            </w:pPr>
            <w:r>
              <w:rPr/>
              <w:t> </w:t>
            </w:r>
          </w:p>
        </w:tc>
        <w:tc>
          <w:tcPr>
            <w:tcW w:w="45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88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76" w:type="dxa"/>
            <w:tcBorders/>
            <w:shd w:fill="auto" w:val="clear"/>
            <w:vAlign w:val="center"/>
          </w:tcPr>
          <w:p>
            <w:pPr>
              <w:pStyle w:val="TableContents"/>
              <w:spacing w:before="0" w:after="0"/>
              <w:ind w:left="0" w:right="0" w:hanging="0"/>
              <w:jc w:val="left"/>
              <w:rPr/>
            </w:pPr>
            <w:r>
              <w:rPr/>
              <w:t> </w:t>
            </w:r>
          </w:p>
        </w:tc>
        <w:tc>
          <w:tcPr>
            <w:tcW w:w="840"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(539</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234" w:type="dxa"/>
            <w:tcBorders/>
            <w:shd w:fill="auto" w:val="clear"/>
            <w:vAlign w:val="center"/>
          </w:tcPr>
          <w:p>
            <w:pPr>
              <w:pStyle w:val="TableContents"/>
              <w:spacing w:before="0" w:after="0"/>
              <w:ind w:left="0" w:right="0" w:hanging="0"/>
              <w:jc w:val="left"/>
              <w:rPr/>
            </w:pPr>
            <w:r>
              <w:rPr/>
              <w:t> </w:t>
            </w:r>
          </w:p>
        </w:tc>
        <w:tc>
          <w:tcPr>
            <w:tcW w:w="833"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(539</w:t>
            </w:r>
          </w:p>
        </w:tc>
        <w:tc>
          <w:tcPr>
            <w:tcW w:w="212"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245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Foreign currency translation adjustment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0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6" w:type="dxa"/>
            <w:tcBorders/>
            <w:shd w:fill="auto" w:val="clear"/>
            <w:vAlign w:val="center"/>
          </w:tcPr>
          <w:p>
            <w:pPr>
              <w:pStyle w:val="TableContents"/>
              <w:spacing w:before="0" w:after="0"/>
              <w:ind w:left="0" w:right="0" w:hanging="0"/>
              <w:jc w:val="left"/>
              <w:rPr/>
            </w:pPr>
            <w:r>
              <w:rPr/>
              <w:t> </w:t>
            </w:r>
          </w:p>
        </w:tc>
        <w:tc>
          <w:tcPr>
            <w:tcW w:w="45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88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76" w:type="dxa"/>
            <w:tcBorders/>
            <w:shd w:fill="auto" w:val="clear"/>
            <w:vAlign w:val="center"/>
          </w:tcPr>
          <w:p>
            <w:pPr>
              <w:pStyle w:val="TableContents"/>
              <w:spacing w:before="0" w:after="0"/>
              <w:ind w:left="0" w:right="0" w:hanging="0"/>
              <w:jc w:val="left"/>
              <w:rPr/>
            </w:pPr>
            <w:r>
              <w:rPr/>
              <w:t> </w:t>
            </w:r>
          </w:p>
        </w:tc>
        <w:tc>
          <w:tcPr>
            <w:tcW w:w="840"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4" w:type="dxa"/>
            <w:tcBorders/>
            <w:shd w:fill="auto" w:val="clear"/>
            <w:vAlign w:val="center"/>
          </w:tcPr>
          <w:p>
            <w:pPr>
              <w:pStyle w:val="TableContents"/>
              <w:spacing w:before="0" w:after="0"/>
              <w:ind w:left="0" w:right="0" w:hanging="0"/>
              <w:jc w:val="left"/>
              <w:rPr/>
            </w:pPr>
            <w:r>
              <w:rPr/>
              <w:t> </w:t>
            </w:r>
          </w:p>
        </w:tc>
        <w:tc>
          <w:tcPr>
            <w:tcW w:w="833"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w:t>
            </w:r>
          </w:p>
        </w:tc>
        <w:tc>
          <w:tcPr>
            <w:tcW w:w="212" w:type="dxa"/>
            <w:tcBorders/>
            <w:shd w:fill="auto" w:val="clear"/>
            <w:vAlign w:val="center"/>
          </w:tcPr>
          <w:p>
            <w:pPr>
              <w:pStyle w:val="TableContents"/>
              <w:spacing w:before="0" w:after="0"/>
              <w:ind w:left="0" w:right="0" w:hanging="0"/>
              <w:jc w:val="left"/>
              <w:rPr/>
            </w:pPr>
            <w:r>
              <w:rPr/>
              <w:t> </w:t>
            </w:r>
          </w:p>
        </w:tc>
      </w:tr>
      <w:tr>
        <w:trPr/>
        <w:tc>
          <w:tcPr>
            <w:tcW w:w="245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 xml:space="preserve">Stock-based compensation related </w:t>
              <w:br/>
              <w:t xml:space="preserve">   to issuance of common stock </w:t>
              <w:br/>
              <w:t xml:space="preserve">   and options in exchange </w:t>
              <w:br/>
              <w:t>   for services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0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5,284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6" w:type="dxa"/>
            <w:tcBorders/>
            <w:shd w:fill="auto" w:val="clear"/>
            <w:vAlign w:val="center"/>
          </w:tcPr>
          <w:p>
            <w:pPr>
              <w:pStyle w:val="TableContents"/>
              <w:spacing w:before="0" w:after="0"/>
              <w:ind w:left="0" w:right="0" w:hanging="0"/>
              <w:jc w:val="left"/>
              <w:rPr/>
            </w:pPr>
            <w:r>
              <w:rPr/>
              <w:t> </w:t>
            </w:r>
          </w:p>
        </w:tc>
        <w:tc>
          <w:tcPr>
            <w:tcW w:w="45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88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76" w:type="dxa"/>
            <w:tcBorders/>
            <w:shd w:fill="auto" w:val="clear"/>
            <w:vAlign w:val="center"/>
          </w:tcPr>
          <w:p>
            <w:pPr>
              <w:pStyle w:val="TableContents"/>
              <w:spacing w:before="0" w:after="0"/>
              <w:ind w:left="0" w:right="0" w:hanging="0"/>
              <w:jc w:val="left"/>
              <w:rPr/>
            </w:pPr>
            <w:r>
              <w:rPr/>
              <w:t> </w:t>
            </w:r>
          </w:p>
        </w:tc>
        <w:tc>
          <w:tcPr>
            <w:tcW w:w="840"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4" w:type="dxa"/>
            <w:tcBorders/>
            <w:shd w:fill="auto" w:val="clear"/>
            <w:vAlign w:val="center"/>
          </w:tcPr>
          <w:p>
            <w:pPr>
              <w:pStyle w:val="TableContents"/>
              <w:spacing w:before="0" w:after="0"/>
              <w:ind w:left="0" w:right="0" w:hanging="0"/>
              <w:jc w:val="left"/>
              <w:rPr/>
            </w:pPr>
            <w:r>
              <w:rPr/>
              <w:t> </w:t>
            </w:r>
          </w:p>
        </w:tc>
        <w:tc>
          <w:tcPr>
            <w:tcW w:w="833"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15</w:t>
            </w:r>
          </w:p>
        </w:tc>
        <w:tc>
          <w:tcPr>
            <w:tcW w:w="212" w:type="dxa"/>
            <w:tcBorders/>
            <w:shd w:fill="auto" w:val="clear"/>
            <w:vAlign w:val="center"/>
          </w:tcPr>
          <w:p>
            <w:pPr>
              <w:pStyle w:val="TableContents"/>
              <w:spacing w:before="0" w:after="0"/>
              <w:ind w:left="0" w:right="0" w:hanging="0"/>
              <w:jc w:val="left"/>
              <w:rPr/>
            </w:pPr>
            <w:r>
              <w:rPr/>
              <w:t> </w:t>
            </w:r>
          </w:p>
        </w:tc>
      </w:tr>
      <w:tr>
        <w:trPr/>
        <w:tc>
          <w:tcPr>
            <w:tcW w:w="245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Stock-based compensation for</w:t>
              <w:br/>
              <w:t xml:space="preserve">   equity-based awards to </w:t>
              <w:br/>
              <w:t>   employees and directors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0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5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1,692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3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1,692</w:t>
            </w:r>
          </w:p>
        </w:tc>
        <w:tc>
          <w:tcPr>
            <w:tcW w:w="21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45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Balance at March 31, 2022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0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323,736,875</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45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324</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2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1,399,713</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8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(1,301,839</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3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4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(711</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23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3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97,487</w:t>
            </w:r>
          </w:p>
        </w:tc>
        <w:tc>
          <w:tcPr>
            <w:tcW w:w="21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40" w:after="0"/>
        <w:jc w:val="left"/>
        <w:rPr/>
      </w:pPr>
      <w:r>
        <w:rPr/>
        <w:t> </w:t>
      </w:r>
    </w:p>
    <w:p>
      <w:pPr>
        <w:pStyle w:val="TextBody"/>
        <w:spacing w:before="40" w:after="0"/>
        <w:jc w:val="center"/>
        <w:rPr>
          <w:rFonts w:ascii="Times New Roman;serif" w:hAnsi="Times New Roman;serif"/>
          <w:b w:val="false"/>
          <w:sz w:val="20"/>
        </w:rPr>
      </w:pPr>
      <w:r>
        <w:rPr>
          <w:rFonts w:ascii="Times New Roman;serif" w:hAnsi="Times New Roman;serif"/>
          <w:b w:val="false"/>
          <w:sz w:val="20"/>
        </w:rPr>
        <w:t>See accompanying notes.</w:t>
      </w:r>
    </w:p>
    <w:p>
      <w:pPr>
        <w:pStyle w:val="TextBody"/>
        <w:spacing w:before="0" w:after="0"/>
        <w:jc w:val="center"/>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6</w:t>
      </w:r>
    </w:p>
    <w:p>
      <w:pPr>
        <w:pStyle w:val="HorizontalLine"/>
        <w:rPr/>
      </w:pPr>
      <w:r>
        <w:rPr/>
      </w:r>
    </w:p>
    <w:p>
      <w:pPr>
        <w:pStyle w:val="TextBody"/>
        <w:spacing w:before="0" w:after="0"/>
        <w:jc w:val="left"/>
        <w:rPr/>
      </w:pPr>
      <w:r>
        <w:rPr/>
        <w:t> </w:t>
      </w:r>
    </w:p>
    <w:p>
      <w:pPr>
        <w:pStyle w:val="TextBody"/>
        <w:spacing w:before="0" w:after="0"/>
        <w:jc w:val="center"/>
        <w:rPr>
          <w:rFonts w:ascii="Times New Roman;serif" w:hAnsi="Times New Roman;serif"/>
          <w:b/>
          <w:sz w:val="20"/>
        </w:rPr>
      </w:pPr>
      <w:r>
        <w:rPr>
          <w:rFonts w:ascii="Times New Roman;serif" w:hAnsi="Times New Roman;serif"/>
          <w:b/>
          <w:sz w:val="20"/>
        </w:rPr>
        <w:t>GERON CORPORATION</w:t>
      </w:r>
    </w:p>
    <w:p>
      <w:pPr>
        <w:pStyle w:val="TextBody"/>
        <w:spacing w:before="0" w:after="0"/>
        <w:jc w:val="center"/>
        <w:rPr>
          <w:rFonts w:ascii="Times New Roman;serif" w:hAnsi="Times New Roman;serif"/>
          <w:b/>
          <w:sz w:val="20"/>
        </w:rPr>
      </w:pPr>
      <w:bookmarkStart w:id="9" w:name="condensedstatementsofcashflows_093532"/>
      <w:bookmarkEnd w:id="9"/>
      <w:r>
        <w:rPr>
          <w:rFonts w:ascii="Times New Roman;serif" w:hAnsi="Times New Roman;serif"/>
          <w:b/>
          <w:sz w:val="20"/>
        </w:rPr>
        <w:t>CONDENSED CONSOLIDATED STATEMENTS OF CASH FLOWS</w:t>
      </w:r>
    </w:p>
    <w:p>
      <w:pPr>
        <w:pStyle w:val="TextBody"/>
        <w:spacing w:before="0" w:after="0"/>
        <w:jc w:val="center"/>
        <w:rPr>
          <w:rFonts w:ascii="Times New Roman;serif" w:hAnsi="Times New Roman;serif"/>
          <w:b/>
          <w:sz w:val="20"/>
        </w:rPr>
      </w:pPr>
      <w:r>
        <w:rPr>
          <w:rFonts w:ascii="Times New Roman;serif" w:hAnsi="Times New Roman;serif"/>
          <w:b/>
          <w:sz w:val="20"/>
        </w:rPr>
        <w:t>(IN THOUSANDS)</w:t>
      </w:r>
    </w:p>
    <w:p>
      <w:pPr>
        <w:pStyle w:val="TextBody"/>
        <w:spacing w:before="0" w:after="0"/>
        <w:jc w:val="center"/>
        <w:rPr>
          <w:rFonts w:ascii="Times New Roman;serif" w:hAnsi="Times New Roman;serif"/>
          <w:b/>
          <w:sz w:val="20"/>
        </w:rPr>
      </w:pPr>
      <w:r>
        <w:rPr>
          <w:rFonts w:ascii="Times New Roman;serif" w:hAnsi="Times New Roman;serif"/>
          <w:b/>
          <w:sz w:val="20"/>
        </w:rPr>
        <w:t>(UNAUDITED)</w:t>
      </w:r>
    </w:p>
    <w:p>
      <w:pPr>
        <w:pStyle w:val="TextBody"/>
        <w:spacing w:before="0" w:after="0"/>
        <w:jc w:val="left"/>
        <w:rPr/>
      </w:pPr>
      <w:r>
        <w:rPr/>
        <w:t> </w:t>
      </w:r>
    </w:p>
    <w:tbl>
      <w:tblPr>
        <w:tblW w:w="9279" w:type="dxa"/>
        <w:jc w:val="left"/>
        <w:tblInd w:w="0" w:type="dxa"/>
        <w:tblCellMar>
          <w:top w:w="28" w:type="dxa"/>
          <w:left w:w="28" w:type="dxa"/>
          <w:bottom w:w="28" w:type="dxa"/>
          <w:right w:w="28" w:type="dxa"/>
        </w:tblCellMar>
      </w:tblPr>
      <w:tblGrid>
        <w:gridCol w:w="6031"/>
        <w:gridCol w:w="146"/>
        <w:gridCol w:w="211"/>
        <w:gridCol w:w="841"/>
        <w:gridCol w:w="166"/>
        <w:gridCol w:w="146"/>
        <w:gridCol w:w="211"/>
        <w:gridCol w:w="736"/>
        <w:gridCol w:w="791"/>
      </w:tblGrid>
      <w:tr>
        <w:trPr/>
        <w:tc>
          <w:tcPr>
            <w:tcW w:w="603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791" w:type="dxa"/>
            <w:tcBorders/>
            <w:shd w:fill="auto" w:val="clear"/>
            <w:vAlign w:val="center"/>
          </w:tcPr>
          <w:p>
            <w:pPr>
              <w:pStyle w:val="TableContents"/>
              <w:spacing w:before="0" w:after="283"/>
              <w:rPr>
                <w:sz w:val="4"/>
                <w:szCs w:val="4"/>
              </w:rPr>
            </w:pPr>
            <w:r>
              <w:rPr>
                <w:sz w:val="4"/>
                <w:szCs w:val="4"/>
              </w:rPr>
            </w:r>
          </w:p>
        </w:tc>
      </w:tr>
      <w:tr>
        <w:trPr/>
        <w:tc>
          <w:tcPr>
            <w:tcW w:w="603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11" w:type="dxa"/>
            <w:gridSpan w:val="6"/>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w:t>
            </w:r>
          </w:p>
        </w:tc>
        <w:tc>
          <w:tcPr>
            <w:tcW w:w="791" w:type="dxa"/>
            <w:tcBorders/>
            <w:shd w:fill="auto" w:val="clear"/>
            <w:vAlign w:val="center"/>
          </w:tcPr>
          <w:p>
            <w:pPr>
              <w:pStyle w:val="TableContents"/>
              <w:spacing w:before="0" w:after="0"/>
              <w:ind w:left="0" w:right="0" w:hanging="0"/>
              <w:jc w:val="center"/>
              <w:rPr/>
            </w:pPr>
            <w:r>
              <w:rPr/>
              <w:t> </w:t>
            </w:r>
          </w:p>
        </w:tc>
      </w:tr>
      <w:tr>
        <w:trPr/>
        <w:tc>
          <w:tcPr>
            <w:tcW w:w="603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11"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w:t>
            </w:r>
          </w:p>
        </w:tc>
        <w:tc>
          <w:tcPr>
            <w:tcW w:w="7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603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4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7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603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Cash flows from operating activities:</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shd w:fill="auto" w:val="clear"/>
            <w:vAlign w:val="center"/>
          </w:tcPr>
          <w:p>
            <w:pPr>
              <w:pStyle w:val="TableContents"/>
              <w:spacing w:before="0" w:after="0"/>
              <w:ind w:left="0" w:right="0" w:hanging="0"/>
              <w:jc w:val="left"/>
              <w:rPr/>
            </w:pPr>
            <w:r>
              <w:rPr/>
              <w:t> </w:t>
            </w:r>
          </w:p>
        </w:tc>
        <w:tc>
          <w:tcPr>
            <w:tcW w:w="791" w:type="dxa"/>
            <w:tcBorders/>
            <w:shd w:fill="auto" w:val="clear"/>
            <w:vAlign w:val="center"/>
          </w:tcPr>
          <w:p>
            <w:pPr>
              <w:pStyle w:val="TableContents"/>
              <w:spacing w:before="0" w:after="0"/>
              <w:ind w:left="0" w:right="0" w:firstLine="200"/>
              <w:jc w:val="left"/>
              <w:rPr/>
            </w:pPr>
            <w:r>
              <w:rPr/>
              <w:t> </w:t>
            </w:r>
          </w:p>
        </w:tc>
      </w:tr>
      <w:tr>
        <w:trPr/>
        <w:tc>
          <w:tcPr>
            <w:tcW w:w="603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(38,122</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(30,098</w:t>
            </w:r>
          </w:p>
        </w:tc>
        <w:tc>
          <w:tcPr>
            <w:tcW w:w="791"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603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Adjustments to reconcile net loss to net cash used in operating activities:</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shd w:fill="auto" w:val="clear"/>
            <w:vAlign w:val="center"/>
          </w:tcPr>
          <w:p>
            <w:pPr>
              <w:pStyle w:val="TableContents"/>
              <w:spacing w:before="0" w:after="0"/>
              <w:ind w:left="0" w:right="0" w:hanging="0"/>
              <w:jc w:val="left"/>
              <w:rPr/>
            </w:pPr>
            <w:r>
              <w:rPr/>
              <w:t> </w:t>
            </w:r>
          </w:p>
        </w:tc>
        <w:tc>
          <w:tcPr>
            <w:tcW w:w="791" w:type="dxa"/>
            <w:tcBorders/>
            <w:shd w:fill="auto" w:val="clear"/>
            <w:vAlign w:val="center"/>
          </w:tcPr>
          <w:p>
            <w:pPr>
              <w:pStyle w:val="TableContents"/>
              <w:spacing w:before="0" w:after="0"/>
              <w:ind w:left="0" w:right="0" w:firstLine="400"/>
              <w:jc w:val="left"/>
              <w:rPr/>
            </w:pPr>
            <w:r>
              <w:rPr/>
              <w:t> </w:t>
            </w:r>
          </w:p>
        </w:tc>
      </w:tr>
      <w:tr>
        <w:trPr/>
        <w:tc>
          <w:tcPr>
            <w:tcW w:w="6031"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Depreciation and amortization</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57</w:t>
            </w:r>
          </w:p>
        </w:tc>
        <w:tc>
          <w:tcPr>
            <w:tcW w:w="791" w:type="dxa"/>
            <w:tcBorders/>
            <w:shd w:fill="auto" w:val="clear"/>
            <w:vAlign w:val="center"/>
          </w:tcPr>
          <w:p>
            <w:pPr>
              <w:pStyle w:val="TableContents"/>
              <w:spacing w:before="0" w:after="0"/>
              <w:ind w:left="0" w:right="0" w:firstLine="400"/>
              <w:jc w:val="left"/>
              <w:rPr/>
            </w:pPr>
            <w:r>
              <w:rPr/>
              <w:t> </w:t>
            </w:r>
          </w:p>
        </w:tc>
      </w:tr>
      <w:tr>
        <w:trPr/>
        <w:tc>
          <w:tcPr>
            <w:tcW w:w="6031"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Accretion and amortization on investments, net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(1,727</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196</w:t>
            </w:r>
          </w:p>
        </w:tc>
        <w:tc>
          <w:tcPr>
            <w:tcW w:w="791" w:type="dxa"/>
            <w:tcBorders/>
            <w:shd w:fill="auto" w:val="clear"/>
            <w:vAlign w:val="center"/>
          </w:tcPr>
          <w:p>
            <w:pPr>
              <w:pStyle w:val="TableContents"/>
              <w:spacing w:before="0" w:after="0"/>
              <w:ind w:left="0" w:right="0" w:firstLine="400"/>
              <w:jc w:val="left"/>
              <w:rPr/>
            </w:pPr>
            <w:r>
              <w:rPr/>
              <w:t> </w:t>
            </w:r>
          </w:p>
        </w:tc>
      </w:tr>
      <w:tr>
        <w:trPr/>
        <w:tc>
          <w:tcPr>
            <w:tcW w:w="6031"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Amortization of debt issuance costs/debt discounts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349</w:t>
            </w:r>
          </w:p>
        </w:tc>
        <w:tc>
          <w:tcPr>
            <w:tcW w:w="791" w:type="dxa"/>
            <w:tcBorders/>
            <w:shd w:fill="auto" w:val="clear"/>
            <w:vAlign w:val="center"/>
          </w:tcPr>
          <w:p>
            <w:pPr>
              <w:pStyle w:val="TableContents"/>
              <w:spacing w:before="0" w:after="0"/>
              <w:ind w:left="0" w:right="0" w:firstLine="400"/>
              <w:jc w:val="left"/>
              <w:rPr/>
            </w:pPr>
            <w:r>
              <w:rPr/>
              <w:t> </w:t>
            </w:r>
          </w:p>
        </w:tc>
      </w:tr>
      <w:tr>
        <w:trPr/>
        <w:tc>
          <w:tcPr>
            <w:tcW w:w="6031"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Stock-based compensation for services by non-employees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w:t>
            </w:r>
          </w:p>
        </w:tc>
        <w:tc>
          <w:tcPr>
            <w:tcW w:w="791" w:type="dxa"/>
            <w:tcBorders/>
            <w:shd w:fill="auto" w:val="clear"/>
            <w:vAlign w:val="center"/>
          </w:tcPr>
          <w:p>
            <w:pPr>
              <w:pStyle w:val="TableContents"/>
              <w:spacing w:before="0" w:after="0"/>
              <w:ind w:left="0" w:right="0" w:firstLine="400"/>
              <w:jc w:val="left"/>
              <w:rPr/>
            </w:pPr>
            <w:r>
              <w:rPr/>
              <w:t> </w:t>
            </w:r>
          </w:p>
        </w:tc>
      </w:tr>
      <w:tr>
        <w:trPr/>
        <w:tc>
          <w:tcPr>
            <w:tcW w:w="6031"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Stock-based compensation for employees and directors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2,961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1,692</w:t>
            </w:r>
          </w:p>
        </w:tc>
        <w:tc>
          <w:tcPr>
            <w:tcW w:w="791" w:type="dxa"/>
            <w:tcBorders/>
            <w:shd w:fill="auto" w:val="clear"/>
            <w:vAlign w:val="center"/>
          </w:tcPr>
          <w:p>
            <w:pPr>
              <w:pStyle w:val="TableContents"/>
              <w:spacing w:before="0" w:after="0"/>
              <w:ind w:left="0" w:right="0" w:firstLine="400"/>
              <w:jc w:val="left"/>
              <w:rPr/>
            </w:pPr>
            <w:r>
              <w:rPr/>
              <w:t> </w:t>
            </w:r>
          </w:p>
        </w:tc>
      </w:tr>
      <w:tr>
        <w:trPr/>
        <w:tc>
          <w:tcPr>
            <w:tcW w:w="6031"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Amortization of right-of-use assets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141</w:t>
            </w:r>
          </w:p>
        </w:tc>
        <w:tc>
          <w:tcPr>
            <w:tcW w:w="791" w:type="dxa"/>
            <w:tcBorders/>
            <w:shd w:fill="auto" w:val="clear"/>
            <w:vAlign w:val="center"/>
          </w:tcPr>
          <w:p>
            <w:pPr>
              <w:pStyle w:val="TableContents"/>
              <w:spacing w:before="0" w:after="0"/>
              <w:ind w:left="0" w:right="0" w:firstLine="200"/>
              <w:jc w:val="left"/>
              <w:rPr/>
            </w:pPr>
            <w:r>
              <w:rPr/>
              <w:t> </w:t>
            </w:r>
          </w:p>
        </w:tc>
      </w:tr>
      <w:tr>
        <w:trPr/>
        <w:tc>
          <w:tcPr>
            <w:tcW w:w="603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Changes in assets and liabilities:</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shd w:fill="auto" w:val="clear"/>
            <w:vAlign w:val="center"/>
          </w:tcPr>
          <w:p>
            <w:pPr>
              <w:pStyle w:val="TableContents"/>
              <w:spacing w:before="0" w:after="0"/>
              <w:ind w:left="0" w:right="0" w:hanging="0"/>
              <w:jc w:val="left"/>
              <w:rPr/>
            </w:pPr>
            <w:r>
              <w:rPr/>
              <w:t> </w:t>
            </w:r>
          </w:p>
        </w:tc>
        <w:tc>
          <w:tcPr>
            <w:tcW w:w="791" w:type="dxa"/>
            <w:tcBorders/>
            <w:shd w:fill="auto" w:val="clear"/>
            <w:vAlign w:val="center"/>
          </w:tcPr>
          <w:p>
            <w:pPr>
              <w:pStyle w:val="TableContents"/>
              <w:spacing w:before="0" w:after="0"/>
              <w:ind w:left="0" w:right="0" w:firstLine="400"/>
              <w:jc w:val="left"/>
              <w:rPr/>
            </w:pPr>
            <w:r>
              <w:rPr/>
              <w:t> </w:t>
            </w:r>
          </w:p>
        </w:tc>
      </w:tr>
      <w:tr>
        <w:trPr/>
        <w:tc>
          <w:tcPr>
            <w:tcW w:w="6031"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Current and noncurrent assets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1,915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(7,293</w:t>
            </w:r>
          </w:p>
        </w:tc>
        <w:tc>
          <w:tcPr>
            <w:tcW w:w="791" w:type="dxa"/>
            <w:tcBorders/>
            <w:shd w:fill="auto" w:val="clear"/>
            <w:vAlign w:val="center"/>
          </w:tcPr>
          <w:p>
            <w:pPr>
              <w:pStyle w:val="TableContents"/>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6031"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Current and noncurrent liabilities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(11,997</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967</w:t>
            </w:r>
          </w:p>
        </w:tc>
        <w:tc>
          <w:tcPr>
            <w:tcW w:w="7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600"/>
              <w:jc w:val="left"/>
              <w:rPr/>
            </w:pPr>
            <w:r>
              <w:rPr/>
              <w:t> </w:t>
            </w:r>
          </w:p>
        </w:tc>
      </w:tr>
      <w:tr>
        <w:trPr/>
        <w:tc>
          <w:tcPr>
            <w:tcW w:w="6031" w:type="dxa"/>
            <w:tcBorders/>
            <w:shd w:fill="auto" w:val="clear"/>
            <w:vAlign w:val="center"/>
          </w:tcPr>
          <w:p>
            <w:pPr>
              <w:pStyle w:val="TableContents"/>
              <w:spacing w:before="0" w:after="0"/>
              <w:ind w:left="600" w:right="0" w:hanging="0"/>
              <w:jc w:val="left"/>
              <w:rPr>
                <w:rFonts w:ascii="Times New Roman;serif" w:hAnsi="Times New Roman;serif"/>
                <w:b w:val="false"/>
                <w:sz w:val="20"/>
              </w:rPr>
            </w:pPr>
            <w:r>
              <w:rPr>
                <w:rFonts w:ascii="Times New Roman;serif" w:hAnsi="Times New Roman;serif"/>
                <w:b w:val="false"/>
                <w:sz w:val="20"/>
              </w:rPr>
              <w:t>Net cash used in operating activities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(46,365</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(33,974</w:t>
            </w:r>
          </w:p>
        </w:tc>
        <w:tc>
          <w:tcPr>
            <w:tcW w:w="7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03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shd w:fill="auto" w:val="clear"/>
            <w:vAlign w:val="center"/>
          </w:tcPr>
          <w:p>
            <w:pPr>
              <w:pStyle w:val="TableContents"/>
              <w:spacing w:before="0" w:after="0"/>
              <w:ind w:left="0" w:right="0" w:hanging="0"/>
              <w:jc w:val="left"/>
              <w:rPr/>
            </w:pPr>
            <w:r>
              <w:rPr/>
              <w:t> </w:t>
            </w:r>
          </w:p>
        </w:tc>
        <w:tc>
          <w:tcPr>
            <w:tcW w:w="791" w:type="dxa"/>
            <w:tcBorders/>
            <w:shd w:fill="auto" w:val="clear"/>
            <w:vAlign w:val="center"/>
          </w:tcPr>
          <w:p>
            <w:pPr>
              <w:pStyle w:val="TableContents"/>
              <w:spacing w:before="0" w:after="0"/>
              <w:ind w:left="0" w:right="0" w:hanging="0"/>
              <w:jc w:val="left"/>
              <w:rPr/>
            </w:pPr>
            <w:r>
              <w:rPr/>
              <w:t> </w:t>
            </w:r>
          </w:p>
        </w:tc>
      </w:tr>
      <w:tr>
        <w:trPr/>
        <w:tc>
          <w:tcPr>
            <w:tcW w:w="603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Cash flows from investing activities:</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shd w:fill="auto" w:val="clear"/>
            <w:vAlign w:val="center"/>
          </w:tcPr>
          <w:p>
            <w:pPr>
              <w:pStyle w:val="TableContents"/>
              <w:spacing w:before="0" w:after="0"/>
              <w:ind w:left="0" w:right="0" w:hanging="0"/>
              <w:jc w:val="left"/>
              <w:rPr/>
            </w:pPr>
            <w:r>
              <w:rPr/>
              <w:t> </w:t>
            </w:r>
          </w:p>
        </w:tc>
        <w:tc>
          <w:tcPr>
            <w:tcW w:w="791" w:type="dxa"/>
            <w:tcBorders/>
            <w:shd w:fill="auto" w:val="clear"/>
            <w:vAlign w:val="center"/>
          </w:tcPr>
          <w:p>
            <w:pPr>
              <w:pStyle w:val="TableContents"/>
              <w:spacing w:before="0" w:after="0"/>
              <w:ind w:left="0" w:right="0" w:firstLine="200"/>
              <w:jc w:val="left"/>
              <w:rPr/>
            </w:pPr>
            <w:r>
              <w:rPr/>
              <w:t> </w:t>
            </w:r>
          </w:p>
        </w:tc>
      </w:tr>
      <w:tr>
        <w:trPr/>
        <w:tc>
          <w:tcPr>
            <w:tcW w:w="603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Purchases of property and equipment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(372</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w:t>
            </w:r>
          </w:p>
        </w:tc>
        <w:tc>
          <w:tcPr>
            <w:tcW w:w="791"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603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Purchases of marketable securities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(241,611</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(18,104</w:t>
            </w:r>
          </w:p>
        </w:tc>
        <w:tc>
          <w:tcPr>
            <w:tcW w:w="791"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603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Proceeds from maturities of marketable securities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63,250</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48,581</w:t>
            </w:r>
          </w:p>
        </w:tc>
        <w:tc>
          <w:tcPr>
            <w:tcW w:w="7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600"/>
              <w:jc w:val="left"/>
              <w:rPr/>
            </w:pPr>
            <w:r>
              <w:rPr/>
              <w:t> </w:t>
            </w:r>
          </w:p>
        </w:tc>
      </w:tr>
      <w:tr>
        <w:trPr/>
        <w:tc>
          <w:tcPr>
            <w:tcW w:w="6031" w:type="dxa"/>
            <w:tcBorders/>
            <w:shd w:fill="auto" w:val="clear"/>
            <w:vAlign w:val="center"/>
          </w:tcPr>
          <w:p>
            <w:pPr>
              <w:pStyle w:val="TableContents"/>
              <w:spacing w:before="0" w:after="0"/>
              <w:ind w:left="600" w:right="0" w:hanging="0"/>
              <w:jc w:val="left"/>
              <w:rPr>
                <w:rFonts w:ascii="Times New Roman;serif" w:hAnsi="Times New Roman;serif"/>
                <w:b w:val="false"/>
                <w:sz w:val="20"/>
              </w:rPr>
            </w:pPr>
            <w:r>
              <w:rPr>
                <w:rFonts w:ascii="Times New Roman;serif" w:hAnsi="Times New Roman;serif"/>
                <w:b w:val="false"/>
                <w:sz w:val="20"/>
              </w:rPr>
              <w:t>Net cash (used in) provided by investing activities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(178,733</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30,427</w:t>
            </w:r>
          </w:p>
        </w:tc>
        <w:tc>
          <w:tcPr>
            <w:tcW w:w="791" w:type="dxa"/>
            <w:tcBorders/>
            <w:shd w:fill="auto" w:val="clear"/>
            <w:vAlign w:val="center"/>
          </w:tcPr>
          <w:p>
            <w:pPr>
              <w:pStyle w:val="TableContents"/>
              <w:spacing w:before="0" w:after="0"/>
              <w:ind w:left="0" w:right="0" w:hanging="0"/>
              <w:jc w:val="left"/>
              <w:rPr/>
            </w:pPr>
            <w:r>
              <w:rPr/>
              <w:t> </w:t>
            </w:r>
          </w:p>
        </w:tc>
      </w:tr>
      <w:tr>
        <w:trPr/>
        <w:tc>
          <w:tcPr>
            <w:tcW w:w="603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shd w:fill="auto" w:val="clear"/>
            <w:vAlign w:val="center"/>
          </w:tcPr>
          <w:p>
            <w:pPr>
              <w:pStyle w:val="TableContents"/>
              <w:spacing w:before="0" w:after="0"/>
              <w:ind w:left="0" w:right="0" w:hanging="0"/>
              <w:jc w:val="left"/>
              <w:rPr/>
            </w:pPr>
            <w:r>
              <w:rPr/>
              <w:t> </w:t>
            </w:r>
          </w:p>
        </w:tc>
        <w:tc>
          <w:tcPr>
            <w:tcW w:w="791" w:type="dxa"/>
            <w:tcBorders/>
            <w:shd w:fill="auto" w:val="clear"/>
            <w:vAlign w:val="center"/>
          </w:tcPr>
          <w:p>
            <w:pPr>
              <w:pStyle w:val="TableContents"/>
              <w:spacing w:before="0" w:after="0"/>
              <w:ind w:left="0" w:right="0" w:hanging="0"/>
              <w:jc w:val="left"/>
              <w:rPr/>
            </w:pPr>
            <w:r>
              <w:rPr/>
              <w:t> </w:t>
            </w:r>
          </w:p>
        </w:tc>
      </w:tr>
      <w:tr>
        <w:trPr/>
        <w:tc>
          <w:tcPr>
            <w:tcW w:w="603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Cash flows from financing activities:</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shd w:fill="auto" w:val="clear"/>
            <w:vAlign w:val="center"/>
          </w:tcPr>
          <w:p>
            <w:pPr>
              <w:pStyle w:val="TableContents"/>
              <w:spacing w:before="0" w:after="0"/>
              <w:ind w:left="0" w:right="0" w:hanging="0"/>
              <w:jc w:val="left"/>
              <w:rPr/>
            </w:pPr>
            <w:r>
              <w:rPr/>
              <w:t> </w:t>
            </w:r>
          </w:p>
        </w:tc>
        <w:tc>
          <w:tcPr>
            <w:tcW w:w="791" w:type="dxa"/>
            <w:tcBorders/>
            <w:shd w:fill="auto" w:val="clear"/>
            <w:vAlign w:val="center"/>
          </w:tcPr>
          <w:p>
            <w:pPr>
              <w:pStyle w:val="TableContents"/>
              <w:spacing w:before="0" w:after="0"/>
              <w:ind w:left="0" w:right="0" w:firstLine="200"/>
              <w:jc w:val="left"/>
              <w:rPr/>
            </w:pPr>
            <w:r>
              <w:rPr/>
              <w:t> </w:t>
            </w:r>
          </w:p>
        </w:tc>
      </w:tr>
      <w:tr>
        <w:trPr/>
        <w:tc>
          <w:tcPr>
            <w:tcW w:w="603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Proceeds from issuances of common stock from equity plans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7,875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pPr>
            <w:r>
              <w:rPr/>
              <w:t>—</w:t>
            </w:r>
          </w:p>
        </w:tc>
        <w:tc>
          <w:tcPr>
            <w:tcW w:w="791" w:type="dxa"/>
            <w:tcBorders/>
            <w:shd w:fill="auto" w:val="clear"/>
            <w:vAlign w:val="center"/>
          </w:tcPr>
          <w:p>
            <w:pPr>
              <w:pStyle w:val="TableContents"/>
              <w:spacing w:before="0" w:after="0"/>
              <w:ind w:left="0" w:right="0" w:firstLine="200"/>
              <w:jc w:val="left"/>
              <w:rPr/>
            </w:pPr>
            <w:r>
              <w:rPr/>
              <w:t> </w:t>
            </w:r>
          </w:p>
        </w:tc>
      </w:tr>
      <w:tr>
        <w:trPr/>
        <w:tc>
          <w:tcPr>
            <w:tcW w:w="603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Proceeds from issuance of common stock from public offering</w:t>
              <w:br/>
              <w:t>   and pre-funded warrant, net of paid issuance costs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213,337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pPr>
            <w:r>
              <w:rPr/>
              <w:t>—</w:t>
            </w:r>
          </w:p>
        </w:tc>
        <w:tc>
          <w:tcPr>
            <w:tcW w:w="791" w:type="dxa"/>
            <w:tcBorders/>
            <w:shd w:fill="auto" w:val="clear"/>
            <w:vAlign w:val="center"/>
          </w:tcPr>
          <w:p>
            <w:pPr>
              <w:pStyle w:val="TableContents"/>
              <w:spacing w:before="0" w:after="0"/>
              <w:ind w:left="0" w:right="0" w:firstLine="200"/>
              <w:jc w:val="left"/>
              <w:rPr/>
            </w:pPr>
            <w:r>
              <w:rPr/>
              <w:t> </w:t>
            </w:r>
          </w:p>
        </w:tc>
      </w:tr>
      <w:tr>
        <w:trPr/>
        <w:tc>
          <w:tcPr>
            <w:tcW w:w="603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Proceeds from exercise of warrants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59,835</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7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600"/>
              <w:jc w:val="left"/>
              <w:rPr/>
            </w:pPr>
            <w:r>
              <w:rPr/>
              <w:t> </w:t>
            </w:r>
          </w:p>
        </w:tc>
      </w:tr>
      <w:tr>
        <w:trPr/>
        <w:tc>
          <w:tcPr>
            <w:tcW w:w="6031" w:type="dxa"/>
            <w:tcBorders/>
            <w:shd w:fill="auto" w:val="clear"/>
            <w:vAlign w:val="center"/>
          </w:tcPr>
          <w:p>
            <w:pPr>
              <w:pStyle w:val="TableContents"/>
              <w:spacing w:before="0" w:after="0"/>
              <w:ind w:left="600" w:right="0" w:hanging="0"/>
              <w:jc w:val="left"/>
              <w:rPr>
                <w:rFonts w:ascii="Times New Roman;serif" w:hAnsi="Times New Roman;serif"/>
                <w:b w:val="false"/>
                <w:sz w:val="20"/>
              </w:rPr>
            </w:pPr>
            <w:r>
              <w:rPr>
                <w:rFonts w:ascii="Times New Roman;serif" w:hAnsi="Times New Roman;serif"/>
                <w:b w:val="false"/>
                <w:sz w:val="20"/>
              </w:rPr>
              <w:t>Net cash provided by financing activities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281,047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pPr>
            <w:r>
              <w:rPr/>
              <w:t>—</w:t>
            </w:r>
          </w:p>
        </w:tc>
        <w:tc>
          <w:tcPr>
            <w:tcW w:w="791" w:type="dxa"/>
            <w:tcBorders/>
            <w:shd w:fill="auto" w:val="clear"/>
            <w:vAlign w:val="center"/>
          </w:tcPr>
          <w:p>
            <w:pPr>
              <w:pStyle w:val="TableContents"/>
              <w:spacing w:before="0" w:after="0"/>
              <w:ind w:left="0" w:right="0" w:hanging="0"/>
              <w:jc w:val="left"/>
              <w:rPr/>
            </w:pPr>
            <w:r>
              <w:rPr/>
              <w:t> </w:t>
            </w:r>
          </w:p>
        </w:tc>
      </w:tr>
      <w:tr>
        <w:trPr/>
        <w:tc>
          <w:tcPr>
            <w:tcW w:w="60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Effect of exchange rates on cash, cash equivalents and restricted cash</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7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0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increase (decrease) in cash, cash equivalents and restricted cash</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55,933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(3,546</w:t>
            </w:r>
          </w:p>
        </w:tc>
        <w:tc>
          <w:tcPr>
            <w:tcW w:w="7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0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Cash, cash equivalents and restricted cash at the beginning of the period</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57,209</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35,235</w:t>
            </w:r>
          </w:p>
        </w:tc>
        <w:tc>
          <w:tcPr>
            <w:tcW w:w="7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0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Cash, cash equivalents and restricted cash at the end of the period</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113,142</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31,689</w:t>
            </w:r>
          </w:p>
        </w:tc>
        <w:tc>
          <w:tcPr>
            <w:tcW w:w="7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40" w:after="0"/>
        <w:jc w:val="center"/>
        <w:rPr>
          <w:rFonts w:ascii="Times New Roman;serif" w:hAnsi="Times New Roman;serif"/>
          <w:b w:val="false"/>
          <w:sz w:val="20"/>
        </w:rPr>
      </w:pPr>
      <w:r>
        <w:rPr>
          <w:rFonts w:ascii="Times New Roman;serif" w:hAnsi="Times New Roman;serif"/>
          <w:b w:val="false"/>
          <w:sz w:val="20"/>
        </w:rPr>
        <w:t>See accompanying notes.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7</w:t>
      </w:r>
    </w:p>
    <w:p>
      <w:pPr>
        <w:pStyle w:val="HorizontalLine"/>
        <w:rPr/>
      </w:pPr>
      <w:r>
        <w:rPr/>
      </w:r>
    </w:p>
    <w:p>
      <w:pPr>
        <w:pStyle w:val="TextBody"/>
        <w:spacing w:before="0" w:after="0"/>
        <w:jc w:val="center"/>
        <w:rPr>
          <w:rFonts w:ascii="Times New Roman;serif" w:hAnsi="Times New Roman;serif"/>
          <w:b/>
          <w:sz w:val="20"/>
        </w:rPr>
      </w:pPr>
      <w:r>
        <w:rPr>
          <w:rFonts w:ascii="Times New Roman;serif" w:hAnsi="Times New Roman;serif"/>
          <w:b/>
          <w:sz w:val="20"/>
        </w:rPr>
        <w:t>GERON CORPORATION</w:t>
      </w:r>
    </w:p>
    <w:p>
      <w:pPr>
        <w:pStyle w:val="TextBody"/>
        <w:spacing w:before="0" w:after="0"/>
        <w:jc w:val="center"/>
        <w:rPr>
          <w:rFonts w:ascii="Times New Roman;serif" w:hAnsi="Times New Roman;serif"/>
          <w:b/>
          <w:sz w:val="20"/>
        </w:rPr>
      </w:pPr>
      <w:r>
        <w:rPr>
          <w:rFonts w:ascii="Times New Roman;serif" w:hAnsi="Times New Roman;serif"/>
          <w:b/>
          <w:sz w:val="20"/>
        </w:rPr>
        <w:t>NOTES TO CONDENSED CONSOLIDATED FINANCIAL STATEMENTS</w:t>
      </w:r>
    </w:p>
    <w:p>
      <w:pPr>
        <w:pStyle w:val="TextBody"/>
        <w:spacing w:before="0" w:after="0"/>
        <w:jc w:val="center"/>
        <w:rPr>
          <w:rFonts w:ascii="Times New Roman;serif" w:hAnsi="Times New Roman;serif"/>
          <w:b/>
          <w:caps/>
          <w:sz w:val="20"/>
        </w:rPr>
      </w:pPr>
      <w:r>
        <w:rPr>
          <w:rFonts w:ascii="Times New Roman;serif" w:hAnsi="Times New Roman;serif"/>
          <w:b/>
          <w:caps/>
          <w:sz w:val="20"/>
        </w:rPr>
        <w:t>March 31, 2023</w:t>
      </w:r>
    </w:p>
    <w:p>
      <w:pPr>
        <w:pStyle w:val="TextBody"/>
        <w:spacing w:before="0" w:after="0"/>
        <w:jc w:val="center"/>
        <w:rPr>
          <w:rFonts w:ascii="Times New Roman" w:hAnsi="Times New Roman"/>
          <w:sz w:val="20"/>
        </w:rPr>
      </w:pPr>
      <w:r>
        <w:rPr>
          <w:rFonts w:ascii="Times New Roman;serif" w:hAnsi="Times New Roman;serif"/>
          <w:b/>
          <w:sz w:val="20"/>
        </w:rPr>
        <w:t>(UNAUDITED</w:t>
      </w:r>
      <w:r>
        <w:rPr>
          <w:rFonts w:ascii="Times New Roman;serif" w:hAnsi="Times New Roman;serif"/>
          <w:b w:val="false"/>
          <w:sz w:val="20"/>
        </w:rPr>
        <w:t>)</w:t>
      </w:r>
    </w:p>
    <w:p>
      <w:pPr>
        <w:pStyle w:val="TextBody"/>
        <w:spacing w:before="0" w:after="0"/>
        <w:jc w:val="center"/>
        <w:rPr/>
      </w:pPr>
      <w:r>
        <w:rPr/>
        <w:t> </w:t>
      </w:r>
    </w:p>
    <w:p>
      <w:pPr>
        <w:pStyle w:val="TextBody"/>
        <w:spacing w:before="240" w:after="0"/>
        <w:jc w:val="left"/>
        <w:rPr>
          <w:rFonts w:ascii="Times New Roman;serif" w:hAnsi="Times New Roman;serif"/>
          <w:b/>
          <w:sz w:val="20"/>
        </w:rPr>
      </w:pPr>
      <w:bookmarkStart w:id="10" w:name="notes_to_financials"/>
      <w:bookmarkEnd w:id="10"/>
      <w:r>
        <w:rPr>
          <w:rFonts w:ascii="Times New Roman;serif" w:hAnsi="Times New Roman;serif"/>
          <w:b/>
          <w:sz w:val="20"/>
        </w:rPr>
        <w:t>1. SUMMARY OF SIGNIFICANT ACCOUNTING POLICIES</w:t>
      </w:r>
    </w:p>
    <w:p>
      <w:pPr>
        <w:pStyle w:val="TextBody"/>
        <w:spacing w:before="120" w:after="0"/>
        <w:jc w:val="left"/>
        <w:rPr>
          <w:rFonts w:ascii="Times New Roman;serif" w:hAnsi="Times New Roman;serif"/>
          <w:b/>
          <w:sz w:val="20"/>
        </w:rPr>
      </w:pPr>
      <w:r>
        <w:rPr>
          <w:rFonts w:ascii="Times New Roman;serif" w:hAnsi="Times New Roman;serif"/>
          <w:b/>
          <w:sz w:val="20"/>
        </w:rPr>
        <w:t>Basis of Presentation</w:t>
      </w:r>
    </w:p>
    <w:p>
      <w:pPr>
        <w:pStyle w:val="TextBody"/>
        <w:spacing w:before="120" w:after="0"/>
        <w:jc w:val="left"/>
        <w:rPr>
          <w:rFonts w:ascii="Times New Roman" w:hAnsi="Times New Roman"/>
          <w:sz w:val="20"/>
        </w:rPr>
      </w:pPr>
      <w:r>
        <w:rPr>
          <w:rFonts w:ascii="Times New Roman;serif" w:hAnsi="Times New Roman;serif"/>
          <w:b w:val="false"/>
          <w:sz w:val="20"/>
        </w:rPr>
        <w:t>The terms “Geron”, the “Company”, “we” and “us” as used in this report refer to Geron Corporation. The accompanying unaudited condensed consolidated financial statements have been prepared in accordance with generally accepted accounting principles for interim financial information and with the instructions to Form 10-Q and Article 10 of Regulation S-X. Accordingly, they do not include all of the information and footnotes required by United States, or U.S., generally accepted accounting principles, or GAAP, for complete financial statements. In the opinion of management, all adjustments (consisting only of normal recurring accruals) considered necessary for a fair presentation have been included. Operating results for the three months ended March 31, 2023</w:t>
      </w:r>
      <w:r>
        <w:rPr>
          <w:rFonts w:ascii="Times New Roman" w:hAnsi="Times New Roman"/>
          <w:sz w:val="20"/>
        </w:rPr>
        <w:t xml:space="preserve"> </w:t>
      </w:r>
      <w:r>
        <w:rPr>
          <w:rFonts w:ascii="Times New Roman;serif" w:hAnsi="Times New Roman;serif"/>
          <w:b w:val="false"/>
          <w:sz w:val="20"/>
        </w:rPr>
        <w:t>are not necessarily indicative of the results that may be expected for the year ending December 31, 2023 or any other period. These unaudited condensed consolidated financial statements and notes should be read in conjunction with the audited financial statements for each of the three years ended December 31, 2022, included in our Annual Report on Form 10-K for the year ended December 31, 2022, or the Form 10-K. The accompanying condensed consolidated balance sheet as of December 31, 2022 has been derived from audited financial statements at that date.</w:t>
      </w:r>
    </w:p>
    <w:p>
      <w:pPr>
        <w:pStyle w:val="TextBody"/>
        <w:spacing w:before="360" w:after="0"/>
        <w:jc w:val="left"/>
        <w:rPr>
          <w:rFonts w:ascii="Times New Roman;serif" w:hAnsi="Times New Roman;serif"/>
          <w:b/>
          <w:sz w:val="20"/>
        </w:rPr>
      </w:pPr>
      <w:r>
        <w:rPr>
          <w:rFonts w:ascii="Times New Roman;serif" w:hAnsi="Times New Roman;serif"/>
          <w:b/>
          <w:sz w:val="20"/>
        </w:rPr>
        <w:t>Prior Period Reclassification</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prior period presentations of other comprehensive loss in the condensed consolidated statements of stockholders' equity and accrued liabilities have been updated to conform to current period presentation. See Note 3 on Accrued Liabilities.</w:t>
      </w:r>
    </w:p>
    <w:p>
      <w:pPr>
        <w:pStyle w:val="TextBody"/>
        <w:spacing w:before="360" w:after="0"/>
        <w:jc w:val="left"/>
        <w:rPr>
          <w:rFonts w:ascii="Times New Roman;serif" w:hAnsi="Times New Roman;serif"/>
          <w:b/>
          <w:sz w:val="20"/>
        </w:rPr>
      </w:pPr>
      <w:r>
        <w:rPr>
          <w:rFonts w:ascii="Times New Roman;serif" w:hAnsi="Times New Roman;serif"/>
          <w:b/>
          <w:sz w:val="20"/>
        </w:rPr>
        <w:t>Principles of Consolidation</w:t>
      </w:r>
    </w:p>
    <w:p>
      <w:pPr>
        <w:pStyle w:val="TextBody"/>
        <w:spacing w:before="120" w:after="0"/>
        <w:jc w:val="left"/>
        <w:rPr>
          <w:rFonts w:ascii="Times New Roman" w:hAnsi="Times New Roman"/>
          <w:sz w:val="20"/>
        </w:rPr>
      </w:pPr>
      <w:r>
        <w:rPr>
          <w:rFonts w:ascii="Times New Roman;serif" w:hAnsi="Times New Roman;serif"/>
          <w:b w:val="false"/>
          <w:sz w:val="20"/>
        </w:rPr>
        <w:t>The condensed consolidated financial statements include the accounts of Geron and our wholly-owned subsidiaries, Geron UK Limited, or Geron UK, a United Kingdom company, and Geron Netherlands B.V., or Geron Netherlands, a Netherlands company. Geron UK was incorporated in September 2021, and its operations commenced in January 2022. Geron Netherlands was incorporated in February 2023; however operations have not yet commenced for that entity. Thus, there has been no financial activity for Geron Netherlands during the first quarter of 2023.</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For Geron UK, we have eliminated intercompany accounts and transactions. We prepare the financial statements of Geron UK using the local currency as the functional currency. We translate the assets and liabilities of Geron UK at rates of exchange at the balance sheet date and translate income and expense items at average monthly rates of exchange. The resultant translation adjustments are included in accumulated other comprehensive income (loss), a separate component of stockholders’ equity, on our condensed consolidated balance sheets.</w:t>
      </w:r>
      <w:r>
        <w:rPr>
          <w:rFonts w:ascii="Times New Roman" w:hAnsi="Times New Roman"/>
          <w:sz w:val="20"/>
        </w:rPr>
        <w:t xml:space="preserve"> </w:t>
      </w:r>
    </w:p>
    <w:p>
      <w:pPr>
        <w:pStyle w:val="TextBody"/>
        <w:spacing w:before="360" w:after="0"/>
        <w:jc w:val="left"/>
        <w:rPr>
          <w:rFonts w:ascii="Times New Roman;serif" w:hAnsi="Times New Roman;serif"/>
          <w:b/>
          <w:sz w:val="20"/>
        </w:rPr>
      </w:pPr>
      <w:r>
        <w:rPr>
          <w:rFonts w:ascii="Times New Roman;serif" w:hAnsi="Times New Roman;serif"/>
          <w:b/>
          <w:sz w:val="20"/>
        </w:rPr>
        <w:t>Net Loss Per Share</w:t>
      </w:r>
    </w:p>
    <w:p>
      <w:pPr>
        <w:pStyle w:val="TextBody"/>
        <w:spacing w:before="120" w:after="0"/>
        <w:jc w:val="left"/>
        <w:rPr>
          <w:rFonts w:ascii="Times New Roman" w:hAnsi="Times New Roman"/>
          <w:sz w:val="20"/>
        </w:rPr>
      </w:pPr>
      <w:r>
        <w:rPr>
          <w:rFonts w:ascii="Times New Roman;serif" w:hAnsi="Times New Roman;serif"/>
          <w:b w:val="false"/>
          <w:sz w:val="20"/>
        </w:rPr>
        <w:t>Basic net income (loss) per share is calculated by dividing net income (loss) by the weighted-average number of shares of common stock outstanding for the periods presented without consideration of potential common shares. In January 2023, we entered into an underwriting agreement in connection with a public offering of our common stock, or the January 2023 offering, pursuant to which we issued a pre-funded warrant to purchase 25,000,000</w:t>
      </w:r>
      <w:r>
        <w:rPr>
          <w:rFonts w:ascii="Times New Roman" w:hAnsi="Times New Roman"/>
          <w:sz w:val="20"/>
        </w:rPr>
        <w:t xml:space="preserve"> </w:t>
      </w:r>
      <w:r>
        <w:rPr>
          <w:rFonts w:ascii="Times New Roman;serif" w:hAnsi="Times New Roman;serif"/>
          <w:b w:val="false"/>
          <w:sz w:val="20"/>
        </w:rPr>
        <w:t>shares of our common stock, or the 2023 pre-funded warrant. In April 2022, we entered into an underwriting agreement in connection with a public offering of our common stock, or the April 2022 offering, pursuant to which we issued a pre-funded warrant to purchase 18,095,238</w:t>
      </w:r>
      <w:r>
        <w:rPr>
          <w:rFonts w:ascii="Times New Roman" w:hAnsi="Times New Roman"/>
          <w:sz w:val="20"/>
        </w:rPr>
        <w:t xml:space="preserve"> </w:t>
      </w:r>
      <w:r>
        <w:rPr>
          <w:rFonts w:ascii="Times New Roman;serif" w:hAnsi="Times New Roman;serif"/>
          <w:b w:val="false"/>
          <w:sz w:val="20"/>
        </w:rPr>
        <w:t>shares of our common stock, also known as the 2022 pre-funded warrant, together with accompanying warrants to purchase shares of our common stock. In May 2020, we entered into an underwriting agreement in connection with a public offering of our common stock, or the May 2020 offering, pursuant to which we issued a pre-funded warrant to purchase 8,335,239</w:t>
      </w:r>
      <w:r>
        <w:rPr>
          <w:rFonts w:ascii="Times New Roman" w:hAnsi="Times New Roman"/>
          <w:sz w:val="20"/>
        </w:rPr>
        <w:t xml:space="preserve"> </w:t>
      </w:r>
      <w:r>
        <w:rPr>
          <w:rFonts w:ascii="Times New Roman;serif" w:hAnsi="Times New Roman;serif"/>
          <w:b w:val="false"/>
          <w:sz w:val="20"/>
        </w:rPr>
        <w:t>shares of our common stock, also known as the 2020 pre-funded warrant, together with accompanying warrants to purchase shares of our common stock. The 2023 pre-funded warrant, 2022 pre-funded warrant and 2020 pre-funded warrant are exercisable immediately at an exercise price of $0.001</w:t>
      </w:r>
      <w:r>
        <w:rPr>
          <w:rFonts w:ascii="Times New Roman" w:hAnsi="Times New Roman"/>
          <w:sz w:val="20"/>
        </w:rPr>
        <w:t xml:space="preserve"> </w:t>
      </w:r>
      <w:r>
        <w:rPr>
          <w:rFonts w:ascii="Times New Roman;serif" w:hAnsi="Times New Roman;serif"/>
          <w:b w:val="false"/>
          <w:sz w:val="20"/>
        </w:rPr>
        <w:t>per share each and as of March 31, 2023, none of these warrants has been exercised. We included the 2023 pre-funded warrant, 2022 pre-funded warrant and 2020 pre-funded warrant in the computation of basic net loss per share, as applicable, since their exercise price is negligible, and they may be exercised at any time. See Note 6 on Stockholders' Equity for further discussion of the January 2023 offering.</w:t>
      </w:r>
    </w:p>
    <w:p>
      <w:pPr>
        <w:pStyle w:val="TextBody"/>
        <w:spacing w:before="240" w:after="0"/>
        <w:jc w:val="left"/>
        <w:rPr>
          <w:rFonts w:ascii="Times New Roman" w:hAnsi="Times New Roman"/>
          <w:sz w:val="20"/>
        </w:rPr>
      </w:pPr>
      <w:r>
        <w:rPr>
          <w:rFonts w:ascii="Times New Roman;serif" w:hAnsi="Times New Roman;serif"/>
          <w:b w:val="false"/>
          <w:sz w:val="20"/>
        </w:rPr>
        <w:t>Diluted net income per share would be calculated by adjusting the weighted-average number of shares of common stock outstanding for the dilutive effect of additional shares of common stock that would have been outstanding if potentially dilutive securities had been issued, as determined using the treasury-stock method. Potential dilutive securities consist of outstanding stock options and warrants to purchase our common stock. Diluted net loss per share excludes potential dilutive securities for all periods presented as their effect would be anti-dilutive. Accordingly, basic and diluted net loss per share is the same for all periods presented in the accompanying condensed consolidated statements of operations. Since we incurred a net loss for the three months ended March 31, 2023 and 2022, the diluted net loss per share calculation excludes potential dilutive securities of 107,971,822</w:t>
      </w:r>
      <w:r>
        <w:rPr>
          <w:rFonts w:ascii="Times New Roman" w:hAnsi="Times New Roman"/>
          <w:sz w:val="20"/>
        </w:rPr>
        <w:t xml:space="preserve"> </w:t>
      </w:r>
      <w:r>
        <w:rPr>
          <w:rFonts w:ascii="Times New Roman;serif" w:hAnsi="Times New Roman;serif"/>
          <w:b w:val="false"/>
          <w:sz w:val="20"/>
        </w:rPr>
        <w:t>and 118,256,294, respectively, related to outstanding stock options and warrants as their effect would have been anti-dilutive.</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8</w:t>
      </w:r>
    </w:p>
    <w:p>
      <w:pPr>
        <w:pStyle w:val="HorizontalLine"/>
        <w:rPr/>
      </w:pPr>
      <w:r>
        <w:rPr/>
      </w:r>
    </w:p>
    <w:p>
      <w:pPr>
        <w:pStyle w:val="TextBody"/>
        <w:spacing w:before="0" w:after="0"/>
        <w:jc w:val="center"/>
        <w:rPr>
          <w:rFonts w:ascii="Times New Roman;serif" w:hAnsi="Times New Roman;serif"/>
          <w:b/>
          <w:sz w:val="20"/>
        </w:rPr>
      </w:pPr>
      <w:r>
        <w:rPr>
          <w:rFonts w:ascii="Times New Roman;serif" w:hAnsi="Times New Roman;serif"/>
          <w:b/>
          <w:sz w:val="20"/>
        </w:rPr>
        <w:t>GERON CORPORATION</w:t>
      </w:r>
    </w:p>
    <w:p>
      <w:pPr>
        <w:pStyle w:val="TextBody"/>
        <w:spacing w:before="0" w:after="0"/>
        <w:jc w:val="center"/>
        <w:rPr>
          <w:rFonts w:ascii="Times New Roman;serif" w:hAnsi="Times New Roman;serif"/>
          <w:b/>
          <w:sz w:val="20"/>
        </w:rPr>
      </w:pPr>
      <w:r>
        <w:rPr>
          <w:rFonts w:ascii="Times New Roman;serif" w:hAnsi="Times New Roman;serif"/>
          <w:b/>
          <w:sz w:val="20"/>
        </w:rPr>
        <w:t>NOTES TO CONDENSED CONSOLIDATED FINANCIAL STATEMENTS</w:t>
      </w:r>
    </w:p>
    <w:p>
      <w:pPr>
        <w:pStyle w:val="TextBody"/>
        <w:spacing w:before="0" w:after="0"/>
        <w:jc w:val="center"/>
        <w:rPr>
          <w:rFonts w:ascii="Times New Roman;serif" w:hAnsi="Times New Roman;serif"/>
          <w:b/>
          <w:caps/>
          <w:sz w:val="20"/>
        </w:rPr>
      </w:pPr>
      <w:r>
        <w:rPr>
          <w:rFonts w:ascii="Times New Roman;serif" w:hAnsi="Times New Roman;serif"/>
          <w:b/>
          <w:caps/>
          <w:sz w:val="20"/>
        </w:rPr>
        <w:t>March 31, 2023</w:t>
      </w:r>
    </w:p>
    <w:p>
      <w:pPr>
        <w:pStyle w:val="TextBody"/>
        <w:spacing w:before="0" w:after="0"/>
        <w:jc w:val="center"/>
        <w:rPr>
          <w:rFonts w:ascii="Times New Roman" w:hAnsi="Times New Roman"/>
          <w:sz w:val="20"/>
        </w:rPr>
      </w:pPr>
      <w:r>
        <w:rPr>
          <w:rFonts w:ascii="Times New Roman;serif" w:hAnsi="Times New Roman;serif"/>
          <w:b/>
          <w:sz w:val="20"/>
        </w:rPr>
        <w:t>(UNAUDITED</w:t>
      </w:r>
      <w:r>
        <w:rPr>
          <w:rFonts w:ascii="Times New Roman;serif" w:hAnsi="Times New Roman;serif"/>
          <w:b w:val="false"/>
          <w:sz w:val="20"/>
        </w:rPr>
        <w:t>)</w:t>
      </w:r>
    </w:p>
    <w:p>
      <w:pPr>
        <w:pStyle w:val="TextBody"/>
        <w:spacing w:before="0" w:after="0"/>
        <w:jc w:val="center"/>
        <w:rPr/>
      </w:pPr>
      <w:r>
        <w:rPr/>
        <w:t> </w:t>
      </w:r>
    </w:p>
    <w:p>
      <w:pPr>
        <w:pStyle w:val="TextBody"/>
        <w:spacing w:before="360" w:after="0"/>
        <w:jc w:val="left"/>
        <w:rPr>
          <w:rFonts w:ascii="Times New Roman;serif" w:hAnsi="Times New Roman;serif"/>
          <w:b/>
          <w:sz w:val="20"/>
        </w:rPr>
      </w:pPr>
      <w:r>
        <w:rPr>
          <w:rFonts w:ascii="Times New Roman;serif" w:hAnsi="Times New Roman;serif"/>
          <w:b/>
          <w:sz w:val="20"/>
        </w:rPr>
        <w:t>Use of Estimates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accompanying condensed consolidated financial statements have been prepared in accordance with U.S. GAAP. The preparation of financial statements in conformity with U.S. GAAP requires us to make estimates and assumptions that affect the reported amounts of assets and liabilities and disclosure of contingent assets and liabilities as of the date of the financial statements and the reported amounts of revenues and expenses during the reporting period. On an ongoing basis, we evaluate our estimates, including those related to accrued liabilities, revenue recognition, fair value of marketable securities, operating leases, right-of-use assets, lease liabilities, income taxes, and stock-based compensation. We base our estimates on historical experience and on various other market specific and relevant assumptions that we believe to be reasonable under the circumstances. Actual results could differ from those estimates.</w:t>
      </w:r>
    </w:p>
    <w:p>
      <w:pPr>
        <w:pStyle w:val="TextBody"/>
        <w:spacing w:before="360" w:after="0"/>
        <w:jc w:val="left"/>
        <w:rPr>
          <w:rFonts w:ascii="Times New Roman;serif" w:hAnsi="Times New Roman;serif"/>
          <w:b/>
          <w:sz w:val="20"/>
        </w:rPr>
      </w:pPr>
      <w:r>
        <w:rPr>
          <w:rFonts w:ascii="Times New Roman;serif" w:hAnsi="Times New Roman;serif"/>
          <w:b/>
          <w:sz w:val="20"/>
        </w:rPr>
        <w:t>Fair Value of Financial Instruments</w:t>
      </w:r>
    </w:p>
    <w:p>
      <w:pPr>
        <w:pStyle w:val="TextBody"/>
        <w:spacing w:before="120" w:after="0"/>
        <w:jc w:val="left"/>
        <w:rPr>
          <w:rFonts w:ascii="Times New Roman;serif" w:hAnsi="Times New Roman;serif"/>
          <w:b/>
          <w:i/>
          <w:sz w:val="20"/>
        </w:rPr>
      </w:pPr>
      <w:r>
        <w:rPr>
          <w:rFonts w:ascii="Times New Roman;serif" w:hAnsi="Times New Roman;serif"/>
          <w:b/>
          <w:i/>
          <w:sz w:val="20"/>
        </w:rPr>
        <w:t>Cash Equivalents and Marketable Securities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We consider all highly liquid investments with an original maturity of three months or less to be cash equivalents. We are subject to credit risk related to our cash equivalents and marketable securities. Our marketable debt securities include U.S. Treasury securities, municipal securities, government-sponsored enterprise securities, commercial paper and corporate notes.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We classify our marketable debt securities as available for sale. We record available-for-sale debt securities at fair value with unrealized gains and losses reported in accumulated other comprehensive income (loss) in stockholders’ equity. Realized gains and losses are included in interest income and are derived using the specific identification method for determining the cost of securities sold and have been insignificant to date. Dividend and interest income are recognized when earned and included in interest income on our condensed consolidated statements of operations. See Note 2 on Fair Value Measurements.</w:t>
      </w:r>
    </w:p>
    <w:p>
      <w:pPr>
        <w:pStyle w:val="TextBody"/>
        <w:spacing w:before="360" w:after="0"/>
        <w:jc w:val="left"/>
        <w:rPr>
          <w:rFonts w:ascii="Times New Roman;serif" w:hAnsi="Times New Roman;serif"/>
          <w:b/>
          <w:sz w:val="20"/>
        </w:rPr>
      </w:pPr>
      <w:r>
        <w:rPr>
          <w:rFonts w:ascii="Times New Roman;serif" w:hAnsi="Times New Roman;serif"/>
          <w:b/>
          <w:sz w:val="20"/>
        </w:rPr>
        <w:t>Leases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At the inception of an arrangement, we determine whether the arrangement is or contains a lease based on the unique facts and circumstances present. Operating leases are included in operating leases, right-of-use assets and lease liabilities on our condensed consolidated balance sheets. Right-of-use assets represent our right to use an underlying asset for the lease term and lease liabilities represent our obligation to make lease payments arising from the lease. Operating lease liabilities and their corresponding right-of-use assets are recorded based on the present value of remaining lease payments over the expected lease term. The present value of remaining lease payments within the 12 months following the balance sheet date are classified as current lease liabilities. The present value of lease payments not within the 12 months following the balance sheet date are classified as noncurrent lease liabilities. The interest rate implicit in lease contracts is typically not readily determinable. As such, to calculate the net present value of lease payments, we apply our incremental borrowing rate, which is the estimated rate to borrow on a collateralized basis over a similar term an amount equal to the lease payments in a similar economic environment as of the lease commencement date. We may adjust the right-of-use assets for certain adjustments, such as initial direct costs paid or incentives received. In addition, we include any options to extend or terminate the lease in the expected lease term when it is reasonably certain that we will exercise any such option. Lease expense is recognized on a straight-line basis over the expected lease term.</w:t>
      </w:r>
    </w:p>
    <w:p>
      <w:pPr>
        <w:pStyle w:val="TextBody"/>
        <w:spacing w:before="240" w:after="0"/>
        <w:jc w:val="left"/>
        <w:rPr>
          <w:rFonts w:ascii="Times New Roman" w:hAnsi="Times New Roman"/>
          <w:sz w:val="20"/>
        </w:rPr>
      </w:pPr>
      <w:r>
        <w:rPr>
          <w:rFonts w:ascii="Times New Roman;serif" w:hAnsi="Times New Roman;serif"/>
          <w:b w:val="false"/>
          <w:sz w:val="20"/>
        </w:rPr>
        <w:t>For lease agreements entered into after January 1, 2019 that include lease and non-lease components, such components are generally accounted for separately. We have also elected not to recognize on our condensed consolidated balance sheets leases with terms of one year or less.</w:t>
      </w:r>
      <w:r>
        <w:rPr>
          <w:rFonts w:ascii="Times New Roman" w:hAnsi="Times New Roman"/>
          <w:sz w:val="20"/>
        </w:rPr>
        <w:t xml:space="preserve"> </w:t>
      </w:r>
    </w:p>
    <w:p>
      <w:pPr>
        <w:pStyle w:val="TextBody"/>
        <w:spacing w:before="360" w:after="0"/>
        <w:jc w:val="left"/>
        <w:rPr>
          <w:rFonts w:ascii="Times New Roman;serif" w:hAnsi="Times New Roman;serif"/>
          <w:b/>
          <w:sz w:val="20"/>
        </w:rPr>
      </w:pPr>
      <w:r>
        <w:rPr>
          <w:rFonts w:ascii="Times New Roman;serif" w:hAnsi="Times New Roman;serif"/>
          <w:b/>
          <w:sz w:val="20"/>
        </w:rPr>
        <w:t>Debt Issuance Costs and Debt Discounts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Debt issuance costs include legal fees, accounting fees, and other direct costs incurred in connection with the execution of our debt financing. Debt discounts represent costs paid to the lenders. Debt issuance costs and debt discounts are deducted from the carrying amount of the debt liability and are amortized to interest expense over the term of the related debt using the effective interest method.</w:t>
      </w:r>
    </w:p>
    <w:p>
      <w:pPr>
        <w:pStyle w:val="TextBody"/>
        <w:spacing w:before="360" w:after="0"/>
        <w:jc w:val="left"/>
        <w:rPr>
          <w:rFonts w:ascii="Times New Roman;serif" w:hAnsi="Times New Roman;serif"/>
          <w:b/>
          <w:sz w:val="20"/>
        </w:rPr>
      </w:pPr>
      <w:r>
        <w:rPr>
          <w:rFonts w:ascii="Times New Roman;serif" w:hAnsi="Times New Roman;serif"/>
          <w:b/>
          <w:sz w:val="20"/>
        </w:rPr>
        <w:t>Revenue Recognition</w:t>
      </w:r>
    </w:p>
    <w:p>
      <w:pPr>
        <w:pStyle w:val="TextBody"/>
        <w:spacing w:before="120" w:after="0"/>
        <w:jc w:val="left"/>
        <w:rPr>
          <w:rFonts w:ascii="Times New Roman" w:hAnsi="Times New Roman"/>
          <w:sz w:val="20"/>
        </w:rPr>
      </w:pPr>
      <w:r>
        <w:rPr>
          <w:rFonts w:ascii="Times New Roman;serif" w:hAnsi="Times New Roman;serif"/>
          <w:b w:val="false"/>
          <w:sz w:val="20"/>
        </w:rPr>
        <w:t xml:space="preserve">We recognize revenue in accordance with the provisions of Accounting Standards Codification Topic 606, </w:t>
      </w:r>
      <w:r>
        <w:rPr>
          <w:rFonts w:ascii="Times New Roman;serif" w:hAnsi="Times New Roman;serif"/>
          <w:b w:val="false"/>
          <w:i/>
          <w:sz w:val="20"/>
        </w:rPr>
        <w:t>Revenue from Contracts with Customers</w:t>
      </w:r>
      <w:r>
        <w:rPr>
          <w:rFonts w:ascii="Times New Roman;serif" w:hAnsi="Times New Roman;serif"/>
          <w:b w:val="false"/>
          <w:sz w:val="20"/>
        </w:rPr>
        <w:t>, or Topic 606. In determining the appropriate amount and timing of revenue to be recognized under this guidance, we perform the following five steps: (i) identify the contract(s) with our customer; (ii) identify the promised goods or services in the agreement and determine whether they are performance obligations, including whether they are distinct in the context of the agreement; (iii) measure the transaction price, including the constraint on variable consideration; (iv) allocate the transaction</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9</w:t>
      </w:r>
    </w:p>
    <w:p>
      <w:pPr>
        <w:pStyle w:val="HorizontalLine"/>
        <w:rPr/>
      </w:pPr>
      <w:r>
        <w:rPr/>
      </w:r>
    </w:p>
    <w:p>
      <w:pPr>
        <w:pStyle w:val="TextBody"/>
        <w:spacing w:before="0" w:after="0"/>
        <w:jc w:val="center"/>
        <w:rPr>
          <w:rFonts w:ascii="Times New Roman;serif" w:hAnsi="Times New Roman;serif"/>
          <w:b/>
          <w:sz w:val="20"/>
        </w:rPr>
      </w:pPr>
      <w:r>
        <w:rPr>
          <w:rFonts w:ascii="Times New Roman;serif" w:hAnsi="Times New Roman;serif"/>
          <w:b/>
          <w:sz w:val="20"/>
        </w:rPr>
        <w:t>GERON CORPORATION</w:t>
      </w:r>
    </w:p>
    <w:p>
      <w:pPr>
        <w:pStyle w:val="TextBody"/>
        <w:spacing w:before="0" w:after="0"/>
        <w:jc w:val="center"/>
        <w:rPr>
          <w:rFonts w:ascii="Times New Roman;serif" w:hAnsi="Times New Roman;serif"/>
          <w:b/>
          <w:sz w:val="20"/>
        </w:rPr>
      </w:pPr>
      <w:r>
        <w:rPr>
          <w:rFonts w:ascii="Times New Roman;serif" w:hAnsi="Times New Roman;serif"/>
          <w:b/>
          <w:sz w:val="20"/>
        </w:rPr>
        <w:t>NOTES TO CONDENSED CONSOLIDATED FINANCIAL STATEMENTS</w:t>
      </w:r>
    </w:p>
    <w:p>
      <w:pPr>
        <w:pStyle w:val="TextBody"/>
        <w:spacing w:before="0" w:after="0"/>
        <w:jc w:val="center"/>
        <w:rPr>
          <w:rFonts w:ascii="Times New Roman;serif" w:hAnsi="Times New Roman;serif"/>
          <w:b/>
          <w:caps/>
          <w:sz w:val="20"/>
        </w:rPr>
      </w:pPr>
      <w:r>
        <w:rPr>
          <w:rFonts w:ascii="Times New Roman;serif" w:hAnsi="Times New Roman;serif"/>
          <w:b/>
          <w:caps/>
          <w:sz w:val="20"/>
        </w:rPr>
        <w:t>March 31, 2023</w:t>
      </w:r>
    </w:p>
    <w:p>
      <w:pPr>
        <w:pStyle w:val="TextBody"/>
        <w:spacing w:before="0" w:after="0"/>
        <w:jc w:val="center"/>
        <w:rPr>
          <w:rFonts w:ascii="Times New Roman" w:hAnsi="Times New Roman"/>
          <w:sz w:val="20"/>
        </w:rPr>
      </w:pPr>
      <w:r>
        <w:rPr>
          <w:rFonts w:ascii="Times New Roman;serif" w:hAnsi="Times New Roman;serif"/>
          <w:b/>
          <w:sz w:val="20"/>
        </w:rPr>
        <w:t>(UNAUDITED</w:t>
      </w:r>
      <w:r>
        <w:rPr>
          <w:rFonts w:ascii="Times New Roman;serif" w:hAnsi="Times New Roman;serif"/>
          <w:b w:val="false"/>
          <w:sz w:val="20"/>
        </w:rPr>
        <w:t>)</w:t>
      </w:r>
    </w:p>
    <w:p>
      <w:pPr>
        <w:pStyle w:val="TextBody"/>
        <w:spacing w:before="0" w:after="0"/>
        <w:jc w:val="center"/>
        <w:rPr/>
      </w:pPr>
      <w:r>
        <w:rPr/>
        <w:t> </w:t>
      </w:r>
    </w:p>
    <w:p>
      <w:pPr>
        <w:pStyle w:val="TextBody"/>
        <w:spacing w:before="120" w:after="0"/>
        <w:jc w:val="left"/>
        <w:rPr>
          <w:rFonts w:ascii="Times New Roman" w:hAnsi="Times New Roman"/>
          <w:sz w:val="20"/>
        </w:rPr>
      </w:pPr>
      <w:r>
        <w:rPr>
          <w:rFonts w:ascii="Times New Roman;serif" w:hAnsi="Times New Roman;serif"/>
          <w:b w:val="false"/>
          <w:sz w:val="20"/>
        </w:rPr>
        <w:t>price to the performance obligations based on stand-alone selling prices; and (v) recognize revenue when (or as) we satisfy each performance obligation.</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A performance obligation is a promise in an agreement to transfer a distinct good or service to the customer and is the unit of account in Topic 606. Significant management judgment is required to determine the level of effort required and the period over which completion of the performance obligations is expected under an agreement. If reasonable estimates regarding when performance obligations are either complete or substantially complete cannot be made, then revenue recognition is deferred until a reasonable estimate can be made. Revenue is then recognized over the remaining estimated period of performance using the cumulative catch-up method.</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We allocate the total transaction price to each performance obligation based on the estimated relative stand-alone selling prices of the promised goods or services underlying each performance obligation. Estimated selling prices for license rights are calculated using an income approach model and include the following key assumptions, judgments and estimates: the development timeline, revenue forecast, commercialization expenses, discount rate and probabilities of technical and regulatory success.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Following is a description of the principal activities from which we generate revenue. License fees and royalty revenue primarily represent amounts earned under agreements that out-license our technology to various companies.</w:t>
      </w:r>
      <w:r>
        <w:rPr>
          <w:rFonts w:ascii="Times New Roman" w:hAnsi="Times New Roman"/>
          <w:sz w:val="20"/>
        </w:rPr>
        <w:t xml:space="preserve"> </w:t>
      </w:r>
    </w:p>
    <w:p>
      <w:pPr>
        <w:pStyle w:val="TextBody"/>
        <w:spacing w:before="360" w:after="0"/>
        <w:jc w:val="left"/>
        <w:rPr>
          <w:rFonts w:ascii="Times New Roman;serif" w:hAnsi="Times New Roman;serif"/>
          <w:b/>
          <w:i/>
          <w:sz w:val="20"/>
        </w:rPr>
      </w:pPr>
      <w:r>
        <w:rPr>
          <w:rFonts w:ascii="Times New Roman;serif" w:hAnsi="Times New Roman;serif"/>
          <w:b/>
          <w:i/>
          <w:sz w:val="20"/>
        </w:rPr>
        <w:t>License Agreements</w:t>
      </w:r>
    </w:p>
    <w:p>
      <w:pPr>
        <w:pStyle w:val="TextBody"/>
        <w:spacing w:before="120" w:after="0"/>
        <w:jc w:val="left"/>
        <w:rPr>
          <w:rFonts w:ascii="Times New Roman" w:hAnsi="Times New Roman"/>
          <w:sz w:val="20"/>
        </w:rPr>
      </w:pPr>
      <w:r>
        <w:rPr>
          <w:rFonts w:ascii="Times New Roman;serif" w:hAnsi="Times New Roman;serif"/>
          <w:b w:val="false"/>
          <w:sz w:val="20"/>
        </w:rPr>
        <w:t>We previously entered into several license agreements with various oncology, diagnostics, research tools and biologics production companies, whereby we granted certain rights to our non-imetelstat related technologies. Under these agreements, non-refundable upfront fees and annual license maintenance fees were considered fixed consideration, while milestone payments and royalties were identified as variable consideration. Since June 30, 2021, no active license agreements remain.</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In connection with the divestiture of Geron’s human embryonic stem cell assets, including intellectual property and proprietary technology, to Lineage Cell Therapeutics, Inc. (formerly BioTime, Inc. which acquired Asterias Biotherapeutics, Inc.) in 2013, we are entitled to receive royalties on sales of certain research or commercial products utilizing Geron’s divested intellectual property.</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i/>
          <w:sz w:val="20"/>
        </w:rPr>
        <w:t>Royalties</w:t>
      </w:r>
      <w:r>
        <w:rPr>
          <w:rFonts w:ascii="Times New Roman;serif" w:hAnsi="Times New Roman;serif"/>
          <w:b w:val="false"/>
          <w:sz w:val="20"/>
        </w:rPr>
        <w:t>. For agreements with sales-based royalties, including milestone payments based on the level of sales, where the license is deemed to be the predominant item to which the royalties relate, we recognize revenue at the later of (a) when the related sales occur, or (b) when the performance obligation, to which some or all of the royalty has been allocated, has been satisfied (or partially satisfied). At each reporting date, we estimate the sales incurred by each licensee during the reporting period based on historical experience and accrue the associated royalty amount.</w:t>
      </w:r>
    </w:p>
    <w:p>
      <w:pPr>
        <w:pStyle w:val="TextBody"/>
        <w:spacing w:before="360" w:after="0"/>
        <w:jc w:val="left"/>
        <w:rPr>
          <w:rFonts w:ascii="Times New Roman;serif" w:hAnsi="Times New Roman;serif"/>
          <w:b/>
          <w:sz w:val="20"/>
        </w:rPr>
      </w:pPr>
      <w:r>
        <w:rPr>
          <w:rFonts w:ascii="Times New Roman;serif" w:hAnsi="Times New Roman;serif"/>
          <w:b/>
          <w:sz w:val="20"/>
        </w:rPr>
        <w:t>Restricted Cash</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Restricted cash consists of funds maintained in separate money market or certificate of deposit accounts for credit card purchases.</w:t>
      </w:r>
    </w:p>
    <w:p>
      <w:pPr>
        <w:pStyle w:val="TextBody"/>
        <w:spacing w:before="360" w:after="0"/>
        <w:jc w:val="left"/>
        <w:rPr>
          <w:rFonts w:ascii="Times New Roman;serif" w:hAnsi="Times New Roman;serif"/>
          <w:b/>
          <w:sz w:val="20"/>
        </w:rPr>
      </w:pPr>
      <w:r>
        <w:rPr>
          <w:rFonts w:ascii="Times New Roman;serif" w:hAnsi="Times New Roman;serif"/>
          <w:b/>
          <w:sz w:val="20"/>
        </w:rPr>
        <w:t>Research and Development Expenses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Research and development expenses currently consist of expenses incurred in developing and testing imetelstat and research related to potential next generation telomerase inhibitors. These expenses include, but are not limited to, payroll and personnel expense, lab supplies, non-clinical studies, clinical trials, including support for investigator-led clinical trials, raw materials to manufacture clinical trial drugs, manufacturing costs for research and clinical trial materials, sponsored research at other labs, consulting, costs to maintain technology licenses and research-related overhead.</w:t>
      </w:r>
    </w:p>
    <w:p>
      <w:pPr>
        <w:pStyle w:val="TextBody"/>
        <w:spacing w:before="240" w:after="0"/>
        <w:jc w:val="left"/>
        <w:rPr>
          <w:rFonts w:ascii="Times New Roman" w:hAnsi="Times New Roman"/>
          <w:sz w:val="20"/>
        </w:rPr>
      </w:pPr>
      <w:r>
        <w:rPr>
          <w:rFonts w:ascii="Times New Roman;serif" w:hAnsi="Times New Roman;serif"/>
          <w:b w:val="false"/>
          <w:sz w:val="20"/>
        </w:rPr>
        <w:t>Our current imetelstat clinical trials are being supported by contract research organizations, or CROs, and other vendors. We accrue expenses for clinical trial activities performed by CROs based upon the estimated amount of work completed on each trial. For clinical trial expenses and related expenses associated with the conduct of clinical trials, the significant factors used in estimating accruals include the number of patients enrolled, the number of active clinical sites, and the duration for which the patients have been enrolled in the trial. We monitor patient enrollment levels and related activities to the extent possible through internal reviews, review of contractual terms and correspondence with CROs. We base our estimates on the best information available at the time. However, additional information may become available to us which will allow us to make a more accurate estimate in future periods. In that event, we may be required to record adjustments to research and development expenses in future periods when the actual level of activity becomes more certain.</w:t>
      </w:r>
      <w:r>
        <w:rPr>
          <w:rFonts w:ascii="Times New Roman" w:hAnsi="Times New Roman"/>
          <w:sz w:val="20"/>
        </w:rPr>
        <w:t xml:space="preserve"> </w:t>
      </w:r>
    </w:p>
    <w:p>
      <w:pPr>
        <w:pStyle w:val="TextBody"/>
        <w:spacing w:before="360" w:after="0"/>
        <w:jc w:val="left"/>
        <w:rPr>
          <w:rFonts w:ascii="Times New Roman;serif" w:hAnsi="Times New Roman;serif"/>
          <w:b/>
          <w:sz w:val="20"/>
        </w:rPr>
      </w:pPr>
      <w:r>
        <w:rPr>
          <w:rFonts w:ascii="Times New Roman;serif" w:hAnsi="Times New Roman;serif"/>
          <w:b/>
          <w:sz w:val="20"/>
        </w:rPr>
        <w:t>Depreciation and Amortization</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10</w:t>
      </w:r>
    </w:p>
    <w:p>
      <w:pPr>
        <w:pStyle w:val="HorizontalLine"/>
        <w:rPr/>
      </w:pPr>
      <w:r>
        <w:rPr/>
      </w:r>
    </w:p>
    <w:p>
      <w:pPr>
        <w:pStyle w:val="TextBody"/>
        <w:spacing w:before="0" w:after="0"/>
        <w:jc w:val="center"/>
        <w:rPr>
          <w:rFonts w:ascii="Times New Roman;serif" w:hAnsi="Times New Roman;serif"/>
          <w:b/>
          <w:sz w:val="20"/>
        </w:rPr>
      </w:pPr>
      <w:r>
        <w:rPr>
          <w:rFonts w:ascii="Times New Roman;serif" w:hAnsi="Times New Roman;serif"/>
          <w:b/>
          <w:sz w:val="20"/>
        </w:rPr>
        <w:t>GERON CORPORATION</w:t>
      </w:r>
    </w:p>
    <w:p>
      <w:pPr>
        <w:pStyle w:val="TextBody"/>
        <w:spacing w:before="0" w:after="0"/>
        <w:jc w:val="center"/>
        <w:rPr>
          <w:rFonts w:ascii="Times New Roman;serif" w:hAnsi="Times New Roman;serif"/>
          <w:b/>
          <w:sz w:val="20"/>
        </w:rPr>
      </w:pPr>
      <w:r>
        <w:rPr>
          <w:rFonts w:ascii="Times New Roman;serif" w:hAnsi="Times New Roman;serif"/>
          <w:b/>
          <w:sz w:val="20"/>
        </w:rPr>
        <w:t>NOTES TO CONDENSED CONSOLIDATED FINANCIAL STATEMENTS</w:t>
      </w:r>
    </w:p>
    <w:p>
      <w:pPr>
        <w:pStyle w:val="TextBody"/>
        <w:spacing w:before="0" w:after="0"/>
        <w:jc w:val="center"/>
        <w:rPr>
          <w:rFonts w:ascii="Times New Roman;serif" w:hAnsi="Times New Roman;serif"/>
          <w:b/>
          <w:caps/>
          <w:sz w:val="20"/>
        </w:rPr>
      </w:pPr>
      <w:r>
        <w:rPr>
          <w:rFonts w:ascii="Times New Roman;serif" w:hAnsi="Times New Roman;serif"/>
          <w:b/>
          <w:caps/>
          <w:sz w:val="20"/>
        </w:rPr>
        <w:t>March 31, 2023</w:t>
      </w:r>
    </w:p>
    <w:p>
      <w:pPr>
        <w:pStyle w:val="TextBody"/>
        <w:spacing w:before="0" w:after="0"/>
        <w:jc w:val="center"/>
        <w:rPr>
          <w:rFonts w:ascii="Times New Roman" w:hAnsi="Times New Roman"/>
          <w:sz w:val="20"/>
        </w:rPr>
      </w:pPr>
      <w:r>
        <w:rPr>
          <w:rFonts w:ascii="Times New Roman;serif" w:hAnsi="Times New Roman;serif"/>
          <w:b/>
          <w:sz w:val="20"/>
        </w:rPr>
        <w:t>(UNAUDITED</w:t>
      </w:r>
      <w:r>
        <w:rPr>
          <w:rFonts w:ascii="Times New Roman;serif" w:hAnsi="Times New Roman;serif"/>
          <w:b w:val="false"/>
          <w:sz w:val="20"/>
        </w:rPr>
        <w:t>)</w:t>
      </w:r>
    </w:p>
    <w:p>
      <w:pPr>
        <w:pStyle w:val="TextBody"/>
        <w:spacing w:before="0" w:after="0"/>
        <w:jc w:val="center"/>
        <w:rPr/>
      </w:pPr>
      <w:r>
        <w:rPr/>
        <w: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record property and equipment at cost and calculate depreciation using the straight-line method over the estimated useful lives of the assets, generally four years. Leasehold improvements are amortized over the shorter of the estimated useful life or remaining term of the lease.</w:t>
      </w:r>
    </w:p>
    <w:p>
      <w:pPr>
        <w:pStyle w:val="TextBody"/>
        <w:spacing w:before="360" w:after="0"/>
        <w:jc w:val="left"/>
        <w:rPr>
          <w:rFonts w:ascii="Times New Roman;serif" w:hAnsi="Times New Roman;serif"/>
          <w:b/>
          <w:sz w:val="20"/>
        </w:rPr>
      </w:pPr>
      <w:r>
        <w:rPr>
          <w:rFonts w:ascii="Times New Roman;serif" w:hAnsi="Times New Roman;serif"/>
          <w:b/>
          <w:sz w:val="20"/>
        </w:rPr>
        <w:t>Stock-Based Compensation</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maintain various stock incentive plans under which stock options and restricted stock awards can be granted to employees, non-employee directors and consultants. We also have an employee stock purchase plan for all eligible employees. We recognize stock-based compensation expense based on grant-date fair values of service-based stock options on a straight-line basis over the requisite service period, which is generally the vesting period. For performance-based stock options with vesting based on the achievement of certain strategic milestones, stock-based compensation expense is recognized over the period from the date the performance condition is determined to be probable of occurring through the date the applicable condition is expected to be met and is reduced for estimated forfeitures, as applicable. If the performance condition is not considered probable of being achieved, no stock-based compensation expense is recognized until such time as the performance condition is considered probable of being met, if at all. If the assessment of probability of the performance condition changes, the impact of the change in estimate would be recognized in the period of the change. The determination of grant-date fair values for our service-based and performance-based stock options and employee stock purchases using the Black Scholes option</w:t>
        <w:noBreakHyphen/>
        <w:t>pricing model is affected by our stock price as well as assumptions regarding a number of complex and subjective variables. The grant-date fair value for service-based restricted stock awards is determined using the fair value of our common stock on the date of grant. We evaluate whether an adjustment to the assumptions of fair value of our common stock and historical volatility are required if observed prices of our common stock materially differ from historical information.</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following table summarizes the stock-based compensation expense included in operating expenses on our condensed consolidated statements of operations related to stock options and employee stock purchases for the three months ended March 31, 2023 and 2022, which was allocated as follows:</w:t>
      </w:r>
    </w:p>
    <w:p>
      <w:pPr>
        <w:pStyle w:val="TextBody"/>
        <w:spacing w:before="0" w:after="0"/>
        <w:jc w:val="left"/>
        <w:rPr/>
      </w:pPr>
      <w:r>
        <w:rPr/>
        <w:t> </w:t>
      </w:r>
    </w:p>
    <w:tbl>
      <w:tblPr>
        <w:tblW w:w="8314" w:type="dxa"/>
        <w:jc w:val="left"/>
        <w:tblInd w:w="0" w:type="dxa"/>
        <w:tblCellMar>
          <w:top w:w="28" w:type="dxa"/>
          <w:left w:w="28" w:type="dxa"/>
          <w:bottom w:w="28" w:type="dxa"/>
          <w:right w:w="28" w:type="dxa"/>
        </w:tblCellMar>
      </w:tblPr>
      <w:tblGrid>
        <w:gridCol w:w="5581"/>
        <w:gridCol w:w="146"/>
        <w:gridCol w:w="272"/>
        <w:gridCol w:w="738"/>
        <w:gridCol w:w="188"/>
        <w:gridCol w:w="188"/>
        <w:gridCol w:w="272"/>
        <w:gridCol w:w="738"/>
        <w:gridCol w:w="191"/>
      </w:tblGrid>
      <w:tr>
        <w:trPr/>
        <w:tc>
          <w:tcPr>
            <w:tcW w:w="55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738"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738"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55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9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55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(In thousands)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1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8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88" w:type="dxa"/>
            <w:tcBorders/>
            <w:shd w:fill="auto" w:val="clear"/>
            <w:vAlign w:val="center"/>
          </w:tcPr>
          <w:p>
            <w:pPr>
              <w:pStyle w:val="TableContents"/>
              <w:spacing w:before="0" w:after="0"/>
              <w:ind w:left="0" w:right="0" w:hanging="0"/>
              <w:jc w:val="left"/>
              <w:rPr/>
            </w:pPr>
            <w:r>
              <w:rPr/>
              <w:t> </w:t>
            </w:r>
          </w:p>
        </w:tc>
        <w:tc>
          <w:tcPr>
            <w:tcW w:w="101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55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Research and development</w:t>
            </w:r>
          </w:p>
        </w:tc>
        <w:tc>
          <w:tcPr>
            <w:tcW w:w="146" w:type="dxa"/>
            <w:tcBorders/>
            <w:shd w:fill="auto" w:val="clear"/>
            <w:vAlign w:val="center"/>
          </w:tcPr>
          <w:p>
            <w:pPr>
              <w:pStyle w:val="TableContents"/>
              <w:spacing w:before="0" w:after="0"/>
              <w:ind w:left="0" w:right="0" w:hanging="0"/>
              <w:jc w:val="left"/>
              <w:rPr/>
            </w:pPr>
            <w:r>
              <w:rPr/>
              <w:t> </w:t>
            </w:r>
          </w:p>
        </w:tc>
        <w:tc>
          <w:tcPr>
            <w:tcW w:w="27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1,306</w:t>
            </w:r>
          </w:p>
        </w:tc>
        <w:tc>
          <w:tcPr>
            <w:tcW w:w="188" w:type="dxa"/>
            <w:tcBorders/>
            <w:shd w:fill="auto" w:val="clear"/>
            <w:vAlign w:val="center"/>
          </w:tcPr>
          <w:p>
            <w:pPr>
              <w:pStyle w:val="TableContents"/>
              <w:spacing w:before="0" w:after="0"/>
              <w:ind w:left="0" w:right="0" w:hanging="0"/>
              <w:jc w:val="left"/>
              <w:rPr/>
            </w:pPr>
            <w:r>
              <w:rPr/>
              <w:t> </w:t>
            </w:r>
          </w:p>
        </w:tc>
        <w:tc>
          <w:tcPr>
            <w:tcW w:w="188" w:type="dxa"/>
            <w:tcBorders/>
            <w:shd w:fill="auto" w:val="clear"/>
            <w:vAlign w:val="center"/>
          </w:tcPr>
          <w:p>
            <w:pPr>
              <w:pStyle w:val="TableContents"/>
              <w:spacing w:before="0" w:after="0"/>
              <w:ind w:left="0" w:right="0" w:hanging="0"/>
              <w:jc w:val="left"/>
              <w:rPr/>
            </w:pPr>
            <w:r>
              <w:rPr/>
              <w:t> </w:t>
            </w:r>
          </w:p>
        </w:tc>
        <w:tc>
          <w:tcPr>
            <w:tcW w:w="27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855</w:t>
            </w:r>
          </w:p>
        </w:tc>
        <w:tc>
          <w:tcPr>
            <w:tcW w:w="191" w:type="dxa"/>
            <w:tcBorders/>
            <w:shd w:fill="auto" w:val="clear"/>
            <w:vAlign w:val="center"/>
          </w:tcPr>
          <w:p>
            <w:pPr>
              <w:pStyle w:val="TableContents"/>
              <w:spacing w:before="0" w:after="0"/>
              <w:ind w:left="0" w:right="0" w:hanging="0"/>
              <w:jc w:val="left"/>
              <w:rPr/>
            </w:pPr>
            <w:r>
              <w:rPr/>
              <w:t> </w:t>
            </w:r>
          </w:p>
        </w:tc>
      </w:tr>
      <w:tr>
        <w:trPr/>
        <w:tc>
          <w:tcPr>
            <w:tcW w:w="55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General and administrative</w:t>
            </w:r>
          </w:p>
        </w:tc>
        <w:tc>
          <w:tcPr>
            <w:tcW w:w="146" w:type="dxa"/>
            <w:tcBorders/>
            <w:shd w:fill="auto" w:val="clear"/>
            <w:vAlign w:val="center"/>
          </w:tcPr>
          <w:p>
            <w:pPr>
              <w:pStyle w:val="TableContents"/>
              <w:spacing w:before="0" w:after="0"/>
              <w:ind w:left="0" w:right="0" w:hanging="0"/>
              <w:jc w:val="left"/>
              <w:rPr/>
            </w:pPr>
            <w:r>
              <w:rPr/>
              <w:t> </w:t>
            </w:r>
          </w:p>
        </w:tc>
        <w:tc>
          <w:tcPr>
            <w:tcW w:w="27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1,655</w:t>
            </w:r>
          </w:p>
        </w:tc>
        <w:tc>
          <w:tcPr>
            <w:tcW w:w="18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8" w:type="dxa"/>
            <w:tcBorders/>
            <w:shd w:fill="auto" w:val="clear"/>
            <w:vAlign w:val="center"/>
          </w:tcPr>
          <w:p>
            <w:pPr>
              <w:pStyle w:val="TableContents"/>
              <w:spacing w:before="0" w:after="0"/>
              <w:ind w:left="0" w:right="0" w:hanging="0"/>
              <w:jc w:val="left"/>
              <w:rPr/>
            </w:pPr>
            <w:r>
              <w:rPr/>
              <w:t> </w:t>
            </w:r>
          </w:p>
        </w:tc>
        <w:tc>
          <w:tcPr>
            <w:tcW w:w="27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837</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5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Stock-based compensation expense included in operating expenses</w:t>
            </w:r>
          </w:p>
        </w:tc>
        <w:tc>
          <w:tcPr>
            <w:tcW w:w="146" w:type="dxa"/>
            <w:tcBorders/>
            <w:shd w:fill="auto" w:val="clear"/>
            <w:vAlign w:val="center"/>
          </w:tcPr>
          <w:p>
            <w:pPr>
              <w:pStyle w:val="TableContents"/>
              <w:spacing w:before="0" w:after="0"/>
              <w:ind w:left="0" w:right="0" w:hanging="0"/>
              <w:jc w:val="left"/>
              <w:rPr/>
            </w:pPr>
            <w:r>
              <w:rPr/>
              <w:t> </w:t>
            </w:r>
          </w:p>
        </w:tc>
        <w:tc>
          <w:tcPr>
            <w:tcW w:w="27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2,961</w:t>
            </w:r>
          </w:p>
        </w:tc>
        <w:tc>
          <w:tcPr>
            <w:tcW w:w="18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8" w:type="dxa"/>
            <w:tcBorders/>
            <w:shd w:fill="auto" w:val="clear"/>
            <w:vAlign w:val="center"/>
          </w:tcPr>
          <w:p>
            <w:pPr>
              <w:pStyle w:val="TableContents"/>
              <w:spacing w:before="0" w:after="0"/>
              <w:ind w:left="0" w:right="0" w:hanging="0"/>
              <w:jc w:val="left"/>
              <w:rPr/>
            </w:pPr>
            <w:r>
              <w:rPr/>
              <w:t> </w:t>
            </w:r>
          </w:p>
        </w:tc>
        <w:tc>
          <w:tcPr>
            <w:tcW w:w="27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1,692</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40" w:after="0"/>
        <w:jc w:val="left"/>
        <w:rPr>
          <w:rFonts w:ascii="Times New Roman" w:hAnsi="Times New Roman"/>
          <w:sz w:val="20"/>
        </w:rPr>
      </w:pPr>
      <w:r>
        <w:rPr>
          <w:rFonts w:ascii="Times New Roman;serif" w:hAnsi="Times New Roman;serif"/>
          <w:b w:val="false"/>
          <w:sz w:val="20"/>
        </w:rPr>
        <w:t>As stock-based compensation expense recognized in our condensed consolidated statements of operations for the three months ended March 31, 2023 and 2022 is based on awards ultimately expected to vest, it has been reduced for estimated forfeitures, but at a minimum, reflects the grant-date fair value of those awards that actually vested in the period. Forfeitures have been estimated at the time of grant based on historical data and revised, if necessary, in subsequent periods if actual forfeitures differ from those estimates. We have not recognized any stock-based compensation expense for performance-based stock options on our condensed consolidated statements of operations for the three months ended March 31, 2023 and 2022, as achievement of the specified strategic milestones was not considered probable at that time.</w:t>
      </w:r>
      <w:r>
        <w:rPr>
          <w:rFonts w:ascii="Times New Roman" w:hAnsi="Times New Roman"/>
          <w:sz w:val="20"/>
        </w:rPr>
        <w:t xml:space="preserve"> </w:t>
      </w:r>
    </w:p>
    <w:p>
      <w:pPr>
        <w:pStyle w:val="TextBody"/>
        <w:spacing w:before="360" w:after="0"/>
        <w:jc w:val="left"/>
        <w:rPr>
          <w:rFonts w:ascii="Times New Roman;serif" w:hAnsi="Times New Roman;serif"/>
          <w:b/>
          <w:i/>
          <w:sz w:val="20"/>
        </w:rPr>
      </w:pPr>
      <w:r>
        <w:rPr>
          <w:rFonts w:ascii="Times New Roman;serif" w:hAnsi="Times New Roman;serif"/>
          <w:b/>
          <w:i/>
          <w:sz w:val="20"/>
        </w:rPr>
        <w:t>Stock Options</w:t>
      </w:r>
    </w:p>
    <w:p>
      <w:pPr>
        <w:pStyle w:val="TextBody"/>
        <w:spacing w:before="120" w:after="0"/>
        <w:jc w:val="left"/>
        <w:rPr>
          <w:rFonts w:ascii="Times New Roman" w:hAnsi="Times New Roman"/>
          <w:sz w:val="20"/>
        </w:rPr>
      </w:pPr>
      <w:r>
        <w:rPr>
          <w:rFonts w:ascii="Times New Roman;serif" w:hAnsi="Times New Roman;serif"/>
          <w:b w:val="false"/>
          <w:sz w:val="20"/>
        </w:rPr>
        <w:t>We grant service-based and performance-based stock options under our equity plans to employees, non-employee directors and consultants. The service-based vesting period for employee stock options is generally four years</w:t>
      </w:r>
      <w:r>
        <w:rPr>
          <w:rFonts w:ascii="Times New Roman" w:hAnsi="Times New Roman"/>
          <w:sz w:val="20"/>
        </w:rPr>
        <w:t xml:space="preserve"> </w:t>
      </w:r>
      <w:r>
        <w:rPr>
          <w:rFonts w:ascii="Times New Roman;serif" w:hAnsi="Times New Roman;serif"/>
          <w:b w:val="false"/>
          <w:sz w:val="20"/>
        </w:rPr>
        <w:t>from the date of the stock option grant. Performance-based stock options vest upon the achievement of specified strategic milestones. The fair value of service-based stock options granted during the three months ended March 31, 2023 and 2022 has been estimated at the date of grant using the Black Scholes option-pricing model with the following assumptions:</w:t>
      </w:r>
    </w:p>
    <w:tbl>
      <w:tblPr>
        <w:tblW w:w="5920" w:type="dxa"/>
        <w:jc w:val="left"/>
        <w:tblInd w:w="0" w:type="dxa"/>
        <w:tblCellMar>
          <w:top w:w="28" w:type="dxa"/>
          <w:left w:w="28" w:type="dxa"/>
          <w:bottom w:w="28" w:type="dxa"/>
          <w:right w:w="28" w:type="dxa"/>
        </w:tblCellMar>
      </w:tblPr>
      <w:tblGrid>
        <w:gridCol w:w="2341"/>
        <w:gridCol w:w="146"/>
        <w:gridCol w:w="1621"/>
        <w:gridCol w:w="146"/>
        <w:gridCol w:w="1666"/>
      </w:tblGrid>
      <w:tr>
        <w:trPr/>
        <w:tc>
          <w:tcPr>
            <w:tcW w:w="234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62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666" w:type="dxa"/>
            <w:tcBorders/>
            <w:shd w:fill="auto" w:val="clear"/>
            <w:vAlign w:val="center"/>
          </w:tcPr>
          <w:p>
            <w:pPr>
              <w:pStyle w:val="TableContents"/>
              <w:spacing w:before="0" w:after="283"/>
              <w:rPr>
                <w:sz w:val="4"/>
                <w:szCs w:val="4"/>
              </w:rPr>
            </w:pPr>
            <w:r>
              <w:rPr>
                <w:sz w:val="4"/>
                <w:szCs w:val="4"/>
              </w:rPr>
            </w:r>
          </w:p>
        </w:tc>
      </w:tr>
      <w:tr>
        <w:trPr/>
        <w:tc>
          <w:tcPr>
            <w:tcW w:w="23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433" w:type="dxa"/>
            <w:gridSpan w:val="3"/>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r>
      <w:tr>
        <w:trPr/>
        <w:tc>
          <w:tcPr>
            <w:tcW w:w="23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r>
      <w:tr>
        <w:trPr/>
        <w:tc>
          <w:tcPr>
            <w:tcW w:w="23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Dividend yield</w:t>
            </w:r>
          </w:p>
        </w:tc>
        <w:tc>
          <w:tcPr>
            <w:tcW w:w="146" w:type="dxa"/>
            <w:tcBorders/>
            <w:shd w:fill="auto" w:val="clear"/>
            <w:vAlign w:val="center"/>
          </w:tcPr>
          <w:p>
            <w:pPr>
              <w:pStyle w:val="TableContents"/>
              <w:spacing w:before="0" w:after="0"/>
              <w:ind w:left="0" w:right="0" w:hanging="0"/>
              <w:jc w:val="left"/>
              <w:rPr/>
            </w:pPr>
            <w:r>
              <w:rPr/>
              <w:t> </w:t>
            </w:r>
          </w:p>
        </w:tc>
        <w:tc>
          <w:tcPr>
            <w:tcW w:w="162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0%</w:t>
            </w:r>
          </w:p>
        </w:tc>
        <w:tc>
          <w:tcPr>
            <w:tcW w:w="146" w:type="dxa"/>
            <w:tcBorders/>
            <w:shd w:fill="auto" w:val="clear"/>
            <w:vAlign w:val="center"/>
          </w:tcPr>
          <w:p>
            <w:pPr>
              <w:pStyle w:val="TableContents"/>
              <w:spacing w:before="0" w:after="0"/>
              <w:ind w:left="0" w:right="0" w:hanging="0"/>
              <w:jc w:val="left"/>
              <w:rPr/>
            </w:pPr>
            <w:r>
              <w:rPr/>
              <w:t> </w:t>
            </w:r>
          </w:p>
        </w:tc>
        <w:tc>
          <w:tcPr>
            <w:tcW w:w="166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0%</w:t>
            </w:r>
          </w:p>
        </w:tc>
      </w:tr>
      <w:tr>
        <w:trPr/>
        <w:tc>
          <w:tcPr>
            <w:tcW w:w="23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Expected volatility range</w:t>
            </w:r>
          </w:p>
        </w:tc>
        <w:tc>
          <w:tcPr>
            <w:tcW w:w="146" w:type="dxa"/>
            <w:tcBorders/>
            <w:shd w:fill="auto" w:val="clear"/>
            <w:vAlign w:val="center"/>
          </w:tcPr>
          <w:p>
            <w:pPr>
              <w:pStyle w:val="TableContents"/>
              <w:spacing w:before="0" w:after="0"/>
              <w:ind w:left="0" w:right="0" w:hanging="0"/>
              <w:jc w:val="left"/>
              <w:rPr/>
            </w:pPr>
            <w:r>
              <w:rPr/>
              <w:t> </w:t>
            </w:r>
          </w:p>
        </w:tc>
        <w:tc>
          <w:tcPr>
            <w:tcW w:w="162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81.53% to 81.64%</w:t>
            </w:r>
          </w:p>
        </w:tc>
        <w:tc>
          <w:tcPr>
            <w:tcW w:w="146" w:type="dxa"/>
            <w:tcBorders/>
            <w:shd w:fill="auto" w:val="clear"/>
            <w:vAlign w:val="center"/>
          </w:tcPr>
          <w:p>
            <w:pPr>
              <w:pStyle w:val="TableContents"/>
              <w:spacing w:before="0" w:after="0"/>
              <w:ind w:left="0" w:right="0" w:hanging="0"/>
              <w:jc w:val="left"/>
              <w:rPr/>
            </w:pPr>
            <w:r>
              <w:rPr/>
              <w:t> </w:t>
            </w:r>
          </w:p>
        </w:tc>
        <w:tc>
          <w:tcPr>
            <w:tcW w:w="166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77.70% to 78.20%</w:t>
            </w:r>
          </w:p>
        </w:tc>
      </w:tr>
      <w:tr>
        <w:trPr/>
        <w:tc>
          <w:tcPr>
            <w:tcW w:w="23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Risk-free interest rate range</w:t>
            </w:r>
          </w:p>
        </w:tc>
        <w:tc>
          <w:tcPr>
            <w:tcW w:w="146" w:type="dxa"/>
            <w:tcBorders/>
            <w:shd w:fill="auto" w:val="clear"/>
            <w:vAlign w:val="center"/>
          </w:tcPr>
          <w:p>
            <w:pPr>
              <w:pStyle w:val="TableContents"/>
              <w:spacing w:before="0" w:after="0"/>
              <w:ind w:left="0" w:right="0" w:hanging="0"/>
              <w:jc w:val="left"/>
              <w:rPr/>
            </w:pPr>
            <w:r>
              <w:rPr/>
              <w:t> </w:t>
            </w:r>
          </w:p>
        </w:tc>
        <w:tc>
          <w:tcPr>
            <w:tcW w:w="162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3.42% to 4.10%</w:t>
            </w:r>
          </w:p>
        </w:tc>
        <w:tc>
          <w:tcPr>
            <w:tcW w:w="146" w:type="dxa"/>
            <w:tcBorders/>
            <w:shd w:fill="auto" w:val="clear"/>
            <w:vAlign w:val="center"/>
          </w:tcPr>
          <w:p>
            <w:pPr>
              <w:pStyle w:val="TableContents"/>
              <w:spacing w:before="0" w:after="0"/>
              <w:ind w:left="0" w:right="0" w:hanging="0"/>
              <w:jc w:val="left"/>
              <w:rPr/>
            </w:pPr>
            <w:r>
              <w:rPr/>
              <w:t> </w:t>
            </w:r>
          </w:p>
        </w:tc>
        <w:tc>
          <w:tcPr>
            <w:tcW w:w="166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1.69% to 2.23%</w:t>
            </w:r>
          </w:p>
        </w:tc>
      </w:tr>
      <w:tr>
        <w:trPr/>
        <w:tc>
          <w:tcPr>
            <w:tcW w:w="23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Expected term</w:t>
            </w:r>
          </w:p>
        </w:tc>
        <w:tc>
          <w:tcPr>
            <w:tcW w:w="146" w:type="dxa"/>
            <w:tcBorders/>
            <w:shd w:fill="auto" w:val="clear"/>
            <w:vAlign w:val="center"/>
          </w:tcPr>
          <w:p>
            <w:pPr>
              <w:pStyle w:val="TableContents"/>
              <w:spacing w:before="0" w:after="0"/>
              <w:ind w:left="0" w:right="0" w:hanging="0"/>
              <w:jc w:val="left"/>
              <w:rPr/>
            </w:pPr>
            <w:r>
              <w:rPr/>
              <w:t> </w:t>
            </w:r>
          </w:p>
        </w:tc>
        <w:tc>
          <w:tcPr>
            <w:tcW w:w="1621" w:type="dxa"/>
            <w:tcBorders/>
            <w:shd w:fill="auto" w:val="clear"/>
            <w:vAlign w:val="center"/>
          </w:tcPr>
          <w:p>
            <w:pPr>
              <w:pStyle w:val="TableContents"/>
              <w:spacing w:before="0" w:after="0"/>
              <w:ind w:left="0" w:right="0" w:hanging="0"/>
              <w:jc w:val="center"/>
              <w:rPr>
                <w:rFonts w:ascii="Times New Roman" w:hAnsi="Times New Roman"/>
                <w:sz w:val="20"/>
              </w:rPr>
            </w:pPr>
            <w:r>
              <w:rPr>
                <w:rFonts w:ascii="Times New Roman;serif" w:hAnsi="Times New Roman;serif"/>
                <w:b w:val="false"/>
                <w:sz w:val="20"/>
              </w:rPr>
              <w:t>6</w:t>
            </w:r>
            <w:r>
              <w:rPr>
                <w:rFonts w:ascii="Times New Roman" w:hAnsi="Times New Roman"/>
                <w:sz w:val="20"/>
              </w:rPr>
              <w:t> </w:t>
            </w:r>
            <w:r>
              <w:rPr>
                <w:rFonts w:ascii="Times New Roman;serif" w:hAnsi="Times New Roman;serif"/>
                <w:b w:val="false"/>
                <w:sz w:val="20"/>
              </w:rPr>
              <w:t>years</w:t>
            </w:r>
          </w:p>
        </w:tc>
        <w:tc>
          <w:tcPr>
            <w:tcW w:w="146" w:type="dxa"/>
            <w:tcBorders/>
            <w:shd w:fill="auto" w:val="clear"/>
            <w:vAlign w:val="center"/>
          </w:tcPr>
          <w:p>
            <w:pPr>
              <w:pStyle w:val="TableContents"/>
              <w:spacing w:before="0" w:after="0"/>
              <w:ind w:left="0" w:right="0" w:hanging="0"/>
              <w:jc w:val="left"/>
              <w:rPr/>
            </w:pPr>
            <w:r>
              <w:rPr/>
              <w:t> </w:t>
            </w:r>
          </w:p>
        </w:tc>
        <w:tc>
          <w:tcPr>
            <w:tcW w:w="1666" w:type="dxa"/>
            <w:tcBorders/>
            <w:shd w:fill="auto" w:val="clear"/>
            <w:vAlign w:val="center"/>
          </w:tcPr>
          <w:p>
            <w:pPr>
              <w:pStyle w:val="TableContents"/>
              <w:spacing w:before="0" w:after="0"/>
              <w:ind w:left="0" w:right="0" w:hanging="0"/>
              <w:jc w:val="center"/>
              <w:rPr>
                <w:rFonts w:ascii="Times New Roman" w:hAnsi="Times New Roman"/>
                <w:sz w:val="20"/>
              </w:rPr>
            </w:pPr>
            <w:r>
              <w:rPr>
                <w:rFonts w:ascii="Times New Roman;serif" w:hAnsi="Times New Roman;serif"/>
                <w:b w:val="false"/>
                <w:sz w:val="20"/>
              </w:rPr>
              <w:t>5.5</w:t>
            </w:r>
            <w:r>
              <w:rPr>
                <w:rFonts w:ascii="Times New Roman" w:hAnsi="Times New Roman"/>
                <w:sz w:val="20"/>
              </w:rPr>
              <w:t> </w:t>
            </w:r>
            <w:r>
              <w:rPr>
                <w:rFonts w:ascii="Times New Roman;serif" w:hAnsi="Times New Roman;serif"/>
                <w:b w:val="false"/>
                <w:sz w:val="20"/>
              </w:rPr>
              <w:t>years</w:t>
            </w:r>
          </w:p>
        </w:tc>
      </w:tr>
    </w:tbl>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11</w:t>
      </w:r>
    </w:p>
    <w:p>
      <w:pPr>
        <w:pStyle w:val="HorizontalLine"/>
        <w:rPr/>
      </w:pPr>
      <w:r>
        <w:rPr/>
      </w:r>
    </w:p>
    <w:p>
      <w:pPr>
        <w:pStyle w:val="TextBody"/>
        <w:spacing w:before="0" w:after="0"/>
        <w:jc w:val="center"/>
        <w:rPr>
          <w:rFonts w:ascii="Times New Roman;serif" w:hAnsi="Times New Roman;serif"/>
          <w:b/>
          <w:sz w:val="20"/>
        </w:rPr>
      </w:pPr>
      <w:r>
        <w:rPr>
          <w:rFonts w:ascii="Times New Roman;serif" w:hAnsi="Times New Roman;serif"/>
          <w:b/>
          <w:sz w:val="20"/>
        </w:rPr>
        <w:t>GERON CORPORATION</w:t>
      </w:r>
    </w:p>
    <w:p>
      <w:pPr>
        <w:pStyle w:val="TextBody"/>
        <w:spacing w:before="0" w:after="0"/>
        <w:jc w:val="center"/>
        <w:rPr>
          <w:rFonts w:ascii="Times New Roman;serif" w:hAnsi="Times New Roman;serif"/>
          <w:b/>
          <w:sz w:val="20"/>
        </w:rPr>
      </w:pPr>
      <w:r>
        <w:rPr>
          <w:rFonts w:ascii="Times New Roman;serif" w:hAnsi="Times New Roman;serif"/>
          <w:b/>
          <w:sz w:val="20"/>
        </w:rPr>
        <w:t>NOTES TO CONDENSED CONSOLIDATED FINANCIAL STATEMENTS</w:t>
      </w:r>
    </w:p>
    <w:p>
      <w:pPr>
        <w:pStyle w:val="TextBody"/>
        <w:spacing w:before="0" w:after="0"/>
        <w:jc w:val="center"/>
        <w:rPr>
          <w:rFonts w:ascii="Times New Roman;serif" w:hAnsi="Times New Roman;serif"/>
          <w:b/>
          <w:caps/>
          <w:sz w:val="20"/>
        </w:rPr>
      </w:pPr>
      <w:r>
        <w:rPr>
          <w:rFonts w:ascii="Times New Roman;serif" w:hAnsi="Times New Roman;serif"/>
          <w:b/>
          <w:caps/>
          <w:sz w:val="20"/>
        </w:rPr>
        <w:t>March 31, 2023</w:t>
      </w:r>
    </w:p>
    <w:p>
      <w:pPr>
        <w:pStyle w:val="TextBody"/>
        <w:spacing w:before="0" w:after="0"/>
        <w:jc w:val="center"/>
        <w:rPr>
          <w:rFonts w:ascii="Times New Roman" w:hAnsi="Times New Roman"/>
          <w:sz w:val="20"/>
        </w:rPr>
      </w:pPr>
      <w:r>
        <w:rPr>
          <w:rFonts w:ascii="Times New Roman;serif" w:hAnsi="Times New Roman;serif"/>
          <w:b/>
          <w:sz w:val="20"/>
        </w:rPr>
        <w:t>(UNAUDITED</w:t>
      </w:r>
      <w:r>
        <w:rPr>
          <w:rFonts w:ascii="Times New Roman;serif" w:hAnsi="Times New Roman;serif"/>
          <w:b w:val="false"/>
          <w:sz w:val="20"/>
        </w:rPr>
        <w:t>)</w:t>
      </w:r>
    </w:p>
    <w:p>
      <w:pPr>
        <w:pStyle w:val="TextBody"/>
        <w:spacing w:before="0" w:after="0"/>
        <w:jc w:val="center"/>
        <w:rPr/>
      </w:pPr>
      <w:r>
        <w:rPr/>
        <w:t> </w:t>
      </w:r>
    </w:p>
    <w:p>
      <w:pPr>
        <w:pStyle w:val="TextBody"/>
        <w:spacing w:before="360" w:after="0"/>
        <w:jc w:val="left"/>
        <w:rPr>
          <w:rFonts w:ascii="Times New Roman;serif" w:hAnsi="Times New Roman;serif"/>
          <w:b/>
          <w:i/>
          <w:sz w:val="20"/>
        </w:rPr>
      </w:pPr>
      <w:r>
        <w:rPr>
          <w:rFonts w:ascii="Times New Roman;serif" w:hAnsi="Times New Roman;serif"/>
          <w:b/>
          <w:i/>
          <w:sz w:val="20"/>
        </w:rPr>
        <w:t>Employee Stock Purchase Plan</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fair value of employees’ stock purchase rights during the three months ended March 31, 2023 and 2022 has been estimated using the Black Scholes option-pricing model with the following assumptions:</w:t>
      </w:r>
    </w:p>
    <w:tbl>
      <w:tblPr>
        <w:tblW w:w="6610" w:type="dxa"/>
        <w:jc w:val="left"/>
        <w:tblInd w:w="0" w:type="dxa"/>
        <w:tblCellMar>
          <w:top w:w="28" w:type="dxa"/>
          <w:left w:w="28" w:type="dxa"/>
          <w:bottom w:w="28" w:type="dxa"/>
          <w:right w:w="28" w:type="dxa"/>
        </w:tblCellMar>
      </w:tblPr>
      <w:tblGrid>
        <w:gridCol w:w="2341"/>
        <w:gridCol w:w="146"/>
        <w:gridCol w:w="1966"/>
        <w:gridCol w:w="146"/>
        <w:gridCol w:w="2011"/>
      </w:tblGrid>
      <w:tr>
        <w:trPr/>
        <w:tc>
          <w:tcPr>
            <w:tcW w:w="234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011" w:type="dxa"/>
            <w:tcBorders/>
            <w:shd w:fill="auto" w:val="clear"/>
            <w:vAlign w:val="center"/>
          </w:tcPr>
          <w:p>
            <w:pPr>
              <w:pStyle w:val="TableContents"/>
              <w:spacing w:before="0" w:after="283"/>
              <w:rPr>
                <w:sz w:val="4"/>
                <w:szCs w:val="4"/>
              </w:rPr>
            </w:pPr>
            <w:r>
              <w:rPr>
                <w:sz w:val="4"/>
                <w:szCs w:val="4"/>
              </w:rPr>
            </w:r>
          </w:p>
        </w:tc>
      </w:tr>
      <w:tr>
        <w:trPr/>
        <w:tc>
          <w:tcPr>
            <w:tcW w:w="23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123" w:type="dxa"/>
            <w:gridSpan w:val="3"/>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r>
      <w:tr>
        <w:trPr/>
        <w:tc>
          <w:tcPr>
            <w:tcW w:w="23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0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r>
      <w:tr>
        <w:trPr/>
        <w:tc>
          <w:tcPr>
            <w:tcW w:w="23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Dividend yield</w:t>
            </w:r>
          </w:p>
        </w:tc>
        <w:tc>
          <w:tcPr>
            <w:tcW w:w="146" w:type="dxa"/>
            <w:tcBorders/>
            <w:shd w:fill="auto" w:val="clear"/>
            <w:vAlign w:val="center"/>
          </w:tcPr>
          <w:p>
            <w:pPr>
              <w:pStyle w:val="TableContents"/>
              <w:spacing w:before="0" w:after="0"/>
              <w:ind w:left="0" w:right="0" w:hanging="0"/>
              <w:jc w:val="left"/>
              <w:rPr/>
            </w:pPr>
            <w:r>
              <w:rPr/>
              <w:t> </w:t>
            </w:r>
          </w:p>
        </w:tc>
        <w:tc>
          <w:tcPr>
            <w:tcW w:w="196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0%</w:t>
            </w:r>
          </w:p>
        </w:tc>
        <w:tc>
          <w:tcPr>
            <w:tcW w:w="146" w:type="dxa"/>
            <w:tcBorders/>
            <w:shd w:fill="auto" w:val="clear"/>
            <w:vAlign w:val="center"/>
          </w:tcPr>
          <w:p>
            <w:pPr>
              <w:pStyle w:val="TableContents"/>
              <w:spacing w:before="0" w:after="0"/>
              <w:ind w:left="0" w:right="0" w:hanging="0"/>
              <w:jc w:val="left"/>
              <w:rPr/>
            </w:pPr>
            <w:r>
              <w:rPr/>
              <w:t> </w:t>
            </w:r>
          </w:p>
        </w:tc>
        <w:tc>
          <w:tcPr>
            <w:tcW w:w="201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0%</w:t>
            </w:r>
          </w:p>
        </w:tc>
      </w:tr>
      <w:tr>
        <w:trPr/>
        <w:tc>
          <w:tcPr>
            <w:tcW w:w="23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Expected volatility range</w:t>
            </w:r>
          </w:p>
        </w:tc>
        <w:tc>
          <w:tcPr>
            <w:tcW w:w="146" w:type="dxa"/>
            <w:tcBorders/>
            <w:shd w:fill="auto" w:val="clear"/>
            <w:vAlign w:val="center"/>
          </w:tcPr>
          <w:p>
            <w:pPr>
              <w:pStyle w:val="TableContents"/>
              <w:spacing w:before="0" w:after="0"/>
              <w:ind w:left="0" w:right="0" w:hanging="0"/>
              <w:jc w:val="left"/>
              <w:rPr/>
            </w:pPr>
            <w:r>
              <w:rPr/>
              <w:t> </w:t>
            </w:r>
          </w:p>
        </w:tc>
        <w:tc>
          <w:tcPr>
            <w:tcW w:w="196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61.04% to 81.08%</w:t>
            </w:r>
          </w:p>
        </w:tc>
        <w:tc>
          <w:tcPr>
            <w:tcW w:w="146" w:type="dxa"/>
            <w:tcBorders/>
            <w:shd w:fill="auto" w:val="clear"/>
            <w:vAlign w:val="center"/>
          </w:tcPr>
          <w:p>
            <w:pPr>
              <w:pStyle w:val="TableContents"/>
              <w:spacing w:before="0" w:after="0"/>
              <w:ind w:left="0" w:right="0" w:hanging="0"/>
              <w:jc w:val="left"/>
              <w:rPr/>
            </w:pPr>
            <w:r>
              <w:rPr/>
              <w:t> </w:t>
            </w:r>
          </w:p>
        </w:tc>
        <w:tc>
          <w:tcPr>
            <w:tcW w:w="201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50.90% to 61.40%</w:t>
            </w:r>
          </w:p>
        </w:tc>
      </w:tr>
      <w:tr>
        <w:trPr/>
        <w:tc>
          <w:tcPr>
            <w:tcW w:w="23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Risk-free interest rate range</w:t>
            </w:r>
          </w:p>
        </w:tc>
        <w:tc>
          <w:tcPr>
            <w:tcW w:w="146" w:type="dxa"/>
            <w:tcBorders/>
            <w:shd w:fill="auto" w:val="clear"/>
            <w:vAlign w:val="center"/>
          </w:tcPr>
          <w:p>
            <w:pPr>
              <w:pStyle w:val="TableContents"/>
              <w:spacing w:before="0" w:after="0"/>
              <w:ind w:left="0" w:right="0" w:hanging="0"/>
              <w:jc w:val="left"/>
              <w:rPr/>
            </w:pPr>
            <w:r>
              <w:rPr/>
              <w:t> </w:t>
            </w:r>
          </w:p>
        </w:tc>
        <w:tc>
          <w:tcPr>
            <w:tcW w:w="196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0.09% to 4.76%</w:t>
            </w:r>
          </w:p>
        </w:tc>
        <w:tc>
          <w:tcPr>
            <w:tcW w:w="146" w:type="dxa"/>
            <w:tcBorders/>
            <w:shd w:fill="auto" w:val="clear"/>
            <w:vAlign w:val="center"/>
          </w:tcPr>
          <w:p>
            <w:pPr>
              <w:pStyle w:val="TableContents"/>
              <w:spacing w:before="0" w:after="0"/>
              <w:ind w:left="0" w:right="0" w:hanging="0"/>
              <w:jc w:val="left"/>
              <w:rPr/>
            </w:pPr>
            <w:r>
              <w:rPr/>
              <w:t> </w:t>
            </w:r>
          </w:p>
        </w:tc>
        <w:tc>
          <w:tcPr>
            <w:tcW w:w="201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0.09% to 0.40%</w:t>
            </w:r>
          </w:p>
        </w:tc>
      </w:tr>
      <w:tr>
        <w:trPr/>
        <w:tc>
          <w:tcPr>
            <w:tcW w:w="23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Expected term range</w:t>
            </w:r>
          </w:p>
        </w:tc>
        <w:tc>
          <w:tcPr>
            <w:tcW w:w="146" w:type="dxa"/>
            <w:tcBorders/>
            <w:shd w:fill="auto" w:val="clear"/>
            <w:vAlign w:val="center"/>
          </w:tcPr>
          <w:p>
            <w:pPr>
              <w:pStyle w:val="TableContents"/>
              <w:spacing w:before="0" w:after="0"/>
              <w:ind w:left="0" w:right="0" w:hanging="0"/>
              <w:jc w:val="left"/>
              <w:rPr/>
            </w:pPr>
            <w:r>
              <w:rPr/>
              <w:t> </w:t>
            </w:r>
          </w:p>
        </w:tc>
        <w:tc>
          <w:tcPr>
            <w:tcW w:w="1966" w:type="dxa"/>
            <w:tcBorders/>
            <w:shd w:fill="auto" w:val="clear"/>
            <w:vAlign w:val="center"/>
          </w:tcPr>
          <w:p>
            <w:pPr>
              <w:pStyle w:val="TableContents"/>
              <w:spacing w:before="0" w:after="0"/>
              <w:ind w:left="0" w:right="0" w:hanging="0"/>
              <w:jc w:val="center"/>
              <w:rPr>
                <w:rFonts w:ascii="Times New Roman" w:hAnsi="Times New Roman"/>
                <w:sz w:val="20"/>
              </w:rPr>
            </w:pPr>
            <w:r>
              <w:rPr>
                <w:rFonts w:ascii="Times New Roman;serif" w:hAnsi="Times New Roman;serif"/>
                <w:b w:val="false"/>
                <w:sz w:val="20"/>
              </w:rPr>
              <w:t>6</w:t>
            </w:r>
            <w:r>
              <w:rPr>
                <w:rFonts w:ascii="Times New Roman" w:hAnsi="Times New Roman"/>
                <w:sz w:val="20"/>
              </w:rPr>
              <w:t> </w:t>
            </w:r>
            <w:r>
              <w:rPr>
                <w:rFonts w:ascii="Times New Roman;serif" w:hAnsi="Times New Roman;serif"/>
                <w:b w:val="false"/>
                <w:sz w:val="20"/>
              </w:rPr>
              <w:t>months to 12</w:t>
            </w:r>
            <w:r>
              <w:rPr>
                <w:rFonts w:ascii="Times New Roman" w:hAnsi="Times New Roman"/>
                <w:sz w:val="20"/>
              </w:rPr>
              <w:t> </w:t>
            </w:r>
            <w:r>
              <w:rPr>
                <w:rFonts w:ascii="Times New Roman;serif" w:hAnsi="Times New Roman;serif"/>
                <w:b w:val="false"/>
                <w:sz w:val="20"/>
              </w:rPr>
              <w:t>months</w:t>
            </w:r>
          </w:p>
        </w:tc>
        <w:tc>
          <w:tcPr>
            <w:tcW w:w="146" w:type="dxa"/>
            <w:tcBorders/>
            <w:shd w:fill="auto" w:val="clear"/>
            <w:vAlign w:val="center"/>
          </w:tcPr>
          <w:p>
            <w:pPr>
              <w:pStyle w:val="TableContents"/>
              <w:spacing w:before="0" w:after="0"/>
              <w:ind w:left="0" w:right="0" w:hanging="0"/>
              <w:jc w:val="left"/>
              <w:rPr/>
            </w:pPr>
            <w:r>
              <w:rPr/>
              <w:t> </w:t>
            </w:r>
          </w:p>
        </w:tc>
        <w:tc>
          <w:tcPr>
            <w:tcW w:w="2011" w:type="dxa"/>
            <w:tcBorders/>
            <w:shd w:fill="auto" w:val="clear"/>
            <w:vAlign w:val="center"/>
          </w:tcPr>
          <w:p>
            <w:pPr>
              <w:pStyle w:val="TableContents"/>
              <w:spacing w:before="0" w:after="0"/>
              <w:ind w:left="0" w:right="0" w:hanging="0"/>
              <w:jc w:val="center"/>
              <w:rPr>
                <w:rFonts w:ascii="Times New Roman" w:hAnsi="Times New Roman"/>
                <w:sz w:val="20"/>
              </w:rPr>
            </w:pPr>
            <w:r>
              <w:rPr>
                <w:rFonts w:ascii="Times New Roman;serif" w:hAnsi="Times New Roman;serif"/>
                <w:b w:val="false"/>
                <w:sz w:val="20"/>
              </w:rPr>
              <w:t>6</w:t>
            </w:r>
            <w:r>
              <w:rPr>
                <w:rFonts w:ascii="Times New Roman" w:hAnsi="Times New Roman"/>
                <w:sz w:val="20"/>
              </w:rPr>
              <w:t> </w:t>
            </w:r>
            <w:r>
              <w:rPr>
                <w:rFonts w:ascii="Times New Roman;serif" w:hAnsi="Times New Roman;serif"/>
                <w:b w:val="false"/>
                <w:sz w:val="20"/>
              </w:rPr>
              <w:t>months to 12</w:t>
            </w:r>
            <w:r>
              <w:rPr>
                <w:rFonts w:ascii="Times New Roman" w:hAnsi="Times New Roman"/>
                <w:sz w:val="20"/>
              </w:rPr>
              <w:t> </w:t>
            </w:r>
            <w:r>
              <w:rPr>
                <w:rFonts w:ascii="Times New Roman;serif" w:hAnsi="Times New Roman;serif"/>
                <w:b w:val="false"/>
                <w:sz w:val="20"/>
              </w:rPr>
              <w:t>months</w:t>
            </w:r>
          </w:p>
        </w:tc>
      </w:tr>
    </w:tbl>
    <w:p>
      <w:pPr>
        <w:pStyle w:val="TextBody"/>
        <w:spacing w:before="0" w:after="0"/>
        <w:jc w:val="left"/>
        <w:rPr/>
      </w:pPr>
      <w:r>
        <w:rPr/>
        <w:t> </w:t>
      </w:r>
    </w:p>
    <w:p>
      <w:pPr>
        <w:pStyle w:val="TextBody"/>
        <w:spacing w:before="40" w:after="0"/>
        <w:jc w:val="left"/>
        <w:rPr>
          <w:rFonts w:ascii="Times New Roman;serif" w:hAnsi="Times New Roman;serif"/>
          <w:b w:val="false"/>
          <w:sz w:val="20"/>
        </w:rPr>
      </w:pPr>
      <w:r>
        <w:rPr>
          <w:rFonts w:ascii="Times New Roman;serif" w:hAnsi="Times New Roman;serif"/>
          <w:b w:val="false"/>
          <w:sz w:val="20"/>
        </w:rPr>
        <w:t>Dividend yield is based on historical cash dividend payments and Geron has paid no cash dividends to date. The expected volatility range is based on historical volatilities of our stock, since traded options on Geron common stock do not correspond to option terms and the trading volume of options is limited. The risk-free interest rate range is based on the U.S. Zero Coupon Treasury Strip Yields for the expected term in effect on the date of grant for an award. The expected term of stock options is derived from actual historical exercise and post-vesting cancellation data and represents the period of time that stock options granted are expected to be outstanding. The expected term of employees’ stock purchase rights is equal to the purchase period.</w:t>
      </w:r>
    </w:p>
    <w:p>
      <w:pPr>
        <w:pStyle w:val="TextBody"/>
        <w:spacing w:before="360" w:after="0"/>
        <w:jc w:val="left"/>
        <w:rPr>
          <w:rFonts w:ascii="Times New Roman;serif" w:hAnsi="Times New Roman;serif"/>
          <w:b/>
          <w:i/>
          <w:sz w:val="20"/>
        </w:rPr>
      </w:pPr>
      <w:r>
        <w:rPr>
          <w:rFonts w:ascii="Times New Roman;serif" w:hAnsi="Times New Roman;serif"/>
          <w:b/>
          <w:i/>
          <w:sz w:val="20"/>
        </w:rPr>
        <w:t>Non-Employee Stock-Based Awards</w:t>
      </w:r>
    </w:p>
    <w:p>
      <w:pPr>
        <w:pStyle w:val="TextBody"/>
        <w:spacing w:before="120" w:after="0"/>
        <w:jc w:val="left"/>
        <w:rPr>
          <w:rFonts w:ascii="Times New Roman" w:hAnsi="Times New Roman"/>
          <w:sz w:val="20"/>
        </w:rPr>
      </w:pPr>
      <w:r>
        <w:rPr>
          <w:rFonts w:ascii="Times New Roman;serif" w:hAnsi="Times New Roman;serif"/>
          <w:b w:val="false"/>
          <w:sz w:val="20"/>
        </w:rPr>
        <w:t>We measure share-based payments to non-employees based on the grant-date fair value of the equity awards. We recognize stock-based compensation expense for the fair value of the vested portion of non-employee stock-based awards on our condensed consolidated statements of operations.</w:t>
      </w:r>
      <w:r>
        <w:rPr>
          <w:rFonts w:ascii="Times New Roman" w:hAnsi="Times New Roman"/>
          <w:sz w:val="20"/>
        </w:rPr>
        <w:t xml:space="preserve"> </w:t>
      </w:r>
    </w:p>
    <w:p>
      <w:pPr>
        <w:pStyle w:val="TextBody"/>
        <w:spacing w:before="360" w:after="0"/>
        <w:jc w:val="left"/>
        <w:rPr>
          <w:rFonts w:ascii="Times New Roman;serif" w:hAnsi="Times New Roman;serif"/>
          <w:b/>
          <w:sz w:val="20"/>
        </w:rPr>
      </w:pPr>
      <w:r>
        <w:rPr>
          <w:rFonts w:ascii="Times New Roman;serif" w:hAnsi="Times New Roman;serif"/>
          <w:b/>
          <w:sz w:val="20"/>
        </w:rPr>
        <w:t>Segment Information</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executive management team represents our chief decision maker. We view our operations as a single segment, the development of therapeutic products for oncology. As a result, the financial information disclosed herein materially represents all of the financial information related to our principal operating segment.</w:t>
      </w:r>
    </w:p>
    <w:p>
      <w:pPr>
        <w:pStyle w:val="TextBody"/>
        <w:spacing w:before="360" w:after="0"/>
        <w:jc w:val="left"/>
        <w:rPr>
          <w:rFonts w:ascii="Times New Roman;serif" w:hAnsi="Times New Roman;serif"/>
          <w:b/>
          <w:sz w:val="20"/>
        </w:rPr>
      </w:pPr>
      <w:r>
        <w:rPr>
          <w:rFonts w:ascii="Times New Roman;serif" w:hAnsi="Times New Roman;serif"/>
          <w:b/>
          <w:sz w:val="20"/>
        </w:rPr>
        <w:t>Recent Accounting Pronouncements</w:t>
      </w:r>
    </w:p>
    <w:p>
      <w:pPr>
        <w:pStyle w:val="TextBody"/>
        <w:spacing w:before="120" w:after="0"/>
        <w:jc w:val="left"/>
        <w:rPr>
          <w:rFonts w:ascii="Times New Roman;serif" w:hAnsi="Times New Roman;serif"/>
          <w:b/>
          <w:i/>
          <w:sz w:val="20"/>
        </w:rPr>
      </w:pPr>
      <w:r>
        <w:rPr>
          <w:rFonts w:ascii="Times New Roman;serif" w:hAnsi="Times New Roman;serif"/>
          <w:b/>
          <w:i/>
          <w:sz w:val="20"/>
        </w:rPr>
        <w:t>New Accounting Pronouncements – Recently Adopted</w:t>
      </w:r>
    </w:p>
    <w:p>
      <w:pPr>
        <w:pStyle w:val="TextBody"/>
        <w:spacing w:before="120" w:after="0"/>
        <w:jc w:val="left"/>
        <w:rPr>
          <w:rFonts w:ascii="Times New Roman" w:hAnsi="Times New Roman"/>
          <w:sz w:val="20"/>
        </w:rPr>
      </w:pPr>
      <w:r>
        <w:rPr>
          <w:rFonts w:ascii="Times New Roman;serif" w:hAnsi="Times New Roman;serif"/>
          <w:b w:val="false"/>
          <w:sz w:val="20"/>
        </w:rPr>
        <w:t>In June 2016, the Financial Accounting Standards Board, or FASB, issued Accounting Standards Update, or ASU, 2016-13,</w:t>
      </w:r>
      <w:r>
        <w:rPr>
          <w:rFonts w:ascii="Times New Roman" w:hAnsi="Times New Roman"/>
          <w:sz w:val="20"/>
        </w:rPr>
        <w:t xml:space="preserve"> </w:t>
      </w:r>
      <w:r>
        <w:rPr>
          <w:rFonts w:ascii="Times New Roman;serif" w:hAnsi="Times New Roman;serif"/>
          <w:b w:val="false"/>
          <w:i/>
          <w:sz w:val="20"/>
        </w:rPr>
        <w:t>Measurement of Credit Losses on Financial Instruments</w:t>
      </w:r>
      <w:r>
        <w:rPr>
          <w:rFonts w:ascii="Times New Roman;serif" w:hAnsi="Times New Roman;serif"/>
          <w:b w:val="false"/>
          <w:sz w:val="20"/>
        </w:rPr>
        <w:t xml:space="preserve">, or ASU 2016-13. Subsequent to issuing ASU 2016-13, the FASB issued ASU 2018-19, </w:t>
      </w:r>
      <w:r>
        <w:rPr>
          <w:rFonts w:ascii="Times New Roman;serif" w:hAnsi="Times New Roman;serif"/>
          <w:b w:val="false"/>
          <w:i/>
          <w:sz w:val="20"/>
        </w:rPr>
        <w:t>Codification Improvements to Topic 326, Financial Instruments – Credit Losses</w:t>
      </w:r>
      <w:r>
        <w:rPr>
          <w:rFonts w:ascii="Times New Roman;serif" w:hAnsi="Times New Roman;serif"/>
          <w:b w:val="false"/>
          <w:sz w:val="20"/>
        </w:rPr>
        <w:t xml:space="preserve">, or ASU 2018-19, for the purpose of clarifying certain aspects of ASU 2016-13. In May 2019, the FASB issued ASU 2019-05, </w:t>
      </w:r>
      <w:r>
        <w:rPr>
          <w:rFonts w:ascii="Times New Roman;serif" w:hAnsi="Times New Roman;serif"/>
          <w:b w:val="false"/>
          <w:i/>
          <w:sz w:val="20"/>
        </w:rPr>
        <w:t>Financial Instruments – Credit Losses (Topic 326): Targeted Transition Relief</w:t>
      </w:r>
      <w:r>
        <w:rPr>
          <w:rFonts w:ascii="Times New Roman;serif" w:hAnsi="Times New Roman;serif"/>
          <w:b w:val="false"/>
          <w:sz w:val="20"/>
        </w:rPr>
        <w:t xml:space="preserve">, or ASU 2019-05, to provide entities with more flexibility in applying the fair value option on adoption of the credit impairment standard. In November 2019, the FASB issued ASU 2019-11, </w:t>
      </w:r>
      <w:r>
        <w:rPr>
          <w:rFonts w:ascii="Times New Roman;serif" w:hAnsi="Times New Roman;serif"/>
          <w:b w:val="false"/>
          <w:i/>
          <w:sz w:val="20"/>
        </w:rPr>
        <w:t>Codification Improvements to Topic 326, Financial Instruments – Credit Losses</w:t>
      </w:r>
      <w:r>
        <w:rPr>
          <w:rFonts w:ascii="Times New Roman;serif" w:hAnsi="Times New Roman;serif"/>
          <w:b w:val="false"/>
          <w:sz w:val="20"/>
        </w:rPr>
        <w:t>, or ASU 2019-11, which expands the scope of the practical expedient that allows entities to exclude the accrued interest component of amortized cost from various disclosure. We adopted ASU 2016-13 and related updates as of January 1, 2023. Adoption of this new guidance did not have a material impact on our condensed consolidated financial statements.</w:t>
      </w:r>
    </w:p>
    <w:p>
      <w:pPr>
        <w:pStyle w:val="TextBody"/>
        <w:spacing w:before="240" w:after="0"/>
        <w:jc w:val="left"/>
        <w:rPr>
          <w:rFonts w:ascii="Times New Roman;serif" w:hAnsi="Times New Roman;serif"/>
          <w:b/>
          <w:i/>
          <w:sz w:val="20"/>
        </w:rPr>
      </w:pPr>
      <w:r>
        <w:rPr>
          <w:rFonts w:ascii="Times New Roman;serif" w:hAnsi="Times New Roman;serif"/>
          <w:b/>
          <w:i/>
          <w:sz w:val="20"/>
        </w:rPr>
        <w:t>New Accounting Pronouncements – Issued But Not Yet Adopted</w:t>
      </w:r>
    </w:p>
    <w:p>
      <w:pPr>
        <w:pStyle w:val="TextBody"/>
        <w:spacing w:before="120" w:after="0"/>
        <w:jc w:val="left"/>
        <w:rPr>
          <w:rFonts w:ascii="Times New Roman" w:hAnsi="Times New Roman"/>
          <w:sz w:val="20"/>
        </w:rPr>
      </w:pPr>
      <w:r>
        <w:rPr>
          <w:rFonts w:ascii="Times New Roman;serif" w:hAnsi="Times New Roman;serif"/>
          <w:b w:val="false"/>
          <w:sz w:val="20"/>
        </w:rPr>
        <w:t xml:space="preserve">In August 2020, the FASB issued ASU 2020-06, </w:t>
      </w:r>
      <w:r>
        <w:rPr>
          <w:rFonts w:ascii="Times New Roman;serif" w:hAnsi="Times New Roman;serif"/>
          <w:b w:val="false"/>
          <w:i/>
          <w:sz w:val="20"/>
        </w:rPr>
        <w:t>Accounting for Convertible Instruments and Contracts in an Entity’s Own Equity</w:t>
      </w:r>
      <w:r>
        <w:rPr>
          <w:rFonts w:ascii="Times New Roman;serif" w:hAnsi="Times New Roman;serif"/>
          <w:b w:val="false"/>
          <w:sz w:val="20"/>
        </w:rPr>
        <w:t>, or ASU 2020-06. The key elements of ASU 2020-06 aim to reduce unnecessary complexity in GAAP for certain financial instruments with characteristics of liabilities and equity. In addressing the complexity, the FASB focused on amending the guidance on convertible instruments and the guidance on the derivatives scope exception for contracts in an entity’s own equity. For convertible instruments, the FASB decided to reduce the number of accounting models for convertible debt instruments and convertible preferred stock. For contracts in an entity’s own equity, the FASB observed that the application of the derivatives scope exception guidance results in accounting for some contracts as derivatives while accounting for economically similar contracts as equity. The FASB also decided to improve and amend the related earnings per share guidance. ASU 2020-06 is effective for fiscal years beginning after December 15, 2021, and interim periods within those fiscal years for public business entities that are not smaller reporting companies. For all other entities, ASU 2020-06 is effective for fiscal years beginning after December 15, 2023, and interim periods within those fiscal years. We plan to adopt ASU 2020-06 as of January 1, 2024. We do not expect the adoption of this standard to have a material impact on our condensed consolidated financial statements.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12</w:t>
      </w:r>
    </w:p>
    <w:p>
      <w:pPr>
        <w:pStyle w:val="HorizontalLine"/>
        <w:rPr/>
      </w:pPr>
      <w:r>
        <w:rPr/>
      </w:r>
    </w:p>
    <w:p>
      <w:pPr>
        <w:pStyle w:val="TextBody"/>
        <w:spacing w:before="0" w:after="0"/>
        <w:jc w:val="center"/>
        <w:rPr>
          <w:rFonts w:ascii="Times New Roman;serif" w:hAnsi="Times New Roman;serif"/>
          <w:b/>
          <w:sz w:val="20"/>
        </w:rPr>
      </w:pPr>
      <w:r>
        <w:rPr>
          <w:rFonts w:ascii="Times New Roman;serif" w:hAnsi="Times New Roman;serif"/>
          <w:b/>
          <w:sz w:val="20"/>
        </w:rPr>
        <w:t>GERON CORPORATION</w:t>
      </w:r>
    </w:p>
    <w:p>
      <w:pPr>
        <w:pStyle w:val="TextBody"/>
        <w:spacing w:before="0" w:after="0"/>
        <w:jc w:val="center"/>
        <w:rPr>
          <w:rFonts w:ascii="Times New Roman;serif" w:hAnsi="Times New Roman;serif"/>
          <w:b/>
          <w:sz w:val="20"/>
        </w:rPr>
      </w:pPr>
      <w:r>
        <w:rPr>
          <w:rFonts w:ascii="Times New Roman;serif" w:hAnsi="Times New Roman;serif"/>
          <w:b/>
          <w:sz w:val="20"/>
        </w:rPr>
        <w:t>NOTES TO CONDENSED CONSOLIDATED FINANCIAL STATEMENTS</w:t>
      </w:r>
    </w:p>
    <w:p>
      <w:pPr>
        <w:pStyle w:val="TextBody"/>
        <w:spacing w:before="0" w:after="0"/>
        <w:jc w:val="center"/>
        <w:rPr>
          <w:rFonts w:ascii="Times New Roman;serif" w:hAnsi="Times New Roman;serif"/>
          <w:b/>
          <w:caps/>
          <w:sz w:val="20"/>
        </w:rPr>
      </w:pPr>
      <w:r>
        <w:rPr>
          <w:rFonts w:ascii="Times New Roman;serif" w:hAnsi="Times New Roman;serif"/>
          <w:b/>
          <w:caps/>
          <w:sz w:val="20"/>
        </w:rPr>
        <w:t>March 31, 2023</w:t>
      </w:r>
    </w:p>
    <w:p>
      <w:pPr>
        <w:pStyle w:val="TextBody"/>
        <w:spacing w:before="0" w:after="0"/>
        <w:jc w:val="center"/>
        <w:rPr>
          <w:rFonts w:ascii="Times New Roman" w:hAnsi="Times New Roman"/>
          <w:sz w:val="20"/>
        </w:rPr>
      </w:pPr>
      <w:r>
        <w:rPr>
          <w:rFonts w:ascii="Times New Roman;serif" w:hAnsi="Times New Roman;serif"/>
          <w:b/>
          <w:sz w:val="20"/>
        </w:rPr>
        <w:t>(UNAUDITED</w:t>
      </w:r>
      <w:r>
        <w:rPr>
          <w:rFonts w:ascii="Times New Roman;serif" w:hAnsi="Times New Roman;serif"/>
          <w:b w:val="false"/>
          <w:sz w:val="20"/>
        </w:rPr>
        <w:t>)</w:t>
      </w:r>
    </w:p>
    <w:p>
      <w:pPr>
        <w:pStyle w:val="TextBody"/>
        <w:spacing w:before="0" w:after="0"/>
        <w:jc w:val="center"/>
        <w:rPr/>
      </w:pPr>
      <w:r>
        <w:rPr/>
        <w:t>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Other recent accounting pronouncements issued by the FASB did not or are not believed by management to have a material impact on our condensed consolidated financial statements.</w:t>
      </w:r>
    </w:p>
    <w:p>
      <w:pPr>
        <w:pStyle w:val="TextBody"/>
        <w:spacing w:before="360" w:after="0"/>
        <w:jc w:val="left"/>
        <w:rPr>
          <w:rFonts w:ascii="Times New Roman;serif" w:hAnsi="Times New Roman;serif"/>
          <w:b/>
          <w:sz w:val="20"/>
        </w:rPr>
      </w:pPr>
      <w:r>
        <w:rPr>
          <w:rFonts w:ascii="Times New Roman;serif" w:hAnsi="Times New Roman;serif"/>
          <w:b/>
          <w:sz w:val="20"/>
        </w:rPr>
        <w:t>2. FAIR VALUE MEASUREMENTS</w:t>
      </w:r>
    </w:p>
    <w:p>
      <w:pPr>
        <w:pStyle w:val="TextBody"/>
        <w:spacing w:before="120" w:after="0"/>
        <w:jc w:val="left"/>
        <w:rPr>
          <w:rFonts w:ascii="Times New Roman;serif" w:hAnsi="Times New Roman;serif"/>
          <w:b/>
          <w:sz w:val="20"/>
        </w:rPr>
      </w:pPr>
      <w:r>
        <w:rPr>
          <w:rFonts w:ascii="Times New Roman;serif" w:hAnsi="Times New Roman;serif"/>
          <w:b/>
          <w:sz w:val="20"/>
        </w:rPr>
        <w:t>Cash Equivalents and Marketable Securities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Cash equivalents, restricted cash and marketable securities by security type at March 31, 2023 were as follows:</w:t>
      </w:r>
    </w:p>
    <w:tbl>
      <w:tblPr>
        <w:tblW w:w="8850" w:type="dxa"/>
        <w:jc w:val="left"/>
        <w:tblInd w:w="0" w:type="dxa"/>
        <w:tblCellMar>
          <w:top w:w="28" w:type="dxa"/>
          <w:left w:w="28" w:type="dxa"/>
          <w:bottom w:w="28" w:type="dxa"/>
          <w:right w:w="28" w:type="dxa"/>
        </w:tblCellMar>
      </w:tblPr>
      <w:tblGrid>
        <w:gridCol w:w="3661"/>
        <w:gridCol w:w="146"/>
        <w:gridCol w:w="211"/>
        <w:gridCol w:w="781"/>
        <w:gridCol w:w="146"/>
        <w:gridCol w:w="146"/>
        <w:gridCol w:w="295"/>
        <w:gridCol w:w="591"/>
        <w:gridCol w:w="146"/>
        <w:gridCol w:w="146"/>
        <w:gridCol w:w="270"/>
        <w:gridCol w:w="616"/>
        <w:gridCol w:w="166"/>
        <w:gridCol w:w="146"/>
        <w:gridCol w:w="211"/>
        <w:gridCol w:w="781"/>
        <w:gridCol w:w="391"/>
      </w:tblGrid>
      <w:tr>
        <w:trPr/>
        <w:tc>
          <w:tcPr>
            <w:tcW w:w="366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83"/>
              <w:rPr>
                <w:sz w:val="4"/>
                <w:szCs w:val="4"/>
              </w:rPr>
            </w:pPr>
            <w:r>
              <w:rPr>
                <w:sz w:val="4"/>
                <w:szCs w:val="4"/>
              </w:rPr>
            </w:r>
          </w:p>
        </w:tc>
        <w:tc>
          <w:tcPr>
            <w:tcW w:w="5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366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6"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Gross</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6"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Gross</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hanging="0"/>
              <w:jc w:val="left"/>
              <w:rPr/>
            </w:pPr>
            <w:r>
              <w:rPr/>
              <w:t> </w:t>
            </w:r>
          </w:p>
        </w:tc>
      </w:tr>
      <w:tr>
        <w:trPr/>
        <w:tc>
          <w:tcPr>
            <w:tcW w:w="366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Amortized</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6"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Unrealized</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6"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Unrealized</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Estimated</w:t>
            </w:r>
          </w:p>
        </w:tc>
        <w:tc>
          <w:tcPr>
            <w:tcW w:w="391" w:type="dxa"/>
            <w:tcBorders/>
            <w:shd w:fill="auto" w:val="clear"/>
            <w:vAlign w:val="center"/>
          </w:tcPr>
          <w:p>
            <w:pPr>
              <w:pStyle w:val="TableContents"/>
              <w:spacing w:before="0" w:after="0"/>
              <w:ind w:left="0" w:right="0" w:hanging="0"/>
              <w:jc w:val="center"/>
              <w:rPr/>
            </w:pPr>
            <w:r>
              <w:rPr/>
              <w:t> </w:t>
            </w:r>
          </w:p>
        </w:tc>
      </w:tr>
      <w:tr>
        <w:trPr/>
        <w:tc>
          <w:tcPr>
            <w:tcW w:w="36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(In thousands)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Cost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Gains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Losses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Fair Value</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6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Included in cash and cash equivalents:</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6"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6"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firstLine="200"/>
              <w:jc w:val="left"/>
              <w:rPr/>
            </w:pPr>
            <w:r>
              <w:rPr/>
              <w:t> </w:t>
            </w:r>
          </w:p>
        </w:tc>
      </w:tr>
      <w:tr>
        <w:trPr/>
        <w:tc>
          <w:tcPr>
            <w:tcW w:w="366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Money market funds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35,361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9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1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35,361</w:t>
            </w:r>
          </w:p>
        </w:tc>
        <w:tc>
          <w:tcPr>
            <w:tcW w:w="391" w:type="dxa"/>
            <w:tcBorders/>
            <w:shd w:fill="auto" w:val="clear"/>
            <w:vAlign w:val="center"/>
          </w:tcPr>
          <w:p>
            <w:pPr>
              <w:pStyle w:val="TableContents"/>
              <w:spacing w:before="0" w:after="0"/>
              <w:ind w:left="0" w:right="0" w:firstLine="200"/>
              <w:jc w:val="left"/>
              <w:rPr/>
            </w:pPr>
            <w:r>
              <w:rPr/>
              <w:t> </w:t>
            </w:r>
          </w:p>
        </w:tc>
      </w:tr>
      <w:tr>
        <w:trPr/>
        <w:tc>
          <w:tcPr>
            <w:tcW w:w="366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Government-sponsored enterprise securities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7,440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5" w:type="dxa"/>
            <w:tcBorders/>
            <w:shd w:fill="auto" w:val="clear"/>
            <w:vAlign w:val="center"/>
          </w:tcPr>
          <w:p>
            <w:pPr>
              <w:pStyle w:val="TableContents"/>
              <w:spacing w:before="0" w:after="0"/>
              <w:ind w:left="0" w:right="0" w:hanging="0"/>
              <w:jc w:val="left"/>
              <w:rPr/>
            </w:pPr>
            <w:r>
              <w:rPr/>
              <w:t> </w:t>
            </w:r>
          </w:p>
        </w:tc>
        <w:tc>
          <w:tcPr>
            <w:tcW w:w="59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0" w:type="dxa"/>
            <w:tcBorders/>
            <w:shd w:fill="auto" w:val="clear"/>
            <w:vAlign w:val="center"/>
          </w:tcPr>
          <w:p>
            <w:pPr>
              <w:pStyle w:val="TableContents"/>
              <w:spacing w:before="0" w:after="0"/>
              <w:ind w:left="0" w:right="0" w:hanging="0"/>
              <w:jc w:val="left"/>
              <w:rPr/>
            </w:pPr>
            <w:r>
              <w:rPr/>
              <w:t> </w:t>
            </w:r>
          </w:p>
        </w:tc>
        <w:tc>
          <w:tcPr>
            <w:tcW w:w="61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7,445</w:t>
            </w:r>
          </w:p>
        </w:tc>
        <w:tc>
          <w:tcPr>
            <w:tcW w:w="391" w:type="dxa"/>
            <w:tcBorders/>
            <w:shd w:fill="auto" w:val="clear"/>
            <w:vAlign w:val="center"/>
          </w:tcPr>
          <w:p>
            <w:pPr>
              <w:pStyle w:val="TableContents"/>
              <w:spacing w:before="0" w:after="0"/>
              <w:ind w:left="0" w:right="0" w:firstLine="200"/>
              <w:jc w:val="left"/>
              <w:rPr/>
            </w:pPr>
            <w:r>
              <w:rPr/>
              <w:t> </w:t>
            </w:r>
          </w:p>
        </w:tc>
      </w:tr>
      <w:tr>
        <w:trPr/>
        <w:tc>
          <w:tcPr>
            <w:tcW w:w="366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Commercial paper</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33,657</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33,628</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3661" w:type="dxa"/>
            <w:tcBorders/>
            <w:shd w:fill="auto" w:val="clear"/>
            <w:vAlign w:val="center"/>
          </w:tcPr>
          <w:p>
            <w:pPr>
              <w:pStyle w:val="TableContents"/>
              <w:spacing w:before="0" w:after="0"/>
              <w:ind w:left="20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76,458</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1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76,434</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3661" w:type="dxa"/>
            <w:tcBorders/>
            <w:shd w:fill="auto" w:val="clear"/>
            <w:vAlign w:val="center"/>
          </w:tcPr>
          <w:p>
            <w:pPr>
              <w:pStyle w:val="TableContents"/>
              <w:spacing w:before="0" w:after="0"/>
              <w:ind w:left="20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6"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6"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hanging="0"/>
              <w:jc w:val="left"/>
              <w:rPr/>
            </w:pPr>
            <w:r>
              <w:rPr/>
              <w:t> </w:t>
            </w:r>
          </w:p>
        </w:tc>
      </w:tr>
      <w:tr>
        <w:trPr/>
        <w:tc>
          <w:tcPr>
            <w:tcW w:w="36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Restricted cash:</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6"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6"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firstLine="200"/>
              <w:jc w:val="left"/>
              <w:rPr/>
            </w:pPr>
            <w:r>
              <w:rPr/>
              <w:t> </w:t>
            </w:r>
          </w:p>
        </w:tc>
      </w:tr>
      <w:tr>
        <w:trPr/>
        <w:tc>
          <w:tcPr>
            <w:tcW w:w="366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Money market fund</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9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1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93</w:t>
            </w:r>
          </w:p>
        </w:tc>
        <w:tc>
          <w:tcPr>
            <w:tcW w:w="391" w:type="dxa"/>
            <w:tcBorders/>
            <w:shd w:fill="auto" w:val="clear"/>
            <w:vAlign w:val="center"/>
          </w:tcPr>
          <w:p>
            <w:pPr>
              <w:pStyle w:val="TableContents"/>
              <w:spacing w:before="0" w:after="0"/>
              <w:ind w:left="0" w:right="0" w:firstLine="200"/>
              <w:jc w:val="left"/>
              <w:rPr/>
            </w:pPr>
            <w:r>
              <w:rPr/>
              <w:t> </w:t>
            </w:r>
          </w:p>
        </w:tc>
      </w:tr>
      <w:tr>
        <w:trPr/>
        <w:tc>
          <w:tcPr>
            <w:tcW w:w="366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Certificate of deposit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272</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3661" w:type="dxa"/>
            <w:tcBorders/>
            <w:shd w:fill="auto" w:val="clear"/>
            <w:vAlign w:val="center"/>
          </w:tcPr>
          <w:p>
            <w:pPr>
              <w:pStyle w:val="TableContents"/>
              <w:spacing w:before="0" w:after="283"/>
              <w:ind w:left="0" w:right="0" w:firstLine="20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365</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1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365</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3661" w:type="dxa"/>
            <w:tcBorders/>
            <w:shd w:fill="auto" w:val="clear"/>
            <w:vAlign w:val="center"/>
          </w:tcPr>
          <w:p>
            <w:pPr>
              <w:pStyle w:val="TableContents"/>
              <w:spacing w:before="0" w:after="283"/>
              <w:ind w:left="0" w:right="0" w:firstLine="200"/>
              <w:rPr>
                <w:sz w:val="4"/>
                <w:szCs w:val="4"/>
              </w:rPr>
            </w:pPr>
            <w:r>
              <w:rPr>
                <w:sz w:val="4"/>
                <w:szCs w:val="4"/>
              </w:rPr>
            </w:r>
          </w:p>
        </w:tc>
        <w:tc>
          <w:tcPr>
            <w:tcW w:w="146" w:type="dxa"/>
            <w:tcBorders/>
            <w:shd w:fill="auto" w:val="clear"/>
            <w:vAlign w:val="center"/>
          </w:tcPr>
          <w:p>
            <w:pPr>
              <w:pStyle w:val="TableContents"/>
              <w:spacing w:before="0" w:after="0"/>
              <w:ind w:left="200" w:right="0" w:hanging="0"/>
              <w:jc w:val="left"/>
              <w:rPr/>
            </w:pPr>
            <w:r>
              <w:rPr/>
              <w:t> </w:t>
            </w:r>
          </w:p>
        </w:tc>
        <w:tc>
          <w:tcPr>
            <w:tcW w:w="99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6"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6"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hanging="0"/>
              <w:jc w:val="left"/>
              <w:rPr/>
            </w:pPr>
            <w:r>
              <w:rPr/>
              <w:t> </w:t>
            </w:r>
          </w:p>
        </w:tc>
      </w:tr>
      <w:tr>
        <w:trPr/>
        <w:tc>
          <w:tcPr>
            <w:tcW w:w="36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Marketable securities:</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6"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6"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firstLine="200"/>
              <w:jc w:val="left"/>
              <w:rPr/>
            </w:pPr>
            <w:r>
              <w:rPr/>
              <w:t> </w:t>
            </w:r>
          </w:p>
        </w:tc>
      </w:tr>
      <w:tr>
        <w:trPr/>
        <w:tc>
          <w:tcPr>
            <w:tcW w:w="366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 xml:space="preserve">Government-sponsored enterprise </w:t>
              <w:br/>
              <w:t>   securities (due in less than one year)</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61,664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9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61,691</w:t>
            </w:r>
          </w:p>
        </w:tc>
        <w:tc>
          <w:tcPr>
            <w:tcW w:w="391" w:type="dxa"/>
            <w:tcBorders/>
            <w:shd w:fill="auto" w:val="clear"/>
            <w:vAlign w:val="center"/>
          </w:tcPr>
          <w:p>
            <w:pPr>
              <w:pStyle w:val="TableContents"/>
              <w:spacing w:before="0" w:after="0"/>
              <w:ind w:left="0" w:right="0" w:firstLine="200"/>
              <w:jc w:val="left"/>
              <w:rPr/>
            </w:pPr>
            <w:r>
              <w:rPr/>
              <w:t> </w:t>
            </w:r>
          </w:p>
        </w:tc>
      </w:tr>
      <w:tr>
        <w:trPr/>
        <w:tc>
          <w:tcPr>
            <w:tcW w:w="366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 xml:space="preserve">Government-sponsored enterprise </w:t>
              <w:br/>
              <w:t>   securities (due in one to two years)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11,845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5" w:type="dxa"/>
            <w:tcBorders/>
            <w:shd w:fill="auto" w:val="clear"/>
            <w:vAlign w:val="center"/>
          </w:tcPr>
          <w:p>
            <w:pPr>
              <w:pStyle w:val="TableContents"/>
              <w:spacing w:before="0" w:after="0"/>
              <w:ind w:left="0" w:right="0" w:hanging="0"/>
              <w:jc w:val="left"/>
              <w:rPr/>
            </w:pPr>
            <w:r>
              <w:rPr/>
              <w:t> </w:t>
            </w:r>
          </w:p>
        </w:tc>
        <w:tc>
          <w:tcPr>
            <w:tcW w:w="59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0" w:type="dxa"/>
            <w:tcBorders/>
            <w:shd w:fill="auto" w:val="clear"/>
            <w:vAlign w:val="center"/>
          </w:tcPr>
          <w:p>
            <w:pPr>
              <w:pStyle w:val="TableContents"/>
              <w:spacing w:before="0" w:after="0"/>
              <w:ind w:left="0" w:right="0" w:hanging="0"/>
              <w:jc w:val="left"/>
              <w:rPr/>
            </w:pPr>
            <w:r>
              <w:rPr/>
              <w:t> </w:t>
            </w:r>
          </w:p>
        </w:tc>
        <w:tc>
          <w:tcPr>
            <w:tcW w:w="61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11,867</w:t>
            </w:r>
          </w:p>
        </w:tc>
        <w:tc>
          <w:tcPr>
            <w:tcW w:w="391" w:type="dxa"/>
            <w:tcBorders/>
            <w:shd w:fill="auto" w:val="clear"/>
            <w:vAlign w:val="center"/>
          </w:tcPr>
          <w:p>
            <w:pPr>
              <w:pStyle w:val="TableContents"/>
              <w:spacing w:before="0" w:after="0"/>
              <w:ind w:left="0" w:right="0" w:firstLine="200"/>
              <w:jc w:val="left"/>
              <w:rPr/>
            </w:pPr>
            <w:r>
              <w:rPr/>
              <w:t> </w:t>
            </w:r>
          </w:p>
        </w:tc>
      </w:tr>
      <w:tr>
        <w:trPr/>
        <w:tc>
          <w:tcPr>
            <w:tcW w:w="366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 xml:space="preserve">Commercial paper (due in less than </w:t>
              <w:br/>
              <w:t>   one year)</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191,461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5" w:type="dxa"/>
            <w:tcBorders/>
            <w:shd w:fill="auto" w:val="clear"/>
            <w:vAlign w:val="center"/>
          </w:tcPr>
          <w:p>
            <w:pPr>
              <w:pStyle w:val="TableContents"/>
              <w:spacing w:before="0" w:after="0"/>
              <w:ind w:left="0" w:right="0" w:hanging="0"/>
              <w:jc w:val="left"/>
              <w:rPr/>
            </w:pPr>
            <w:r>
              <w:rPr/>
              <w:t> </w:t>
            </w:r>
          </w:p>
        </w:tc>
        <w:tc>
          <w:tcPr>
            <w:tcW w:w="59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0" w:type="dxa"/>
            <w:tcBorders/>
            <w:shd w:fill="auto" w:val="clear"/>
            <w:vAlign w:val="center"/>
          </w:tcPr>
          <w:p>
            <w:pPr>
              <w:pStyle w:val="TableContents"/>
              <w:spacing w:before="0" w:after="0"/>
              <w:ind w:left="0" w:right="0" w:hanging="0"/>
              <w:jc w:val="left"/>
              <w:rPr/>
            </w:pPr>
            <w:r>
              <w:rPr/>
              <w:t> </w:t>
            </w:r>
          </w:p>
        </w:tc>
        <w:tc>
          <w:tcPr>
            <w:tcW w:w="6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(174</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191,318</w:t>
            </w:r>
          </w:p>
        </w:tc>
        <w:tc>
          <w:tcPr>
            <w:tcW w:w="391" w:type="dxa"/>
            <w:tcBorders/>
            <w:shd w:fill="auto" w:val="clear"/>
            <w:vAlign w:val="center"/>
          </w:tcPr>
          <w:p>
            <w:pPr>
              <w:pStyle w:val="TableContents"/>
              <w:spacing w:before="0" w:after="0"/>
              <w:ind w:left="0" w:right="0" w:firstLine="200"/>
              <w:jc w:val="left"/>
              <w:rPr/>
            </w:pPr>
            <w:r>
              <w:rPr/>
              <w:t> </w:t>
            </w:r>
          </w:p>
        </w:tc>
      </w:tr>
      <w:tr>
        <w:trPr/>
        <w:tc>
          <w:tcPr>
            <w:tcW w:w="366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Corporate notes (due in less than one year)</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14,984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5" w:type="dxa"/>
            <w:tcBorders/>
            <w:shd w:fill="auto" w:val="clear"/>
            <w:vAlign w:val="center"/>
          </w:tcPr>
          <w:p>
            <w:pPr>
              <w:pStyle w:val="TableContents"/>
              <w:spacing w:before="0" w:after="0"/>
              <w:ind w:left="0" w:right="0" w:hanging="0"/>
              <w:jc w:val="left"/>
              <w:rPr/>
            </w:pPr>
            <w:r>
              <w:rPr/>
              <w:t> </w:t>
            </w:r>
          </w:p>
        </w:tc>
        <w:tc>
          <w:tcPr>
            <w:tcW w:w="59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0" w:type="dxa"/>
            <w:tcBorders/>
            <w:shd w:fill="auto" w:val="clear"/>
            <w:vAlign w:val="center"/>
          </w:tcPr>
          <w:p>
            <w:pPr>
              <w:pStyle w:val="TableContents"/>
              <w:spacing w:before="0" w:after="0"/>
              <w:ind w:left="0" w:right="0" w:hanging="0"/>
              <w:jc w:val="left"/>
              <w:rPr/>
            </w:pPr>
            <w:r>
              <w:rPr/>
              <w:t> </w:t>
            </w:r>
          </w:p>
        </w:tc>
        <w:tc>
          <w:tcPr>
            <w:tcW w:w="6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14,955</w:t>
            </w:r>
          </w:p>
        </w:tc>
        <w:tc>
          <w:tcPr>
            <w:tcW w:w="391" w:type="dxa"/>
            <w:tcBorders/>
            <w:shd w:fill="auto" w:val="clear"/>
            <w:vAlign w:val="center"/>
          </w:tcPr>
          <w:p>
            <w:pPr>
              <w:pStyle w:val="TableContents"/>
              <w:spacing w:before="0" w:after="0"/>
              <w:ind w:left="0" w:right="0" w:firstLine="200"/>
              <w:jc w:val="left"/>
              <w:rPr/>
            </w:pPr>
            <w:r>
              <w:rPr/>
              <w:t> </w:t>
            </w:r>
          </w:p>
        </w:tc>
      </w:tr>
      <w:tr>
        <w:trPr/>
        <w:tc>
          <w:tcPr>
            <w:tcW w:w="366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Corporate notes (due in one to two years)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16,251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16,233</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66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296,205</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109</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1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(250</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296,064</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240" w:after="0"/>
        <w:jc w:val="left"/>
        <w:rPr>
          <w:rFonts w:ascii="Times New Roman;serif" w:hAnsi="Times New Roman;serif"/>
          <w:b w:val="false"/>
          <w:sz w:val="20"/>
        </w:rPr>
      </w:pPr>
      <w:r>
        <w:rPr>
          <w:rFonts w:ascii="Times New Roman;serif" w:hAnsi="Times New Roman;serif"/>
          <w:b w:val="false"/>
          <w:sz w:val="20"/>
        </w:rPr>
        <w:t>Cash equivalents, restricted cash and marketable securities by security type at December 31, 2022 were as follows: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13</w:t>
      </w:r>
    </w:p>
    <w:p>
      <w:pPr>
        <w:pStyle w:val="HorizontalLine"/>
        <w:rPr/>
      </w:pPr>
      <w:r>
        <w:rPr/>
      </w:r>
    </w:p>
    <w:p>
      <w:pPr>
        <w:pStyle w:val="TextBody"/>
        <w:spacing w:before="0" w:after="0"/>
        <w:jc w:val="center"/>
        <w:rPr>
          <w:rFonts w:ascii="Times New Roman;serif" w:hAnsi="Times New Roman;serif"/>
          <w:b/>
          <w:sz w:val="20"/>
        </w:rPr>
      </w:pPr>
      <w:r>
        <w:rPr>
          <w:rFonts w:ascii="Times New Roman;serif" w:hAnsi="Times New Roman;serif"/>
          <w:b/>
          <w:sz w:val="20"/>
        </w:rPr>
        <w:t>GERON CORPORATION</w:t>
      </w:r>
    </w:p>
    <w:p>
      <w:pPr>
        <w:pStyle w:val="TextBody"/>
        <w:spacing w:before="0" w:after="0"/>
        <w:jc w:val="center"/>
        <w:rPr>
          <w:rFonts w:ascii="Times New Roman;serif" w:hAnsi="Times New Roman;serif"/>
          <w:b/>
          <w:sz w:val="20"/>
        </w:rPr>
      </w:pPr>
      <w:r>
        <w:rPr>
          <w:rFonts w:ascii="Times New Roman;serif" w:hAnsi="Times New Roman;serif"/>
          <w:b/>
          <w:sz w:val="20"/>
        </w:rPr>
        <w:t>NOTES TO CONDENSED CONSOLIDATED FINANCIAL STATEMENTS</w:t>
      </w:r>
    </w:p>
    <w:p>
      <w:pPr>
        <w:pStyle w:val="TextBody"/>
        <w:spacing w:before="0" w:after="0"/>
        <w:jc w:val="center"/>
        <w:rPr>
          <w:rFonts w:ascii="Times New Roman;serif" w:hAnsi="Times New Roman;serif"/>
          <w:b/>
          <w:caps/>
          <w:sz w:val="20"/>
        </w:rPr>
      </w:pPr>
      <w:r>
        <w:rPr>
          <w:rFonts w:ascii="Times New Roman;serif" w:hAnsi="Times New Roman;serif"/>
          <w:b/>
          <w:caps/>
          <w:sz w:val="20"/>
        </w:rPr>
        <w:t>March 31, 2023</w:t>
      </w:r>
    </w:p>
    <w:p>
      <w:pPr>
        <w:pStyle w:val="TextBody"/>
        <w:spacing w:before="0" w:after="0"/>
        <w:jc w:val="center"/>
        <w:rPr>
          <w:rFonts w:ascii="Times New Roman" w:hAnsi="Times New Roman"/>
          <w:sz w:val="20"/>
        </w:rPr>
      </w:pPr>
      <w:r>
        <w:rPr>
          <w:rFonts w:ascii="Times New Roman;serif" w:hAnsi="Times New Roman;serif"/>
          <w:b/>
          <w:sz w:val="20"/>
        </w:rPr>
        <w:t>(UNAUDITED</w:t>
      </w:r>
      <w:r>
        <w:rPr>
          <w:rFonts w:ascii="Times New Roman;serif" w:hAnsi="Times New Roman;serif"/>
          <w:b w:val="false"/>
          <w:sz w:val="20"/>
        </w:rPr>
        <w:t>)</w:t>
      </w:r>
    </w:p>
    <w:p>
      <w:pPr>
        <w:pStyle w:val="TextBody"/>
        <w:spacing w:before="0" w:after="0"/>
        <w:jc w:val="center"/>
        <w:rPr/>
      </w:pPr>
      <w:r>
        <w:rPr/>
        <w:t> </w:t>
      </w:r>
    </w:p>
    <w:tbl>
      <w:tblPr>
        <w:tblW w:w="10275" w:type="dxa"/>
        <w:jc w:val="left"/>
        <w:tblInd w:w="0" w:type="dxa"/>
        <w:tblCellMar>
          <w:top w:w="28" w:type="dxa"/>
          <w:left w:w="28" w:type="dxa"/>
          <w:bottom w:w="28" w:type="dxa"/>
          <w:right w:w="28" w:type="dxa"/>
        </w:tblCellMar>
      </w:tblPr>
      <w:tblGrid>
        <w:gridCol w:w="3706"/>
        <w:gridCol w:w="346"/>
        <w:gridCol w:w="211"/>
        <w:gridCol w:w="781"/>
        <w:gridCol w:w="346"/>
        <w:gridCol w:w="346"/>
        <w:gridCol w:w="335"/>
        <w:gridCol w:w="551"/>
        <w:gridCol w:w="346"/>
        <w:gridCol w:w="346"/>
        <w:gridCol w:w="270"/>
        <w:gridCol w:w="616"/>
        <w:gridCol w:w="346"/>
        <w:gridCol w:w="346"/>
        <w:gridCol w:w="211"/>
        <w:gridCol w:w="781"/>
        <w:gridCol w:w="391"/>
      </w:tblGrid>
      <w:tr>
        <w:trPr/>
        <w:tc>
          <w:tcPr>
            <w:tcW w:w="3706"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551"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3706"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left"/>
              <w:rPr/>
            </w:pPr>
            <w:r>
              <w:rPr/>
              <w:t> </w:t>
            </w:r>
          </w:p>
        </w:tc>
        <w:tc>
          <w:tcPr>
            <w:tcW w:w="886"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Gross</w:t>
            </w:r>
          </w:p>
        </w:tc>
        <w:tc>
          <w:tcPr>
            <w:tcW w:w="346" w:type="dxa"/>
            <w:tcBorders/>
            <w:shd w:fill="auto" w:val="clear"/>
            <w:vAlign w:val="center"/>
          </w:tcPr>
          <w:p>
            <w:pPr>
              <w:pStyle w:val="TableContents"/>
              <w:spacing w:before="0" w:after="0"/>
              <w:ind w:left="0" w:right="0" w:hanging="0"/>
              <w:jc w:val="center"/>
              <w:rPr/>
            </w:pPr>
            <w:r>
              <w:rPr/>
              <w:t> </w:t>
            </w:r>
          </w:p>
        </w:tc>
        <w:tc>
          <w:tcPr>
            <w:tcW w:w="346" w:type="dxa"/>
            <w:tcBorders/>
            <w:shd w:fill="auto" w:val="clear"/>
            <w:vAlign w:val="center"/>
          </w:tcPr>
          <w:p>
            <w:pPr>
              <w:pStyle w:val="TableContents"/>
              <w:spacing w:before="0" w:after="0"/>
              <w:ind w:left="0" w:right="0" w:hanging="0"/>
              <w:jc w:val="left"/>
              <w:rPr/>
            </w:pPr>
            <w:r>
              <w:rPr/>
              <w:t> </w:t>
            </w:r>
          </w:p>
        </w:tc>
        <w:tc>
          <w:tcPr>
            <w:tcW w:w="886"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Gross</w:t>
            </w:r>
          </w:p>
        </w:tc>
        <w:tc>
          <w:tcPr>
            <w:tcW w:w="346" w:type="dxa"/>
            <w:tcBorders/>
            <w:shd w:fill="auto" w:val="clear"/>
            <w:vAlign w:val="center"/>
          </w:tcPr>
          <w:p>
            <w:pPr>
              <w:pStyle w:val="TableContents"/>
              <w:spacing w:before="0" w:after="0"/>
              <w:ind w:left="0" w:right="0" w:hanging="0"/>
              <w:jc w:val="center"/>
              <w:rPr/>
            </w:pPr>
            <w:r>
              <w:rPr/>
              <w:t> </w:t>
            </w:r>
          </w:p>
        </w:tc>
        <w:tc>
          <w:tcPr>
            <w:tcW w:w="3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hanging="0"/>
              <w:jc w:val="left"/>
              <w:rPr/>
            </w:pPr>
            <w:r>
              <w:rPr/>
              <w:t> </w:t>
            </w:r>
          </w:p>
        </w:tc>
      </w:tr>
      <w:tr>
        <w:trPr/>
        <w:tc>
          <w:tcPr>
            <w:tcW w:w="3706"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Amortized</w:t>
            </w:r>
          </w:p>
        </w:tc>
        <w:tc>
          <w:tcPr>
            <w:tcW w:w="346" w:type="dxa"/>
            <w:tcBorders/>
            <w:shd w:fill="auto" w:val="clear"/>
            <w:vAlign w:val="center"/>
          </w:tcPr>
          <w:p>
            <w:pPr>
              <w:pStyle w:val="TableContents"/>
              <w:spacing w:before="0" w:after="0"/>
              <w:ind w:left="0" w:right="0" w:hanging="0"/>
              <w:jc w:val="center"/>
              <w:rPr/>
            </w:pPr>
            <w:r>
              <w:rPr/>
              <w:t> </w:t>
            </w:r>
          </w:p>
        </w:tc>
        <w:tc>
          <w:tcPr>
            <w:tcW w:w="346" w:type="dxa"/>
            <w:tcBorders/>
            <w:shd w:fill="auto" w:val="clear"/>
            <w:vAlign w:val="center"/>
          </w:tcPr>
          <w:p>
            <w:pPr>
              <w:pStyle w:val="TableContents"/>
              <w:spacing w:before="0" w:after="0"/>
              <w:ind w:left="0" w:right="0" w:hanging="0"/>
              <w:jc w:val="left"/>
              <w:rPr/>
            </w:pPr>
            <w:r>
              <w:rPr/>
              <w:t> </w:t>
            </w:r>
          </w:p>
        </w:tc>
        <w:tc>
          <w:tcPr>
            <w:tcW w:w="886"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Unrealized</w:t>
            </w:r>
          </w:p>
        </w:tc>
        <w:tc>
          <w:tcPr>
            <w:tcW w:w="346" w:type="dxa"/>
            <w:tcBorders/>
            <w:shd w:fill="auto" w:val="clear"/>
            <w:vAlign w:val="center"/>
          </w:tcPr>
          <w:p>
            <w:pPr>
              <w:pStyle w:val="TableContents"/>
              <w:spacing w:before="0" w:after="0"/>
              <w:ind w:left="0" w:right="0" w:hanging="0"/>
              <w:jc w:val="center"/>
              <w:rPr/>
            </w:pPr>
            <w:r>
              <w:rPr/>
              <w:t> </w:t>
            </w:r>
          </w:p>
        </w:tc>
        <w:tc>
          <w:tcPr>
            <w:tcW w:w="346" w:type="dxa"/>
            <w:tcBorders/>
            <w:shd w:fill="auto" w:val="clear"/>
            <w:vAlign w:val="center"/>
          </w:tcPr>
          <w:p>
            <w:pPr>
              <w:pStyle w:val="TableContents"/>
              <w:spacing w:before="0" w:after="0"/>
              <w:ind w:left="0" w:right="0" w:hanging="0"/>
              <w:jc w:val="left"/>
              <w:rPr/>
            </w:pPr>
            <w:r>
              <w:rPr/>
              <w:t> </w:t>
            </w:r>
          </w:p>
        </w:tc>
        <w:tc>
          <w:tcPr>
            <w:tcW w:w="886"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Unrealized</w:t>
            </w:r>
          </w:p>
        </w:tc>
        <w:tc>
          <w:tcPr>
            <w:tcW w:w="346" w:type="dxa"/>
            <w:tcBorders/>
            <w:shd w:fill="auto" w:val="clear"/>
            <w:vAlign w:val="center"/>
          </w:tcPr>
          <w:p>
            <w:pPr>
              <w:pStyle w:val="TableContents"/>
              <w:spacing w:before="0" w:after="0"/>
              <w:ind w:left="0" w:right="0" w:hanging="0"/>
              <w:jc w:val="center"/>
              <w:rPr/>
            </w:pPr>
            <w:r>
              <w:rPr/>
              <w:t> </w:t>
            </w:r>
          </w:p>
        </w:tc>
        <w:tc>
          <w:tcPr>
            <w:tcW w:w="3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Estimated</w:t>
            </w:r>
          </w:p>
        </w:tc>
        <w:tc>
          <w:tcPr>
            <w:tcW w:w="391" w:type="dxa"/>
            <w:tcBorders/>
            <w:shd w:fill="auto" w:val="clear"/>
            <w:vAlign w:val="center"/>
          </w:tcPr>
          <w:p>
            <w:pPr>
              <w:pStyle w:val="TableContents"/>
              <w:spacing w:before="0" w:after="0"/>
              <w:ind w:left="0" w:right="0" w:hanging="0"/>
              <w:jc w:val="center"/>
              <w:rPr/>
            </w:pPr>
            <w:r>
              <w:rPr/>
              <w:t> </w:t>
            </w:r>
          </w:p>
        </w:tc>
      </w:tr>
      <w:tr>
        <w:trPr/>
        <w:tc>
          <w:tcPr>
            <w:tcW w:w="370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(In thousands)</w:t>
            </w:r>
          </w:p>
        </w:tc>
        <w:tc>
          <w:tcPr>
            <w:tcW w:w="3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Cost</w:t>
            </w:r>
          </w:p>
        </w:tc>
        <w:tc>
          <w:tcPr>
            <w:tcW w:w="3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346" w:type="dxa"/>
            <w:tcBorders/>
            <w:shd w:fill="auto" w:val="clear"/>
            <w:vAlign w:val="center"/>
          </w:tcPr>
          <w:p>
            <w:pPr>
              <w:pStyle w:val="TableContents"/>
              <w:spacing w:before="0" w:after="0"/>
              <w:ind w:left="0" w:right="0" w:hanging="0"/>
              <w:jc w:val="left"/>
              <w:rPr/>
            </w:pPr>
            <w:r>
              <w:rPr/>
              <w:t> </w:t>
            </w:r>
          </w:p>
        </w:tc>
        <w:tc>
          <w:tcPr>
            <w:tcW w:w="88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Gains</w:t>
            </w:r>
          </w:p>
        </w:tc>
        <w:tc>
          <w:tcPr>
            <w:tcW w:w="3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346" w:type="dxa"/>
            <w:tcBorders/>
            <w:shd w:fill="auto" w:val="clear"/>
            <w:vAlign w:val="center"/>
          </w:tcPr>
          <w:p>
            <w:pPr>
              <w:pStyle w:val="TableContents"/>
              <w:spacing w:before="0" w:after="0"/>
              <w:ind w:left="0" w:right="0" w:hanging="0"/>
              <w:jc w:val="left"/>
              <w:rPr/>
            </w:pPr>
            <w:r>
              <w:rPr/>
              <w:t> </w:t>
            </w:r>
          </w:p>
        </w:tc>
        <w:tc>
          <w:tcPr>
            <w:tcW w:w="88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Losses</w:t>
            </w:r>
          </w:p>
        </w:tc>
        <w:tc>
          <w:tcPr>
            <w:tcW w:w="3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346" w:type="dxa"/>
            <w:tcBorders/>
            <w:shd w:fill="auto" w:val="clear"/>
            <w:vAlign w:val="center"/>
          </w:tcPr>
          <w:p>
            <w:pPr>
              <w:pStyle w:val="TableContents"/>
              <w:spacing w:before="0" w:after="0"/>
              <w:ind w:left="0" w:right="0" w:hanging="0"/>
              <w:jc w:val="lef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Fair Value</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7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Included in cash and cash equivalents:</w:t>
            </w:r>
          </w:p>
        </w:tc>
        <w:tc>
          <w:tcPr>
            <w:tcW w:w="3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left"/>
              <w:rPr/>
            </w:pPr>
            <w:r>
              <w:rPr/>
              <w:t> </w:t>
            </w:r>
          </w:p>
        </w:tc>
        <w:tc>
          <w:tcPr>
            <w:tcW w:w="886" w:type="dxa"/>
            <w:gridSpan w:val="2"/>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left"/>
              <w:rPr/>
            </w:pPr>
            <w:r>
              <w:rPr/>
              <w:t> </w:t>
            </w:r>
          </w:p>
        </w:tc>
        <w:tc>
          <w:tcPr>
            <w:tcW w:w="886" w:type="dxa"/>
            <w:gridSpan w:val="2"/>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firstLine="200"/>
              <w:jc w:val="left"/>
              <w:rPr/>
            </w:pPr>
            <w:r>
              <w:rPr/>
              <w:t> </w:t>
            </w:r>
          </w:p>
        </w:tc>
      </w:tr>
      <w:tr>
        <w:trPr/>
        <w:tc>
          <w:tcPr>
            <w:tcW w:w="370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Money market funds</w:t>
            </w:r>
          </w:p>
        </w:tc>
        <w:tc>
          <w:tcPr>
            <w:tcW w:w="3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39,771</w:t>
            </w:r>
          </w:p>
        </w:tc>
        <w:tc>
          <w:tcPr>
            <w:tcW w:w="3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left"/>
              <w:rPr/>
            </w:pPr>
            <w:r>
              <w:rPr/>
              <w:t> </w:t>
            </w:r>
          </w:p>
        </w:tc>
        <w:tc>
          <w:tcPr>
            <w:tcW w:w="33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3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left"/>
              <w:rPr/>
            </w:pPr>
            <w:r>
              <w:rPr/>
              <w:t> </w:t>
            </w:r>
          </w:p>
        </w:tc>
        <w:tc>
          <w:tcPr>
            <w:tcW w:w="27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3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39,771</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3706" w:type="dxa"/>
            <w:tcBorders/>
            <w:shd w:fill="auto" w:val="clear"/>
            <w:vAlign w:val="center"/>
          </w:tcPr>
          <w:p>
            <w:pPr>
              <w:pStyle w:val="TableContents"/>
              <w:spacing w:before="0" w:after="0"/>
              <w:ind w:left="200" w:right="0" w:hanging="0"/>
              <w:jc w:val="left"/>
              <w:rPr/>
            </w:pPr>
            <w:r>
              <w:rPr/>
              <w:t> </w:t>
            </w:r>
          </w:p>
        </w:tc>
        <w:tc>
          <w:tcPr>
            <w:tcW w:w="3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39,771</w:t>
            </w:r>
          </w:p>
        </w:tc>
        <w:tc>
          <w:tcPr>
            <w:tcW w:w="3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left"/>
              <w:rPr/>
            </w:pPr>
            <w:r>
              <w:rPr/>
              <w:t> </w:t>
            </w:r>
          </w:p>
        </w:tc>
        <w:tc>
          <w:tcPr>
            <w:tcW w:w="33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3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left"/>
              <w:rPr/>
            </w:pPr>
            <w:r>
              <w:rPr/>
              <w:t> </w:t>
            </w:r>
          </w:p>
        </w:tc>
        <w:tc>
          <w:tcPr>
            <w:tcW w:w="27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1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3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39,771</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3706" w:type="dxa"/>
            <w:tcBorders/>
            <w:shd w:fill="auto" w:val="clear"/>
            <w:vAlign w:val="center"/>
          </w:tcPr>
          <w:p>
            <w:pPr>
              <w:pStyle w:val="TableContents"/>
              <w:spacing w:before="0" w:after="0"/>
              <w:ind w:left="0" w:right="0" w:firstLine="200"/>
              <w:jc w:val="left"/>
              <w:rPr/>
            </w:pPr>
            <w:r>
              <w:rPr/>
              <w:t> </w:t>
            </w:r>
          </w:p>
        </w:tc>
        <w:tc>
          <w:tcPr>
            <w:tcW w:w="346" w:type="dxa"/>
            <w:tcBorders/>
            <w:shd w:fill="auto" w:val="clear"/>
            <w:vAlign w:val="center"/>
          </w:tcPr>
          <w:p>
            <w:pPr>
              <w:pStyle w:val="TableContents"/>
              <w:spacing w:before="0" w:after="0"/>
              <w:ind w:left="0" w:right="0" w:firstLine="200"/>
              <w:jc w:val="left"/>
              <w:rPr/>
            </w:pPr>
            <w:r>
              <w:rPr/>
              <w:t> </w:t>
            </w:r>
          </w:p>
        </w:tc>
        <w:tc>
          <w:tcPr>
            <w:tcW w:w="992" w:type="dxa"/>
            <w:gridSpan w:val="2"/>
            <w:tcBorders/>
            <w:shd w:fill="auto" w:val="clear"/>
            <w:vAlign w:val="center"/>
          </w:tcPr>
          <w:p>
            <w:pPr>
              <w:pStyle w:val="TableContents"/>
              <w:spacing w:before="0" w:after="0"/>
              <w:ind w:left="200" w:right="0" w:hanging="0"/>
              <w:jc w:val="left"/>
              <w:rPr/>
            </w:pPr>
            <w:r>
              <w:rPr/>
              <w:t> </w:t>
            </w:r>
          </w:p>
        </w:tc>
        <w:tc>
          <w:tcPr>
            <w:tcW w:w="346" w:type="dxa"/>
            <w:tcBorders/>
            <w:shd w:fill="auto" w:val="clear"/>
            <w:vAlign w:val="center"/>
          </w:tcPr>
          <w:p>
            <w:pPr>
              <w:pStyle w:val="TableContents"/>
              <w:spacing w:before="0" w:after="0"/>
              <w:ind w:left="0" w:right="0" w:firstLine="200"/>
              <w:jc w:val="left"/>
              <w:rPr/>
            </w:pPr>
            <w:r>
              <w:rPr/>
              <w:t> </w:t>
            </w:r>
          </w:p>
        </w:tc>
        <w:tc>
          <w:tcPr>
            <w:tcW w:w="346" w:type="dxa"/>
            <w:tcBorders/>
            <w:shd w:fill="auto" w:val="clear"/>
            <w:vAlign w:val="center"/>
          </w:tcPr>
          <w:p>
            <w:pPr>
              <w:pStyle w:val="TableContents"/>
              <w:spacing w:before="0" w:after="0"/>
              <w:ind w:left="0" w:right="0" w:firstLine="200"/>
              <w:jc w:val="left"/>
              <w:rPr/>
            </w:pPr>
            <w:r>
              <w:rPr/>
              <w:t> </w:t>
            </w:r>
          </w:p>
        </w:tc>
        <w:tc>
          <w:tcPr>
            <w:tcW w:w="886" w:type="dxa"/>
            <w:gridSpan w:val="2"/>
            <w:tcBorders/>
            <w:shd w:fill="auto" w:val="clear"/>
            <w:vAlign w:val="center"/>
          </w:tcPr>
          <w:p>
            <w:pPr>
              <w:pStyle w:val="TableContents"/>
              <w:spacing w:before="0" w:after="0"/>
              <w:ind w:left="200" w:right="0" w:hanging="0"/>
              <w:jc w:val="left"/>
              <w:rPr/>
            </w:pPr>
            <w:r>
              <w:rPr/>
              <w:t> </w:t>
            </w:r>
          </w:p>
        </w:tc>
        <w:tc>
          <w:tcPr>
            <w:tcW w:w="346" w:type="dxa"/>
            <w:tcBorders/>
            <w:shd w:fill="auto" w:val="clear"/>
            <w:vAlign w:val="center"/>
          </w:tcPr>
          <w:p>
            <w:pPr>
              <w:pStyle w:val="TableContents"/>
              <w:spacing w:before="0" w:after="0"/>
              <w:ind w:left="0" w:right="0" w:firstLine="200"/>
              <w:jc w:val="left"/>
              <w:rPr/>
            </w:pPr>
            <w:r>
              <w:rPr/>
              <w:t> </w:t>
            </w:r>
          </w:p>
        </w:tc>
        <w:tc>
          <w:tcPr>
            <w:tcW w:w="346" w:type="dxa"/>
            <w:tcBorders/>
            <w:shd w:fill="auto" w:val="clear"/>
            <w:vAlign w:val="center"/>
          </w:tcPr>
          <w:p>
            <w:pPr>
              <w:pStyle w:val="TableContents"/>
              <w:spacing w:before="0" w:after="0"/>
              <w:ind w:left="0" w:right="0" w:firstLine="200"/>
              <w:jc w:val="left"/>
              <w:rPr/>
            </w:pPr>
            <w:r>
              <w:rPr/>
              <w:t> </w:t>
            </w:r>
          </w:p>
        </w:tc>
        <w:tc>
          <w:tcPr>
            <w:tcW w:w="886" w:type="dxa"/>
            <w:gridSpan w:val="2"/>
            <w:tcBorders/>
            <w:shd w:fill="auto" w:val="clear"/>
            <w:vAlign w:val="center"/>
          </w:tcPr>
          <w:p>
            <w:pPr>
              <w:pStyle w:val="TableContents"/>
              <w:spacing w:before="0" w:after="0"/>
              <w:ind w:left="200" w:right="0" w:hanging="0"/>
              <w:jc w:val="left"/>
              <w:rPr/>
            </w:pPr>
            <w:r>
              <w:rPr/>
              <w:t> </w:t>
            </w:r>
          </w:p>
        </w:tc>
        <w:tc>
          <w:tcPr>
            <w:tcW w:w="346" w:type="dxa"/>
            <w:tcBorders/>
            <w:shd w:fill="auto" w:val="clear"/>
            <w:vAlign w:val="center"/>
          </w:tcPr>
          <w:p>
            <w:pPr>
              <w:pStyle w:val="TableContents"/>
              <w:spacing w:before="0" w:after="0"/>
              <w:ind w:left="0" w:right="0" w:firstLine="200"/>
              <w:jc w:val="left"/>
              <w:rPr/>
            </w:pPr>
            <w:r>
              <w:rPr/>
              <w:t> </w:t>
            </w:r>
          </w:p>
        </w:tc>
        <w:tc>
          <w:tcPr>
            <w:tcW w:w="346" w:type="dxa"/>
            <w:tcBorders/>
            <w:shd w:fill="auto" w:val="clear"/>
            <w:vAlign w:val="center"/>
          </w:tcPr>
          <w:p>
            <w:pPr>
              <w:pStyle w:val="TableContents"/>
              <w:spacing w:before="0" w:after="0"/>
              <w:ind w:left="0" w:right="0" w:firstLine="200"/>
              <w:jc w:val="left"/>
              <w:rPr/>
            </w:pPr>
            <w:r>
              <w:rPr/>
              <w:t> </w:t>
            </w:r>
          </w:p>
        </w:tc>
        <w:tc>
          <w:tcPr>
            <w:tcW w:w="992" w:type="dxa"/>
            <w:gridSpan w:val="2"/>
            <w:tcBorders/>
            <w:shd w:fill="auto" w:val="clear"/>
            <w:vAlign w:val="center"/>
          </w:tcPr>
          <w:p>
            <w:pPr>
              <w:pStyle w:val="TableContents"/>
              <w:spacing w:before="0" w:after="0"/>
              <w:ind w:left="200" w:right="0" w:hanging="0"/>
              <w:jc w:val="left"/>
              <w:rPr/>
            </w:pPr>
            <w:r>
              <w:rPr/>
              <w:t> </w:t>
            </w:r>
          </w:p>
        </w:tc>
        <w:tc>
          <w:tcPr>
            <w:tcW w:w="391" w:type="dxa"/>
            <w:tcBorders/>
            <w:shd w:fill="auto" w:val="clear"/>
            <w:vAlign w:val="center"/>
          </w:tcPr>
          <w:p>
            <w:pPr>
              <w:pStyle w:val="TableContents"/>
              <w:spacing w:before="0" w:after="0"/>
              <w:ind w:left="0" w:right="0" w:hanging="0"/>
              <w:jc w:val="left"/>
              <w:rPr/>
            </w:pPr>
            <w:r>
              <w:rPr/>
              <w:t> </w:t>
            </w:r>
          </w:p>
        </w:tc>
      </w:tr>
      <w:tr>
        <w:trPr/>
        <w:tc>
          <w:tcPr>
            <w:tcW w:w="37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Restricted cash:</w:t>
            </w:r>
          </w:p>
        </w:tc>
        <w:tc>
          <w:tcPr>
            <w:tcW w:w="3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left"/>
              <w:rPr/>
            </w:pPr>
            <w:r>
              <w:rPr/>
              <w:t> </w:t>
            </w:r>
          </w:p>
        </w:tc>
        <w:tc>
          <w:tcPr>
            <w:tcW w:w="886" w:type="dxa"/>
            <w:gridSpan w:val="2"/>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left"/>
              <w:rPr/>
            </w:pPr>
            <w:r>
              <w:rPr/>
              <w:t> </w:t>
            </w:r>
          </w:p>
        </w:tc>
        <w:tc>
          <w:tcPr>
            <w:tcW w:w="886" w:type="dxa"/>
            <w:gridSpan w:val="2"/>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firstLine="200"/>
              <w:jc w:val="left"/>
              <w:rPr/>
            </w:pPr>
            <w:r>
              <w:rPr/>
              <w:t> </w:t>
            </w:r>
          </w:p>
        </w:tc>
      </w:tr>
      <w:tr>
        <w:trPr/>
        <w:tc>
          <w:tcPr>
            <w:tcW w:w="370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Money market fund</w:t>
            </w:r>
          </w:p>
        </w:tc>
        <w:tc>
          <w:tcPr>
            <w:tcW w:w="3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93</w:t>
            </w:r>
          </w:p>
        </w:tc>
        <w:tc>
          <w:tcPr>
            <w:tcW w:w="346"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left"/>
              <w:rPr/>
            </w:pPr>
            <w:r>
              <w:rPr/>
              <w:t> </w:t>
            </w:r>
          </w:p>
        </w:tc>
        <w:tc>
          <w:tcPr>
            <w:tcW w:w="33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51" w:type="dxa"/>
            <w:tcBorders/>
            <w:shd w:fill="auto" w:val="clear"/>
            <w:vAlign w:val="center"/>
          </w:tcPr>
          <w:p>
            <w:pPr>
              <w:pStyle w:val="TableContents"/>
              <w:spacing w:before="0" w:after="0"/>
              <w:ind w:left="0" w:right="0" w:hanging="0"/>
              <w:jc w:val="right"/>
              <w:rPr/>
            </w:pPr>
            <w:r>
              <w:rPr/>
              <w:t>—</w:t>
            </w:r>
          </w:p>
        </w:tc>
        <w:tc>
          <w:tcPr>
            <w:tcW w:w="346"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left"/>
              <w:rPr/>
            </w:pPr>
            <w:r>
              <w:rPr/>
              <w:t> </w:t>
            </w:r>
          </w:p>
        </w:tc>
        <w:tc>
          <w:tcPr>
            <w:tcW w:w="27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16" w:type="dxa"/>
            <w:tcBorders/>
            <w:shd w:fill="auto" w:val="clear"/>
            <w:vAlign w:val="center"/>
          </w:tcPr>
          <w:p>
            <w:pPr>
              <w:pStyle w:val="TableContents"/>
              <w:spacing w:before="0" w:after="0"/>
              <w:ind w:left="0" w:right="0" w:hanging="0"/>
              <w:jc w:val="right"/>
              <w:rPr/>
            </w:pPr>
            <w:r>
              <w:rPr/>
              <w:t>—</w:t>
            </w:r>
          </w:p>
        </w:tc>
        <w:tc>
          <w:tcPr>
            <w:tcW w:w="346"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93</w:t>
            </w:r>
          </w:p>
        </w:tc>
        <w:tc>
          <w:tcPr>
            <w:tcW w:w="391" w:type="dxa"/>
            <w:tcBorders/>
            <w:shd w:fill="auto" w:val="clear"/>
            <w:vAlign w:val="center"/>
          </w:tcPr>
          <w:p>
            <w:pPr>
              <w:pStyle w:val="TableContents"/>
              <w:spacing w:before="0" w:after="0"/>
              <w:ind w:left="0" w:right="0" w:firstLine="200"/>
              <w:jc w:val="left"/>
              <w:rPr/>
            </w:pPr>
            <w:r>
              <w:rPr/>
              <w:t> </w:t>
            </w:r>
          </w:p>
        </w:tc>
      </w:tr>
      <w:tr>
        <w:trPr/>
        <w:tc>
          <w:tcPr>
            <w:tcW w:w="370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Certificate of deposit</w:t>
            </w:r>
          </w:p>
        </w:tc>
        <w:tc>
          <w:tcPr>
            <w:tcW w:w="3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271</w:t>
            </w:r>
          </w:p>
        </w:tc>
        <w:tc>
          <w:tcPr>
            <w:tcW w:w="3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left"/>
              <w:rPr/>
            </w:pPr>
            <w:r>
              <w:rPr/>
              <w:t> </w:t>
            </w:r>
          </w:p>
        </w:tc>
        <w:tc>
          <w:tcPr>
            <w:tcW w:w="33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3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left"/>
              <w:rPr/>
            </w:pPr>
            <w:r>
              <w:rPr/>
              <w:t> </w:t>
            </w:r>
          </w:p>
        </w:tc>
        <w:tc>
          <w:tcPr>
            <w:tcW w:w="27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3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271</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3706" w:type="dxa"/>
            <w:tcBorders/>
            <w:shd w:fill="auto" w:val="clear"/>
            <w:vAlign w:val="center"/>
          </w:tcPr>
          <w:p>
            <w:pPr>
              <w:pStyle w:val="TableContents"/>
              <w:spacing w:before="0" w:after="283"/>
              <w:ind w:left="0" w:right="0" w:firstLine="200"/>
              <w:rPr>
                <w:sz w:val="4"/>
                <w:szCs w:val="4"/>
              </w:rPr>
            </w:pPr>
            <w:r>
              <w:rPr>
                <w:sz w:val="4"/>
                <w:szCs w:val="4"/>
              </w:rPr>
            </w:r>
          </w:p>
        </w:tc>
        <w:tc>
          <w:tcPr>
            <w:tcW w:w="3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364</w:t>
            </w:r>
          </w:p>
        </w:tc>
        <w:tc>
          <w:tcPr>
            <w:tcW w:w="3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left"/>
              <w:rPr/>
            </w:pPr>
            <w:r>
              <w:rPr/>
              <w:t> </w:t>
            </w:r>
          </w:p>
        </w:tc>
        <w:tc>
          <w:tcPr>
            <w:tcW w:w="33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3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left"/>
              <w:rPr/>
            </w:pPr>
            <w:r>
              <w:rPr/>
              <w:t> </w:t>
            </w:r>
          </w:p>
        </w:tc>
        <w:tc>
          <w:tcPr>
            <w:tcW w:w="27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1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3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364</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3706" w:type="dxa"/>
            <w:tcBorders/>
            <w:shd w:fill="auto" w:val="clear"/>
            <w:vAlign w:val="center"/>
          </w:tcPr>
          <w:p>
            <w:pPr>
              <w:pStyle w:val="TableContents"/>
              <w:spacing w:before="0" w:after="283"/>
              <w:ind w:left="0" w:right="0" w:firstLine="200"/>
              <w:rPr>
                <w:sz w:val="4"/>
                <w:szCs w:val="4"/>
              </w:rPr>
            </w:pPr>
            <w:r>
              <w:rPr>
                <w:sz w:val="4"/>
                <w:szCs w:val="4"/>
              </w:rPr>
            </w:r>
          </w:p>
        </w:tc>
        <w:tc>
          <w:tcPr>
            <w:tcW w:w="3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left"/>
              <w:rPr/>
            </w:pPr>
            <w:r>
              <w:rPr/>
              <w:t> </w:t>
            </w:r>
          </w:p>
        </w:tc>
        <w:tc>
          <w:tcPr>
            <w:tcW w:w="886" w:type="dxa"/>
            <w:gridSpan w:val="2"/>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left"/>
              <w:rPr/>
            </w:pPr>
            <w:r>
              <w:rPr/>
              <w:t> </w:t>
            </w:r>
          </w:p>
        </w:tc>
        <w:tc>
          <w:tcPr>
            <w:tcW w:w="886" w:type="dxa"/>
            <w:gridSpan w:val="2"/>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hanging="0"/>
              <w:jc w:val="left"/>
              <w:rPr/>
            </w:pPr>
            <w:r>
              <w:rPr/>
              <w:t> </w:t>
            </w:r>
          </w:p>
        </w:tc>
      </w:tr>
      <w:tr>
        <w:trPr/>
        <w:tc>
          <w:tcPr>
            <w:tcW w:w="37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Marketable securities:</w:t>
            </w:r>
          </w:p>
        </w:tc>
        <w:tc>
          <w:tcPr>
            <w:tcW w:w="3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left"/>
              <w:rPr/>
            </w:pPr>
            <w:r>
              <w:rPr/>
              <w:t> </w:t>
            </w:r>
          </w:p>
        </w:tc>
        <w:tc>
          <w:tcPr>
            <w:tcW w:w="886" w:type="dxa"/>
            <w:gridSpan w:val="2"/>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left"/>
              <w:rPr/>
            </w:pPr>
            <w:r>
              <w:rPr/>
              <w:t> </w:t>
            </w:r>
          </w:p>
        </w:tc>
        <w:tc>
          <w:tcPr>
            <w:tcW w:w="886" w:type="dxa"/>
            <w:gridSpan w:val="2"/>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firstLine="200"/>
              <w:jc w:val="left"/>
              <w:rPr/>
            </w:pPr>
            <w:r>
              <w:rPr/>
              <w:t> </w:t>
            </w:r>
          </w:p>
        </w:tc>
      </w:tr>
      <w:tr>
        <w:trPr/>
        <w:tc>
          <w:tcPr>
            <w:tcW w:w="370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 xml:space="preserve">U.S. Treasury securities (due in </w:t>
              <w:br/>
              <w:t>   less than one year)</w:t>
            </w:r>
          </w:p>
        </w:tc>
        <w:tc>
          <w:tcPr>
            <w:tcW w:w="3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12,983</w:t>
            </w:r>
          </w:p>
        </w:tc>
        <w:tc>
          <w:tcPr>
            <w:tcW w:w="346"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left"/>
              <w:rPr/>
            </w:pPr>
            <w:r>
              <w:rPr/>
              <w:t> </w:t>
            </w:r>
          </w:p>
        </w:tc>
        <w:tc>
          <w:tcPr>
            <w:tcW w:w="33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51" w:type="dxa"/>
            <w:tcBorders/>
            <w:shd w:fill="auto" w:val="clear"/>
            <w:vAlign w:val="center"/>
          </w:tcPr>
          <w:p>
            <w:pPr>
              <w:pStyle w:val="TableContents"/>
              <w:spacing w:before="0" w:after="0"/>
              <w:ind w:left="0" w:right="0" w:hanging="0"/>
              <w:jc w:val="right"/>
              <w:rPr/>
            </w:pPr>
            <w:r>
              <w:rPr/>
              <w:t>—</w:t>
            </w:r>
          </w:p>
        </w:tc>
        <w:tc>
          <w:tcPr>
            <w:tcW w:w="346"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left"/>
              <w:rPr/>
            </w:pPr>
            <w:r>
              <w:rPr/>
              <w:t> </w:t>
            </w:r>
          </w:p>
        </w:tc>
        <w:tc>
          <w:tcPr>
            <w:tcW w:w="27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(62</w:t>
            </w:r>
          </w:p>
        </w:tc>
        <w:tc>
          <w:tcPr>
            <w:tcW w:w="3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12,921</w:t>
            </w:r>
          </w:p>
        </w:tc>
        <w:tc>
          <w:tcPr>
            <w:tcW w:w="391" w:type="dxa"/>
            <w:tcBorders/>
            <w:shd w:fill="auto" w:val="clear"/>
            <w:vAlign w:val="center"/>
          </w:tcPr>
          <w:p>
            <w:pPr>
              <w:pStyle w:val="TableContents"/>
              <w:spacing w:before="0" w:after="0"/>
              <w:ind w:left="0" w:right="0" w:firstLine="200"/>
              <w:jc w:val="left"/>
              <w:rPr/>
            </w:pPr>
            <w:r>
              <w:rPr/>
              <w:t> </w:t>
            </w:r>
          </w:p>
        </w:tc>
      </w:tr>
      <w:tr>
        <w:trPr/>
        <w:tc>
          <w:tcPr>
            <w:tcW w:w="370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 xml:space="preserve">Municipal securities (due in </w:t>
              <w:br/>
              <w:t>   less than one year)</w:t>
            </w:r>
          </w:p>
        </w:tc>
        <w:tc>
          <w:tcPr>
            <w:tcW w:w="3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3,000</w:t>
            </w:r>
          </w:p>
        </w:tc>
        <w:tc>
          <w:tcPr>
            <w:tcW w:w="346"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left"/>
              <w:rPr/>
            </w:pPr>
            <w:r>
              <w:rPr/>
              <w:t> </w:t>
            </w:r>
          </w:p>
        </w:tc>
        <w:tc>
          <w:tcPr>
            <w:tcW w:w="335" w:type="dxa"/>
            <w:tcBorders/>
            <w:shd w:fill="auto" w:val="clear"/>
            <w:vAlign w:val="center"/>
          </w:tcPr>
          <w:p>
            <w:pPr>
              <w:pStyle w:val="TableContents"/>
              <w:spacing w:before="0" w:after="0"/>
              <w:ind w:left="0" w:right="0" w:hanging="0"/>
              <w:jc w:val="left"/>
              <w:rPr/>
            </w:pPr>
            <w:r>
              <w:rPr/>
              <w:t> </w:t>
            </w:r>
          </w:p>
        </w:tc>
        <w:tc>
          <w:tcPr>
            <w:tcW w:w="551" w:type="dxa"/>
            <w:tcBorders/>
            <w:shd w:fill="auto" w:val="clear"/>
            <w:vAlign w:val="center"/>
          </w:tcPr>
          <w:p>
            <w:pPr>
              <w:pStyle w:val="TableContents"/>
              <w:spacing w:before="0" w:after="0"/>
              <w:ind w:left="0" w:right="0" w:hanging="0"/>
              <w:jc w:val="right"/>
              <w:rPr/>
            </w:pPr>
            <w:r>
              <w:rPr/>
              <w:t>—</w:t>
            </w:r>
          </w:p>
        </w:tc>
        <w:tc>
          <w:tcPr>
            <w:tcW w:w="346"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left"/>
              <w:rPr/>
            </w:pPr>
            <w:r>
              <w:rPr/>
              <w:t> </w:t>
            </w:r>
          </w:p>
        </w:tc>
        <w:tc>
          <w:tcPr>
            <w:tcW w:w="270" w:type="dxa"/>
            <w:tcBorders/>
            <w:shd w:fill="auto" w:val="clear"/>
            <w:vAlign w:val="center"/>
          </w:tcPr>
          <w:p>
            <w:pPr>
              <w:pStyle w:val="TableContents"/>
              <w:spacing w:before="0" w:after="0"/>
              <w:ind w:left="0" w:right="0" w:hanging="0"/>
              <w:jc w:val="left"/>
              <w:rPr/>
            </w:pPr>
            <w:r>
              <w:rPr/>
              <w:t> </w:t>
            </w:r>
          </w:p>
        </w:tc>
        <w:tc>
          <w:tcPr>
            <w:tcW w:w="6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w:t>
            </w:r>
          </w:p>
        </w:tc>
        <w:tc>
          <w:tcPr>
            <w:tcW w:w="3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2,976</w:t>
            </w:r>
          </w:p>
        </w:tc>
        <w:tc>
          <w:tcPr>
            <w:tcW w:w="391" w:type="dxa"/>
            <w:tcBorders/>
            <w:shd w:fill="auto" w:val="clear"/>
            <w:vAlign w:val="center"/>
          </w:tcPr>
          <w:p>
            <w:pPr>
              <w:pStyle w:val="TableContents"/>
              <w:spacing w:before="0" w:after="0"/>
              <w:ind w:left="0" w:right="0" w:firstLine="200"/>
              <w:jc w:val="left"/>
              <w:rPr/>
            </w:pPr>
            <w:r>
              <w:rPr/>
              <w:t> </w:t>
            </w:r>
          </w:p>
        </w:tc>
      </w:tr>
      <w:tr>
        <w:trPr/>
        <w:tc>
          <w:tcPr>
            <w:tcW w:w="370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 xml:space="preserve">Government-sponsored enterprise securities </w:t>
              <w:br/>
              <w:t>   (due in less than one year)</w:t>
            </w:r>
          </w:p>
        </w:tc>
        <w:tc>
          <w:tcPr>
            <w:tcW w:w="3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9,860</w:t>
            </w:r>
          </w:p>
        </w:tc>
        <w:tc>
          <w:tcPr>
            <w:tcW w:w="346"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left"/>
              <w:rPr/>
            </w:pPr>
            <w:r>
              <w:rPr/>
              <w:t> </w:t>
            </w:r>
          </w:p>
        </w:tc>
        <w:tc>
          <w:tcPr>
            <w:tcW w:w="335" w:type="dxa"/>
            <w:tcBorders/>
            <w:shd w:fill="auto" w:val="clear"/>
            <w:vAlign w:val="center"/>
          </w:tcPr>
          <w:p>
            <w:pPr>
              <w:pStyle w:val="TableContents"/>
              <w:spacing w:before="0" w:after="0"/>
              <w:ind w:left="0" w:right="0" w:hanging="0"/>
              <w:jc w:val="left"/>
              <w:rPr/>
            </w:pPr>
            <w:r>
              <w:rPr/>
              <w:t> </w:t>
            </w:r>
          </w:p>
        </w:tc>
        <w:tc>
          <w:tcPr>
            <w:tcW w:w="551" w:type="dxa"/>
            <w:tcBorders/>
            <w:shd w:fill="auto" w:val="clear"/>
            <w:vAlign w:val="center"/>
          </w:tcPr>
          <w:p>
            <w:pPr>
              <w:pStyle w:val="TableContents"/>
              <w:spacing w:before="0" w:after="0"/>
              <w:ind w:left="0" w:right="0" w:hanging="0"/>
              <w:jc w:val="right"/>
              <w:rPr/>
            </w:pPr>
            <w:r>
              <w:rPr/>
              <w:t>—</w:t>
            </w:r>
          </w:p>
        </w:tc>
        <w:tc>
          <w:tcPr>
            <w:tcW w:w="346"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left"/>
              <w:rPr/>
            </w:pPr>
            <w:r>
              <w:rPr/>
              <w:t> </w:t>
            </w:r>
          </w:p>
        </w:tc>
        <w:tc>
          <w:tcPr>
            <w:tcW w:w="270" w:type="dxa"/>
            <w:tcBorders/>
            <w:shd w:fill="auto" w:val="clear"/>
            <w:vAlign w:val="center"/>
          </w:tcPr>
          <w:p>
            <w:pPr>
              <w:pStyle w:val="TableContents"/>
              <w:spacing w:before="0" w:after="0"/>
              <w:ind w:left="0" w:right="0" w:hanging="0"/>
              <w:jc w:val="left"/>
              <w:rPr/>
            </w:pPr>
            <w:r>
              <w:rPr/>
              <w:t> </w:t>
            </w:r>
          </w:p>
        </w:tc>
        <w:tc>
          <w:tcPr>
            <w:tcW w:w="6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w:t>
            </w:r>
          </w:p>
        </w:tc>
        <w:tc>
          <w:tcPr>
            <w:tcW w:w="3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9,846</w:t>
            </w:r>
          </w:p>
        </w:tc>
        <w:tc>
          <w:tcPr>
            <w:tcW w:w="391" w:type="dxa"/>
            <w:tcBorders/>
            <w:shd w:fill="auto" w:val="clear"/>
            <w:vAlign w:val="center"/>
          </w:tcPr>
          <w:p>
            <w:pPr>
              <w:pStyle w:val="TableContents"/>
              <w:spacing w:before="0" w:after="0"/>
              <w:ind w:left="0" w:right="0" w:firstLine="200"/>
              <w:jc w:val="left"/>
              <w:rPr/>
            </w:pPr>
            <w:r>
              <w:rPr/>
              <w:t> </w:t>
            </w:r>
          </w:p>
        </w:tc>
      </w:tr>
      <w:tr>
        <w:trPr/>
        <w:tc>
          <w:tcPr>
            <w:tcW w:w="370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 xml:space="preserve">Commercial paper (due in less than </w:t>
              <w:br/>
              <w:t>   one year)</w:t>
            </w:r>
          </w:p>
        </w:tc>
        <w:tc>
          <w:tcPr>
            <w:tcW w:w="3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64,285</w:t>
            </w:r>
          </w:p>
        </w:tc>
        <w:tc>
          <w:tcPr>
            <w:tcW w:w="346"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left"/>
              <w:rPr/>
            </w:pPr>
            <w:r>
              <w:rPr/>
              <w:t> </w:t>
            </w:r>
          </w:p>
        </w:tc>
        <w:tc>
          <w:tcPr>
            <w:tcW w:w="335" w:type="dxa"/>
            <w:tcBorders/>
            <w:shd w:fill="auto" w:val="clear"/>
            <w:vAlign w:val="center"/>
          </w:tcPr>
          <w:p>
            <w:pPr>
              <w:pStyle w:val="TableContents"/>
              <w:spacing w:before="0" w:after="0"/>
              <w:ind w:left="0" w:right="0" w:hanging="0"/>
              <w:jc w:val="left"/>
              <w:rPr/>
            </w:pPr>
            <w:r>
              <w:rPr/>
              <w:t> </w:t>
            </w:r>
          </w:p>
        </w:tc>
        <w:tc>
          <w:tcPr>
            <w:tcW w:w="55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c>
          <w:tcPr>
            <w:tcW w:w="346"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left"/>
              <w:rPr/>
            </w:pPr>
            <w:r>
              <w:rPr/>
              <w:t> </w:t>
            </w:r>
          </w:p>
        </w:tc>
        <w:tc>
          <w:tcPr>
            <w:tcW w:w="270" w:type="dxa"/>
            <w:tcBorders/>
            <w:shd w:fill="auto" w:val="clear"/>
            <w:vAlign w:val="center"/>
          </w:tcPr>
          <w:p>
            <w:pPr>
              <w:pStyle w:val="TableContents"/>
              <w:spacing w:before="0" w:after="0"/>
              <w:ind w:left="0" w:right="0" w:hanging="0"/>
              <w:jc w:val="left"/>
              <w:rPr/>
            </w:pPr>
            <w:r>
              <w:rPr/>
              <w:t> </w:t>
            </w:r>
          </w:p>
        </w:tc>
        <w:tc>
          <w:tcPr>
            <w:tcW w:w="6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(92</w:t>
            </w:r>
          </w:p>
        </w:tc>
        <w:tc>
          <w:tcPr>
            <w:tcW w:w="3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64,199</w:t>
            </w:r>
          </w:p>
        </w:tc>
        <w:tc>
          <w:tcPr>
            <w:tcW w:w="391" w:type="dxa"/>
            <w:tcBorders/>
            <w:shd w:fill="auto" w:val="clear"/>
            <w:vAlign w:val="center"/>
          </w:tcPr>
          <w:p>
            <w:pPr>
              <w:pStyle w:val="TableContents"/>
              <w:spacing w:before="0" w:after="0"/>
              <w:ind w:left="0" w:right="0" w:firstLine="200"/>
              <w:jc w:val="left"/>
              <w:rPr/>
            </w:pPr>
            <w:r>
              <w:rPr/>
              <w:t> </w:t>
            </w:r>
          </w:p>
        </w:tc>
      </w:tr>
      <w:tr>
        <w:trPr/>
        <w:tc>
          <w:tcPr>
            <w:tcW w:w="370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Corporate notes (due in less than one year)</w:t>
            </w:r>
          </w:p>
        </w:tc>
        <w:tc>
          <w:tcPr>
            <w:tcW w:w="3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26,014</w:t>
            </w:r>
          </w:p>
        </w:tc>
        <w:tc>
          <w:tcPr>
            <w:tcW w:w="3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left"/>
              <w:rPr/>
            </w:pPr>
            <w:r>
              <w:rPr/>
              <w:t> </w:t>
            </w:r>
          </w:p>
        </w:tc>
        <w:tc>
          <w:tcPr>
            <w:tcW w:w="33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3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left"/>
              <w:rPr/>
            </w:pPr>
            <w:r>
              <w:rPr/>
              <w:t> </w:t>
            </w:r>
          </w:p>
        </w:tc>
        <w:tc>
          <w:tcPr>
            <w:tcW w:w="27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(55</w:t>
            </w:r>
          </w:p>
        </w:tc>
        <w:tc>
          <w:tcPr>
            <w:tcW w:w="3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25,959</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706"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116,142</w:t>
            </w:r>
          </w:p>
        </w:tc>
        <w:tc>
          <w:tcPr>
            <w:tcW w:w="3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left"/>
              <w:rPr/>
            </w:pPr>
            <w:r>
              <w:rPr/>
              <w:t> </w:t>
            </w:r>
          </w:p>
        </w:tc>
        <w:tc>
          <w:tcPr>
            <w:tcW w:w="33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c>
          <w:tcPr>
            <w:tcW w:w="3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left"/>
              <w:rPr/>
            </w:pPr>
            <w:r>
              <w:rPr/>
              <w:t> </w:t>
            </w:r>
          </w:p>
        </w:tc>
        <w:tc>
          <w:tcPr>
            <w:tcW w:w="27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1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(247</w:t>
            </w:r>
          </w:p>
        </w:tc>
        <w:tc>
          <w:tcPr>
            <w:tcW w:w="3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115,901</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14</w:t>
      </w:r>
    </w:p>
    <w:p>
      <w:pPr>
        <w:pStyle w:val="HorizontalLine"/>
        <w:rPr/>
      </w:pPr>
      <w:r>
        <w:rPr/>
      </w:r>
    </w:p>
    <w:p>
      <w:pPr>
        <w:pStyle w:val="TextBody"/>
        <w:spacing w:before="0" w:after="0"/>
        <w:jc w:val="center"/>
        <w:rPr>
          <w:rFonts w:ascii="Times New Roman;serif" w:hAnsi="Times New Roman;serif"/>
          <w:b/>
          <w:sz w:val="20"/>
        </w:rPr>
      </w:pPr>
      <w:r>
        <w:rPr>
          <w:rFonts w:ascii="Times New Roman;serif" w:hAnsi="Times New Roman;serif"/>
          <w:b/>
          <w:sz w:val="20"/>
        </w:rPr>
        <w:t>GERON CORPORATION</w:t>
      </w:r>
    </w:p>
    <w:p>
      <w:pPr>
        <w:pStyle w:val="TextBody"/>
        <w:spacing w:before="0" w:after="0"/>
        <w:jc w:val="center"/>
        <w:rPr>
          <w:rFonts w:ascii="Times New Roman;serif" w:hAnsi="Times New Roman;serif"/>
          <w:b/>
          <w:sz w:val="20"/>
        </w:rPr>
      </w:pPr>
      <w:r>
        <w:rPr>
          <w:rFonts w:ascii="Times New Roman;serif" w:hAnsi="Times New Roman;serif"/>
          <w:b/>
          <w:sz w:val="20"/>
        </w:rPr>
        <w:t>NOTES TO CONDENSED CONSOLIDATED FINANCIAL STATEMENTS</w:t>
      </w:r>
    </w:p>
    <w:p>
      <w:pPr>
        <w:pStyle w:val="TextBody"/>
        <w:spacing w:before="0" w:after="0"/>
        <w:jc w:val="center"/>
        <w:rPr>
          <w:rFonts w:ascii="Times New Roman;serif" w:hAnsi="Times New Roman;serif"/>
          <w:b/>
          <w:caps/>
          <w:sz w:val="20"/>
        </w:rPr>
      </w:pPr>
      <w:r>
        <w:rPr>
          <w:rFonts w:ascii="Times New Roman;serif" w:hAnsi="Times New Roman;serif"/>
          <w:b/>
          <w:caps/>
          <w:sz w:val="20"/>
        </w:rPr>
        <w:t>March 31, 2023</w:t>
      </w:r>
    </w:p>
    <w:p>
      <w:pPr>
        <w:pStyle w:val="TextBody"/>
        <w:spacing w:before="0" w:after="0"/>
        <w:jc w:val="center"/>
        <w:rPr>
          <w:rFonts w:ascii="Times New Roman" w:hAnsi="Times New Roman"/>
          <w:sz w:val="20"/>
        </w:rPr>
      </w:pPr>
      <w:r>
        <w:rPr>
          <w:rFonts w:ascii="Times New Roman;serif" w:hAnsi="Times New Roman;serif"/>
          <w:b/>
          <w:sz w:val="20"/>
        </w:rPr>
        <w:t>(UNAUDITED</w:t>
      </w:r>
      <w:r>
        <w:rPr>
          <w:rFonts w:ascii="Times New Roman;serif" w:hAnsi="Times New Roman;serif"/>
          <w:b w:val="false"/>
          <w:sz w:val="20"/>
        </w:rPr>
        <w:t>)</w:t>
      </w:r>
    </w:p>
    <w:p>
      <w:pPr>
        <w:pStyle w:val="TextBody"/>
        <w:spacing w:before="0" w:after="0"/>
        <w:jc w:val="center"/>
        <w:rPr/>
      </w:pPr>
      <w:r>
        <w:rPr/>
        <w:t>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Cash equivalents and marketable securities with unrealized losses that have been in a continuous unrealized loss position for less than 12 months and 12 months or longer at March 31, 2023 and December 31, 2022 were as follows:</w:t>
      </w:r>
    </w:p>
    <w:p>
      <w:pPr>
        <w:pStyle w:val="TextBody"/>
        <w:spacing w:before="0" w:after="0"/>
        <w:jc w:val="left"/>
        <w:rPr/>
      </w:pPr>
      <w:r>
        <w:rPr/>
        <w:t> </w:t>
      </w:r>
    </w:p>
    <w:tbl>
      <w:tblPr>
        <w:tblW w:w="10539" w:type="dxa"/>
        <w:jc w:val="left"/>
        <w:tblInd w:w="0" w:type="dxa"/>
        <w:tblCellMar>
          <w:top w:w="28" w:type="dxa"/>
          <w:left w:w="28" w:type="dxa"/>
          <w:bottom w:w="28" w:type="dxa"/>
          <w:right w:w="28" w:type="dxa"/>
        </w:tblCellMar>
      </w:tblPr>
      <w:tblGrid>
        <w:gridCol w:w="2953"/>
        <w:gridCol w:w="146"/>
        <w:gridCol w:w="211"/>
        <w:gridCol w:w="781"/>
        <w:gridCol w:w="146"/>
        <w:gridCol w:w="146"/>
        <w:gridCol w:w="270"/>
        <w:gridCol w:w="616"/>
        <w:gridCol w:w="166"/>
        <w:gridCol w:w="146"/>
        <w:gridCol w:w="211"/>
        <w:gridCol w:w="676"/>
        <w:gridCol w:w="146"/>
        <w:gridCol w:w="146"/>
        <w:gridCol w:w="318"/>
        <w:gridCol w:w="568"/>
        <w:gridCol w:w="166"/>
        <w:gridCol w:w="146"/>
        <w:gridCol w:w="211"/>
        <w:gridCol w:w="781"/>
        <w:gridCol w:w="146"/>
        <w:gridCol w:w="146"/>
        <w:gridCol w:w="270"/>
        <w:gridCol w:w="616"/>
        <w:gridCol w:w="411"/>
      </w:tblGrid>
      <w:tr>
        <w:trPr/>
        <w:tc>
          <w:tcPr>
            <w:tcW w:w="295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r>
      <w:tr>
        <w:trPr/>
        <w:tc>
          <w:tcPr>
            <w:tcW w:w="2953"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70"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Less Than 12 Months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65"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12 Months or Longer</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70"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953"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6"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Gross</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6"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Gross</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6"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Gross</w:t>
            </w:r>
          </w:p>
        </w:tc>
        <w:tc>
          <w:tcPr>
            <w:tcW w:w="411" w:type="dxa"/>
            <w:tcBorders/>
            <w:shd w:fill="auto" w:val="clear"/>
            <w:vAlign w:val="center"/>
          </w:tcPr>
          <w:p>
            <w:pPr>
              <w:pStyle w:val="TableContents"/>
              <w:spacing w:before="0" w:after="0"/>
              <w:ind w:left="0" w:right="0" w:hanging="0"/>
              <w:jc w:val="center"/>
              <w:rPr/>
            </w:pPr>
            <w:r>
              <w:rPr/>
              <w:t> </w:t>
            </w:r>
          </w:p>
        </w:tc>
      </w:tr>
      <w:tr>
        <w:trPr/>
        <w:tc>
          <w:tcPr>
            <w:tcW w:w="2953"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Estimated</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6"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Unrealized</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Estimated</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6"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Unrealized</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Estimated</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6"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Unrealized</w:t>
            </w:r>
          </w:p>
        </w:tc>
        <w:tc>
          <w:tcPr>
            <w:tcW w:w="411" w:type="dxa"/>
            <w:tcBorders/>
            <w:shd w:fill="auto" w:val="clear"/>
            <w:vAlign w:val="center"/>
          </w:tcPr>
          <w:p>
            <w:pPr>
              <w:pStyle w:val="TableContents"/>
              <w:spacing w:before="0" w:after="0"/>
              <w:ind w:left="0" w:right="0" w:hanging="0"/>
              <w:jc w:val="center"/>
              <w:rPr/>
            </w:pPr>
            <w:r>
              <w:rPr/>
              <w:t> </w:t>
            </w:r>
          </w:p>
        </w:tc>
      </w:tr>
      <w:tr>
        <w:trPr/>
        <w:tc>
          <w:tcPr>
            <w:tcW w:w="295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(In thousands)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Fair Value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Losses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Fair Value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Losses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Fair Value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Losses</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953"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As of March 31, 2023:</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6"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6"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6" w:type="dxa"/>
            <w:gridSpan w:val="2"/>
            <w:tcBorders/>
            <w:shd w:fill="auto" w:val="clear"/>
            <w:vAlign w:val="center"/>
          </w:tcPr>
          <w:p>
            <w:pPr>
              <w:pStyle w:val="TableContents"/>
              <w:spacing w:before="0" w:after="0"/>
              <w:ind w:left="0" w:right="0" w:hanging="0"/>
              <w:jc w:val="left"/>
              <w:rPr/>
            </w:pPr>
            <w:r>
              <w:rPr/>
              <w:t> </w:t>
            </w:r>
          </w:p>
        </w:tc>
        <w:tc>
          <w:tcPr>
            <w:tcW w:w="411" w:type="dxa"/>
            <w:tcBorders/>
            <w:shd w:fill="auto" w:val="clear"/>
            <w:vAlign w:val="center"/>
          </w:tcPr>
          <w:p>
            <w:pPr>
              <w:pStyle w:val="TableContents"/>
              <w:spacing w:before="0" w:after="0"/>
              <w:ind w:left="0" w:right="0" w:firstLine="200"/>
              <w:jc w:val="left"/>
              <w:rPr/>
            </w:pPr>
            <w:r>
              <w:rPr/>
              <w:t> </w:t>
            </w:r>
          </w:p>
        </w:tc>
      </w:tr>
      <w:tr>
        <w:trPr/>
        <w:tc>
          <w:tcPr>
            <w:tcW w:w="2953" w:type="dxa"/>
            <w:tcBorders/>
            <w:shd w:fill="auto" w:val="clear"/>
            <w:vAlign w:val="center"/>
          </w:tcPr>
          <w:p>
            <w:pPr>
              <w:pStyle w:val="TableContents"/>
              <w:spacing w:before="0" w:after="0"/>
              <w:ind w:left="200" w:right="0" w:hanging="0"/>
              <w:jc w:val="left"/>
              <w:rPr>
                <w:rFonts w:ascii="Times New Roman;serif" w:hAnsi="Times New Roman;serif"/>
                <w:b w:val="false"/>
                <w:sz w:val="19"/>
              </w:rPr>
            </w:pPr>
            <w:r>
              <w:rPr>
                <w:rFonts w:ascii="Times New Roman;serif" w:hAnsi="Times New Roman;serif"/>
                <w:b w:val="false"/>
                <w:sz w:val="19"/>
              </w:rPr>
              <w:t>Government-sponsored enterprise</w:t>
              <w:br/>
              <w:t>   securities (due in less than one year)</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22,718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0"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616"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(15</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67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8"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568"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22,718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0" w:type="dxa"/>
            <w:tcBorders/>
            <w:shd w:fill="auto" w:val="clear"/>
            <w:vAlign w:val="center"/>
          </w:tcPr>
          <w:p>
            <w:pPr>
              <w:pStyle w:val="TableContents"/>
              <w:spacing w:before="0" w:after="0"/>
              <w:ind w:left="0" w:right="0" w:hanging="0"/>
              <w:jc w:val="left"/>
              <w:rPr/>
            </w:pPr>
            <w:r>
              <w:rPr/>
              <w:t> </w:t>
            </w:r>
          </w:p>
        </w:tc>
        <w:tc>
          <w:tcPr>
            <w:tcW w:w="616"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(15</w:t>
            </w:r>
          </w:p>
        </w:tc>
        <w:tc>
          <w:tcPr>
            <w:tcW w:w="411" w:type="dxa"/>
            <w:tcBorders/>
            <w:shd w:fill="auto" w:val="clear"/>
            <w:vAlign w:val="center"/>
          </w:tcPr>
          <w:p>
            <w:pPr>
              <w:pStyle w:val="TableContents"/>
              <w:spacing w:before="0" w:after="0"/>
              <w:ind w:left="0" w:right="0" w:firstLine="200"/>
              <w:jc w:val="left"/>
              <w:rPr>
                <w:rFonts w:ascii="Times New Roman;serif" w:hAnsi="Times New Roman;serif"/>
                <w:b w:val="false"/>
                <w:sz w:val="19"/>
              </w:rPr>
            </w:pPr>
            <w:r>
              <w:rPr>
                <w:rFonts w:ascii="Times New Roman;serif" w:hAnsi="Times New Roman;serif"/>
                <w:b w:val="false"/>
                <w:sz w:val="19"/>
              </w:rPr>
              <w:t>)</w:t>
            </w:r>
          </w:p>
        </w:tc>
      </w:tr>
      <w:tr>
        <w:trPr/>
        <w:tc>
          <w:tcPr>
            <w:tcW w:w="2953" w:type="dxa"/>
            <w:tcBorders/>
            <w:shd w:fill="auto" w:val="clear"/>
            <w:vAlign w:val="center"/>
          </w:tcPr>
          <w:p>
            <w:pPr>
              <w:pStyle w:val="TableContents"/>
              <w:spacing w:before="0" w:after="0"/>
              <w:ind w:left="200" w:right="0" w:hanging="0"/>
              <w:jc w:val="left"/>
              <w:rPr>
                <w:rFonts w:ascii="Times New Roman;serif" w:hAnsi="Times New Roman;serif"/>
                <w:b w:val="false"/>
                <w:sz w:val="19"/>
              </w:rPr>
            </w:pPr>
            <w:r>
              <w:rPr>
                <w:rFonts w:ascii="Times New Roman;serif" w:hAnsi="Times New Roman;serif"/>
                <w:b w:val="false"/>
                <w:sz w:val="19"/>
              </w:rPr>
              <w:t xml:space="preserve">Commercial paper (due in less than </w:t>
              <w:br/>
              <w:t>   one year)</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162,072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0" w:type="dxa"/>
            <w:tcBorders/>
            <w:shd w:fill="auto" w:val="clear"/>
            <w:vAlign w:val="center"/>
          </w:tcPr>
          <w:p>
            <w:pPr>
              <w:pStyle w:val="TableContents"/>
              <w:spacing w:before="0" w:after="0"/>
              <w:ind w:left="0" w:right="0" w:hanging="0"/>
              <w:jc w:val="left"/>
              <w:rPr/>
            </w:pPr>
            <w:r>
              <w:rPr/>
              <w:t> </w:t>
            </w:r>
          </w:p>
        </w:tc>
        <w:tc>
          <w:tcPr>
            <w:tcW w:w="616"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(204</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8" w:type="dxa"/>
            <w:tcBorders/>
            <w:shd w:fill="auto" w:val="clear"/>
            <w:vAlign w:val="center"/>
          </w:tcPr>
          <w:p>
            <w:pPr>
              <w:pStyle w:val="TableContents"/>
              <w:spacing w:before="0" w:after="0"/>
              <w:ind w:left="0" w:right="0" w:hanging="0"/>
              <w:jc w:val="left"/>
              <w:rPr/>
            </w:pPr>
            <w:r>
              <w:rPr/>
              <w:t> </w:t>
            </w:r>
          </w:p>
        </w:tc>
        <w:tc>
          <w:tcPr>
            <w:tcW w:w="568"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162,072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0" w:type="dxa"/>
            <w:tcBorders/>
            <w:shd w:fill="auto" w:val="clear"/>
            <w:vAlign w:val="center"/>
          </w:tcPr>
          <w:p>
            <w:pPr>
              <w:pStyle w:val="TableContents"/>
              <w:spacing w:before="0" w:after="0"/>
              <w:ind w:left="0" w:right="0" w:hanging="0"/>
              <w:jc w:val="left"/>
              <w:rPr/>
            </w:pPr>
            <w:r>
              <w:rPr/>
              <w:t> </w:t>
            </w:r>
          </w:p>
        </w:tc>
        <w:tc>
          <w:tcPr>
            <w:tcW w:w="616"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(204</w:t>
            </w:r>
          </w:p>
        </w:tc>
        <w:tc>
          <w:tcPr>
            <w:tcW w:w="411" w:type="dxa"/>
            <w:tcBorders/>
            <w:shd w:fill="auto" w:val="clear"/>
            <w:vAlign w:val="center"/>
          </w:tcPr>
          <w:p>
            <w:pPr>
              <w:pStyle w:val="TableContents"/>
              <w:spacing w:before="0" w:after="0"/>
              <w:ind w:left="0" w:right="0" w:firstLine="200"/>
              <w:jc w:val="left"/>
              <w:rPr>
                <w:rFonts w:ascii="Times New Roman;serif" w:hAnsi="Times New Roman;serif"/>
                <w:b w:val="false"/>
                <w:sz w:val="19"/>
              </w:rPr>
            </w:pPr>
            <w:r>
              <w:rPr>
                <w:rFonts w:ascii="Times New Roman;serif" w:hAnsi="Times New Roman;serif"/>
                <w:b w:val="false"/>
                <w:sz w:val="19"/>
              </w:rPr>
              <w:t>)</w:t>
            </w:r>
          </w:p>
        </w:tc>
      </w:tr>
      <w:tr>
        <w:trPr/>
        <w:tc>
          <w:tcPr>
            <w:tcW w:w="2953" w:type="dxa"/>
            <w:tcBorders/>
            <w:shd w:fill="auto" w:val="clear"/>
            <w:vAlign w:val="center"/>
          </w:tcPr>
          <w:p>
            <w:pPr>
              <w:pStyle w:val="TableContents"/>
              <w:spacing w:before="0" w:after="0"/>
              <w:ind w:left="200" w:right="0" w:hanging="0"/>
              <w:jc w:val="left"/>
              <w:rPr>
                <w:rFonts w:ascii="Times New Roman;serif" w:hAnsi="Times New Roman;serif"/>
                <w:b w:val="false"/>
                <w:sz w:val="19"/>
              </w:rPr>
            </w:pPr>
            <w:r>
              <w:rPr>
                <w:rFonts w:ascii="Times New Roman;serif" w:hAnsi="Times New Roman;serif"/>
                <w:b w:val="false"/>
                <w:sz w:val="19"/>
              </w:rPr>
              <w:t xml:space="preserve">Corporate notes (due in less than </w:t>
              <w:br/>
              <w:t>   one year)</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3,976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0" w:type="dxa"/>
            <w:tcBorders/>
            <w:shd w:fill="auto" w:val="clear"/>
            <w:vAlign w:val="center"/>
          </w:tcPr>
          <w:p>
            <w:pPr>
              <w:pStyle w:val="TableContents"/>
              <w:spacing w:before="0" w:after="0"/>
              <w:ind w:left="0" w:right="0" w:hanging="0"/>
              <w:jc w:val="left"/>
              <w:rPr/>
            </w:pPr>
            <w:r>
              <w:rPr/>
              <w:t> </w:t>
            </w:r>
          </w:p>
        </w:tc>
        <w:tc>
          <w:tcPr>
            <w:tcW w:w="616"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(6</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10,979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8" w:type="dxa"/>
            <w:tcBorders/>
            <w:shd w:fill="auto" w:val="clear"/>
            <w:vAlign w:val="center"/>
          </w:tcPr>
          <w:p>
            <w:pPr>
              <w:pStyle w:val="TableContents"/>
              <w:spacing w:before="0" w:after="0"/>
              <w:ind w:left="0" w:right="0" w:hanging="0"/>
              <w:jc w:val="left"/>
              <w:rPr/>
            </w:pPr>
            <w:r>
              <w:rPr/>
              <w:t> </w:t>
            </w:r>
          </w:p>
        </w:tc>
        <w:tc>
          <w:tcPr>
            <w:tcW w:w="568"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(23</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14,955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0" w:type="dxa"/>
            <w:tcBorders/>
            <w:shd w:fill="auto" w:val="clear"/>
            <w:vAlign w:val="center"/>
          </w:tcPr>
          <w:p>
            <w:pPr>
              <w:pStyle w:val="TableContents"/>
              <w:spacing w:before="0" w:after="0"/>
              <w:ind w:left="0" w:right="0" w:hanging="0"/>
              <w:jc w:val="left"/>
              <w:rPr/>
            </w:pPr>
            <w:r>
              <w:rPr/>
              <w:t> </w:t>
            </w:r>
          </w:p>
        </w:tc>
        <w:tc>
          <w:tcPr>
            <w:tcW w:w="616"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(29</w:t>
            </w:r>
          </w:p>
        </w:tc>
        <w:tc>
          <w:tcPr>
            <w:tcW w:w="411" w:type="dxa"/>
            <w:tcBorders/>
            <w:shd w:fill="auto" w:val="clear"/>
            <w:vAlign w:val="center"/>
          </w:tcPr>
          <w:p>
            <w:pPr>
              <w:pStyle w:val="TableContents"/>
              <w:spacing w:before="0" w:after="0"/>
              <w:ind w:left="0" w:right="0" w:firstLine="200"/>
              <w:jc w:val="left"/>
              <w:rPr>
                <w:rFonts w:ascii="Times New Roman;serif" w:hAnsi="Times New Roman;serif"/>
                <w:b w:val="false"/>
                <w:sz w:val="19"/>
              </w:rPr>
            </w:pPr>
            <w:r>
              <w:rPr>
                <w:rFonts w:ascii="Times New Roman;serif" w:hAnsi="Times New Roman;serif"/>
                <w:b w:val="false"/>
                <w:sz w:val="19"/>
              </w:rPr>
              <w:t>)</w:t>
            </w:r>
          </w:p>
        </w:tc>
      </w:tr>
      <w:tr>
        <w:trPr/>
        <w:tc>
          <w:tcPr>
            <w:tcW w:w="2953" w:type="dxa"/>
            <w:tcBorders/>
            <w:shd w:fill="auto" w:val="clear"/>
            <w:vAlign w:val="center"/>
          </w:tcPr>
          <w:p>
            <w:pPr>
              <w:pStyle w:val="TableContents"/>
              <w:spacing w:before="0" w:after="0"/>
              <w:ind w:left="200" w:right="0" w:hanging="0"/>
              <w:jc w:val="left"/>
              <w:rPr>
                <w:rFonts w:ascii="Times New Roman;serif" w:hAnsi="Times New Roman;serif"/>
                <w:b w:val="false"/>
                <w:sz w:val="19"/>
              </w:rPr>
            </w:pPr>
            <w:r>
              <w:rPr>
                <w:rFonts w:ascii="Times New Roman;serif" w:hAnsi="Times New Roman;serif"/>
                <w:b w:val="false"/>
                <w:sz w:val="19"/>
              </w:rPr>
              <w:t xml:space="preserve">Corporate notes (due in one to </w:t>
              <w:br/>
              <w:t>   two years)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9,546</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(32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6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9,546</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(32</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rFonts w:ascii="Times New Roman;serif" w:hAnsi="Times New Roman;serif"/>
                <w:b w:val="false"/>
                <w:sz w:val="19"/>
              </w:rPr>
            </w:pPr>
            <w:r>
              <w:rPr>
                <w:rFonts w:ascii="Times New Roman;serif" w:hAnsi="Times New Roman;serif"/>
                <w:b w:val="false"/>
                <w:sz w:val="19"/>
              </w:rPr>
              <w:t>)</w:t>
            </w:r>
          </w:p>
        </w:tc>
      </w:tr>
      <w:tr>
        <w:trPr/>
        <w:tc>
          <w:tcPr>
            <w:tcW w:w="2953" w:type="dxa"/>
            <w:tcBorders/>
            <w:shd w:fill="auto" w:val="clear"/>
            <w:vAlign w:val="center"/>
          </w:tcPr>
          <w:p>
            <w:pPr>
              <w:pStyle w:val="TableContents"/>
              <w:spacing w:before="0" w:after="0"/>
              <w:ind w:left="20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198,312</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61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(257</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10,979</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56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(23</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209,291</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61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(280</w:t>
            </w:r>
          </w:p>
        </w:tc>
        <w:tc>
          <w:tcPr>
            <w:tcW w:w="4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firstLine="200"/>
              <w:jc w:val="left"/>
              <w:rPr>
                <w:rFonts w:ascii="Times New Roman;serif" w:hAnsi="Times New Roman;serif"/>
                <w:b w:val="false"/>
                <w:sz w:val="19"/>
              </w:rPr>
            </w:pPr>
            <w:r>
              <w:rPr>
                <w:rFonts w:ascii="Times New Roman;serif" w:hAnsi="Times New Roman;serif"/>
                <w:b w:val="false"/>
                <w:sz w:val="19"/>
              </w:rPr>
              <w:t>)</w:t>
            </w:r>
          </w:p>
        </w:tc>
      </w:tr>
      <w:tr>
        <w:trPr/>
        <w:tc>
          <w:tcPr>
            <w:tcW w:w="2953" w:type="dxa"/>
            <w:tcBorders/>
            <w:shd w:fill="auto" w:val="clear"/>
            <w:vAlign w:val="center"/>
          </w:tcPr>
          <w:p>
            <w:pPr>
              <w:pStyle w:val="TableContents"/>
              <w:spacing w:before="0" w:after="0"/>
              <w:ind w:left="20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6"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6"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6" w:type="dxa"/>
            <w:gridSpan w:val="2"/>
            <w:tcBorders/>
            <w:shd w:fill="auto" w:val="clear"/>
            <w:vAlign w:val="center"/>
          </w:tcPr>
          <w:p>
            <w:pPr>
              <w:pStyle w:val="TableContents"/>
              <w:spacing w:before="0" w:after="0"/>
              <w:ind w:left="0" w:right="0" w:hanging="0"/>
              <w:jc w:val="left"/>
              <w:rPr/>
            </w:pPr>
            <w:r>
              <w:rPr/>
              <w:t> </w:t>
            </w:r>
          </w:p>
        </w:tc>
        <w:tc>
          <w:tcPr>
            <w:tcW w:w="411" w:type="dxa"/>
            <w:tcBorders/>
            <w:shd w:fill="auto" w:val="clear"/>
            <w:vAlign w:val="center"/>
          </w:tcPr>
          <w:p>
            <w:pPr>
              <w:pStyle w:val="TableContents"/>
              <w:spacing w:before="0" w:after="0"/>
              <w:ind w:left="0" w:right="0" w:hanging="0"/>
              <w:jc w:val="left"/>
              <w:rPr/>
            </w:pPr>
            <w:r>
              <w:rPr/>
              <w:t> </w:t>
            </w:r>
          </w:p>
        </w:tc>
      </w:tr>
      <w:tr>
        <w:trPr/>
        <w:tc>
          <w:tcPr>
            <w:tcW w:w="2953"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As of December 31, 2022:</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6"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6"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6" w:type="dxa"/>
            <w:gridSpan w:val="2"/>
            <w:tcBorders/>
            <w:shd w:fill="auto" w:val="clear"/>
            <w:vAlign w:val="center"/>
          </w:tcPr>
          <w:p>
            <w:pPr>
              <w:pStyle w:val="TableContents"/>
              <w:spacing w:before="0" w:after="0"/>
              <w:ind w:left="0" w:right="0" w:hanging="0"/>
              <w:jc w:val="left"/>
              <w:rPr/>
            </w:pPr>
            <w:r>
              <w:rPr/>
              <w:t> </w:t>
            </w:r>
          </w:p>
        </w:tc>
        <w:tc>
          <w:tcPr>
            <w:tcW w:w="411" w:type="dxa"/>
            <w:tcBorders/>
            <w:shd w:fill="auto" w:val="clear"/>
            <w:vAlign w:val="center"/>
          </w:tcPr>
          <w:p>
            <w:pPr>
              <w:pStyle w:val="TableContents"/>
              <w:spacing w:before="0" w:after="0"/>
              <w:ind w:left="0" w:right="0" w:firstLine="200"/>
              <w:jc w:val="left"/>
              <w:rPr/>
            </w:pPr>
            <w:r>
              <w:rPr/>
              <w:t> </w:t>
            </w:r>
          </w:p>
        </w:tc>
      </w:tr>
      <w:tr>
        <w:trPr/>
        <w:tc>
          <w:tcPr>
            <w:tcW w:w="2953" w:type="dxa"/>
            <w:tcBorders/>
            <w:shd w:fill="auto" w:val="clear"/>
            <w:vAlign w:val="center"/>
          </w:tcPr>
          <w:p>
            <w:pPr>
              <w:pStyle w:val="TableContents"/>
              <w:spacing w:before="0" w:after="0"/>
              <w:ind w:left="200" w:right="0" w:hanging="0"/>
              <w:jc w:val="left"/>
              <w:rPr>
                <w:rFonts w:ascii="Times New Roman;serif" w:hAnsi="Times New Roman;serif"/>
                <w:b w:val="false"/>
                <w:sz w:val="19"/>
              </w:rPr>
            </w:pPr>
            <w:r>
              <w:rPr>
                <w:rFonts w:ascii="Times New Roman;serif" w:hAnsi="Times New Roman;serif"/>
                <w:b w:val="false"/>
                <w:sz w:val="19"/>
              </w:rPr>
              <w:t xml:space="preserve">U.S. Treasury securities </w:t>
              <w:br/>
              <w:t>(due in less than one year)</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11,424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0"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616"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(57</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1,497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8"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568"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(5</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12,921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0"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616"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(62</w:t>
            </w:r>
          </w:p>
        </w:tc>
        <w:tc>
          <w:tcPr>
            <w:tcW w:w="411" w:type="dxa"/>
            <w:tcBorders/>
            <w:shd w:fill="auto" w:val="clear"/>
            <w:vAlign w:val="center"/>
          </w:tcPr>
          <w:p>
            <w:pPr>
              <w:pStyle w:val="TableContents"/>
              <w:spacing w:before="0" w:after="0"/>
              <w:ind w:left="0" w:right="0" w:firstLine="200"/>
              <w:jc w:val="left"/>
              <w:rPr>
                <w:rFonts w:ascii="Times New Roman;serif" w:hAnsi="Times New Roman;serif"/>
                <w:b w:val="false"/>
                <w:sz w:val="19"/>
              </w:rPr>
            </w:pPr>
            <w:r>
              <w:rPr>
                <w:rFonts w:ascii="Times New Roman;serif" w:hAnsi="Times New Roman;serif"/>
                <w:b w:val="false"/>
                <w:sz w:val="19"/>
              </w:rPr>
              <w:t>)</w:t>
            </w:r>
          </w:p>
        </w:tc>
      </w:tr>
      <w:tr>
        <w:trPr/>
        <w:tc>
          <w:tcPr>
            <w:tcW w:w="2953" w:type="dxa"/>
            <w:tcBorders/>
            <w:shd w:fill="auto" w:val="clear"/>
            <w:vAlign w:val="center"/>
          </w:tcPr>
          <w:p>
            <w:pPr>
              <w:pStyle w:val="TableContents"/>
              <w:spacing w:before="0" w:after="0"/>
              <w:ind w:left="200" w:right="0" w:hanging="0"/>
              <w:jc w:val="left"/>
              <w:rPr>
                <w:rFonts w:ascii="Times New Roman;serif" w:hAnsi="Times New Roman;serif"/>
                <w:b w:val="false"/>
                <w:sz w:val="19"/>
              </w:rPr>
            </w:pPr>
            <w:r>
              <w:rPr>
                <w:rFonts w:ascii="Times New Roman;serif" w:hAnsi="Times New Roman;serif"/>
                <w:b w:val="false"/>
                <w:sz w:val="19"/>
              </w:rPr>
              <w:t xml:space="preserve">Municipal securities </w:t>
              <w:br/>
              <w:t>   (due in less than a year)</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0" w:type="dxa"/>
            <w:tcBorders/>
            <w:shd w:fill="auto" w:val="clear"/>
            <w:vAlign w:val="center"/>
          </w:tcPr>
          <w:p>
            <w:pPr>
              <w:pStyle w:val="TableContents"/>
              <w:spacing w:before="0" w:after="0"/>
              <w:ind w:left="0" w:right="0" w:hanging="0"/>
              <w:jc w:val="left"/>
              <w:rPr/>
            </w:pPr>
            <w:r>
              <w:rPr/>
              <w:t> </w:t>
            </w:r>
          </w:p>
        </w:tc>
        <w:tc>
          <w:tcPr>
            <w:tcW w:w="61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2,976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8" w:type="dxa"/>
            <w:tcBorders/>
            <w:shd w:fill="auto" w:val="clear"/>
            <w:vAlign w:val="center"/>
          </w:tcPr>
          <w:p>
            <w:pPr>
              <w:pStyle w:val="TableContents"/>
              <w:spacing w:before="0" w:after="0"/>
              <w:ind w:left="0" w:right="0" w:hanging="0"/>
              <w:jc w:val="left"/>
              <w:rPr/>
            </w:pPr>
            <w:r>
              <w:rPr/>
              <w:t> </w:t>
            </w:r>
          </w:p>
        </w:tc>
        <w:tc>
          <w:tcPr>
            <w:tcW w:w="568"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(24</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2,976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0" w:type="dxa"/>
            <w:tcBorders/>
            <w:shd w:fill="auto" w:val="clear"/>
            <w:vAlign w:val="center"/>
          </w:tcPr>
          <w:p>
            <w:pPr>
              <w:pStyle w:val="TableContents"/>
              <w:spacing w:before="0" w:after="0"/>
              <w:ind w:left="0" w:right="0" w:hanging="0"/>
              <w:jc w:val="left"/>
              <w:rPr/>
            </w:pPr>
            <w:r>
              <w:rPr/>
              <w:t> </w:t>
            </w:r>
          </w:p>
        </w:tc>
        <w:tc>
          <w:tcPr>
            <w:tcW w:w="616"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(24</w:t>
            </w:r>
          </w:p>
        </w:tc>
        <w:tc>
          <w:tcPr>
            <w:tcW w:w="411" w:type="dxa"/>
            <w:tcBorders/>
            <w:shd w:fill="auto" w:val="clear"/>
            <w:vAlign w:val="center"/>
          </w:tcPr>
          <w:p>
            <w:pPr>
              <w:pStyle w:val="TableContents"/>
              <w:spacing w:before="0" w:after="0"/>
              <w:ind w:left="0" w:right="0" w:firstLine="200"/>
              <w:jc w:val="left"/>
              <w:rPr>
                <w:rFonts w:ascii="Times New Roman;serif" w:hAnsi="Times New Roman;serif"/>
                <w:b w:val="false"/>
                <w:sz w:val="19"/>
              </w:rPr>
            </w:pPr>
            <w:r>
              <w:rPr>
                <w:rFonts w:ascii="Times New Roman;serif" w:hAnsi="Times New Roman;serif"/>
                <w:b w:val="false"/>
                <w:sz w:val="19"/>
              </w:rPr>
              <w:t>)</w:t>
            </w:r>
          </w:p>
        </w:tc>
      </w:tr>
      <w:tr>
        <w:trPr/>
        <w:tc>
          <w:tcPr>
            <w:tcW w:w="2953" w:type="dxa"/>
            <w:tcBorders/>
            <w:shd w:fill="auto" w:val="clear"/>
            <w:vAlign w:val="center"/>
          </w:tcPr>
          <w:p>
            <w:pPr>
              <w:pStyle w:val="TableContents"/>
              <w:spacing w:before="0" w:after="0"/>
              <w:ind w:left="200" w:right="0" w:hanging="0"/>
              <w:jc w:val="left"/>
              <w:rPr>
                <w:rFonts w:ascii="Times New Roman;serif" w:hAnsi="Times New Roman;serif"/>
                <w:b w:val="false"/>
                <w:sz w:val="19"/>
              </w:rPr>
            </w:pPr>
            <w:r>
              <w:rPr>
                <w:rFonts w:ascii="Times New Roman;serif" w:hAnsi="Times New Roman;serif"/>
                <w:b w:val="false"/>
                <w:sz w:val="19"/>
              </w:rPr>
              <w:t xml:space="preserve">Government-sponsored </w:t>
              <w:br/>
              <w:t xml:space="preserve">   enterprise securities </w:t>
              <w:br/>
              <w:t>   (due in less than one year)</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9,845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0" w:type="dxa"/>
            <w:tcBorders/>
            <w:shd w:fill="auto" w:val="clear"/>
            <w:vAlign w:val="center"/>
          </w:tcPr>
          <w:p>
            <w:pPr>
              <w:pStyle w:val="TableContents"/>
              <w:spacing w:before="0" w:after="0"/>
              <w:ind w:left="0" w:right="0" w:hanging="0"/>
              <w:jc w:val="left"/>
              <w:rPr/>
            </w:pPr>
            <w:r>
              <w:rPr/>
              <w:t> </w:t>
            </w:r>
          </w:p>
        </w:tc>
        <w:tc>
          <w:tcPr>
            <w:tcW w:w="616"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(14</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8" w:type="dxa"/>
            <w:tcBorders/>
            <w:shd w:fill="auto" w:val="clear"/>
            <w:vAlign w:val="center"/>
          </w:tcPr>
          <w:p>
            <w:pPr>
              <w:pStyle w:val="TableContents"/>
              <w:spacing w:before="0" w:after="0"/>
              <w:ind w:left="0" w:right="0" w:hanging="0"/>
              <w:jc w:val="left"/>
              <w:rPr/>
            </w:pPr>
            <w:r>
              <w:rPr/>
              <w:t> </w:t>
            </w:r>
          </w:p>
        </w:tc>
        <w:tc>
          <w:tcPr>
            <w:tcW w:w="568"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9,845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0" w:type="dxa"/>
            <w:tcBorders/>
            <w:shd w:fill="auto" w:val="clear"/>
            <w:vAlign w:val="center"/>
          </w:tcPr>
          <w:p>
            <w:pPr>
              <w:pStyle w:val="TableContents"/>
              <w:spacing w:before="0" w:after="0"/>
              <w:ind w:left="0" w:right="0" w:hanging="0"/>
              <w:jc w:val="left"/>
              <w:rPr/>
            </w:pPr>
            <w:r>
              <w:rPr/>
              <w:t> </w:t>
            </w:r>
          </w:p>
        </w:tc>
        <w:tc>
          <w:tcPr>
            <w:tcW w:w="616"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(14</w:t>
            </w:r>
          </w:p>
        </w:tc>
        <w:tc>
          <w:tcPr>
            <w:tcW w:w="411" w:type="dxa"/>
            <w:tcBorders/>
            <w:shd w:fill="auto" w:val="clear"/>
            <w:vAlign w:val="center"/>
          </w:tcPr>
          <w:p>
            <w:pPr>
              <w:pStyle w:val="TableContents"/>
              <w:spacing w:before="0" w:after="0"/>
              <w:ind w:left="0" w:right="0" w:firstLine="200"/>
              <w:jc w:val="left"/>
              <w:rPr>
                <w:rFonts w:ascii="Times New Roman;serif" w:hAnsi="Times New Roman;serif"/>
                <w:b w:val="false"/>
                <w:sz w:val="19"/>
              </w:rPr>
            </w:pPr>
            <w:r>
              <w:rPr>
                <w:rFonts w:ascii="Times New Roman;serif" w:hAnsi="Times New Roman;serif"/>
                <w:b w:val="false"/>
                <w:sz w:val="19"/>
              </w:rPr>
              <w:t>)</w:t>
            </w:r>
          </w:p>
        </w:tc>
      </w:tr>
      <w:tr>
        <w:trPr/>
        <w:tc>
          <w:tcPr>
            <w:tcW w:w="2953" w:type="dxa"/>
            <w:tcBorders/>
            <w:shd w:fill="auto" w:val="clear"/>
            <w:vAlign w:val="center"/>
          </w:tcPr>
          <w:p>
            <w:pPr>
              <w:pStyle w:val="TableContents"/>
              <w:spacing w:before="0" w:after="0"/>
              <w:ind w:left="200" w:right="0" w:hanging="0"/>
              <w:jc w:val="left"/>
              <w:rPr>
                <w:rFonts w:ascii="Times New Roman;serif" w:hAnsi="Times New Roman;serif"/>
                <w:b w:val="false"/>
                <w:sz w:val="19"/>
              </w:rPr>
            </w:pPr>
            <w:r>
              <w:rPr>
                <w:rFonts w:ascii="Times New Roman;serif" w:hAnsi="Times New Roman;serif"/>
                <w:b w:val="false"/>
                <w:sz w:val="19"/>
              </w:rPr>
              <w:t xml:space="preserve">Commercial paper (due in less than </w:t>
              <w:br/>
              <w:t>   one year)</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52,454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0" w:type="dxa"/>
            <w:tcBorders/>
            <w:shd w:fill="auto" w:val="clear"/>
            <w:vAlign w:val="center"/>
          </w:tcPr>
          <w:p>
            <w:pPr>
              <w:pStyle w:val="TableContents"/>
              <w:spacing w:before="0" w:after="0"/>
              <w:ind w:left="0" w:right="0" w:hanging="0"/>
              <w:jc w:val="left"/>
              <w:rPr/>
            </w:pPr>
            <w:r>
              <w:rPr/>
              <w:t> </w:t>
            </w:r>
          </w:p>
        </w:tc>
        <w:tc>
          <w:tcPr>
            <w:tcW w:w="616"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(92</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8" w:type="dxa"/>
            <w:tcBorders/>
            <w:shd w:fill="auto" w:val="clear"/>
            <w:vAlign w:val="center"/>
          </w:tcPr>
          <w:p>
            <w:pPr>
              <w:pStyle w:val="TableContents"/>
              <w:spacing w:before="0" w:after="0"/>
              <w:ind w:left="0" w:right="0" w:hanging="0"/>
              <w:jc w:val="left"/>
              <w:rPr/>
            </w:pPr>
            <w:r>
              <w:rPr/>
              <w:t> </w:t>
            </w:r>
          </w:p>
        </w:tc>
        <w:tc>
          <w:tcPr>
            <w:tcW w:w="568"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52,454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0" w:type="dxa"/>
            <w:tcBorders/>
            <w:shd w:fill="auto" w:val="clear"/>
            <w:vAlign w:val="center"/>
          </w:tcPr>
          <w:p>
            <w:pPr>
              <w:pStyle w:val="TableContents"/>
              <w:spacing w:before="0" w:after="0"/>
              <w:ind w:left="0" w:right="0" w:hanging="0"/>
              <w:jc w:val="left"/>
              <w:rPr/>
            </w:pPr>
            <w:r>
              <w:rPr/>
              <w:t> </w:t>
            </w:r>
          </w:p>
        </w:tc>
        <w:tc>
          <w:tcPr>
            <w:tcW w:w="616"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(92</w:t>
            </w:r>
          </w:p>
        </w:tc>
        <w:tc>
          <w:tcPr>
            <w:tcW w:w="411" w:type="dxa"/>
            <w:tcBorders/>
            <w:shd w:fill="auto" w:val="clear"/>
            <w:vAlign w:val="center"/>
          </w:tcPr>
          <w:p>
            <w:pPr>
              <w:pStyle w:val="TableContents"/>
              <w:spacing w:before="0" w:after="0"/>
              <w:ind w:left="0" w:right="0" w:firstLine="200"/>
              <w:jc w:val="left"/>
              <w:rPr>
                <w:rFonts w:ascii="Times New Roman;serif" w:hAnsi="Times New Roman;serif"/>
                <w:b w:val="false"/>
                <w:sz w:val="19"/>
              </w:rPr>
            </w:pPr>
            <w:r>
              <w:rPr>
                <w:rFonts w:ascii="Times New Roman;serif" w:hAnsi="Times New Roman;serif"/>
                <w:b w:val="false"/>
                <w:sz w:val="19"/>
              </w:rPr>
              <w:t>)</w:t>
            </w:r>
          </w:p>
        </w:tc>
      </w:tr>
      <w:tr>
        <w:trPr/>
        <w:tc>
          <w:tcPr>
            <w:tcW w:w="2953" w:type="dxa"/>
            <w:tcBorders/>
            <w:shd w:fill="auto" w:val="clear"/>
            <w:vAlign w:val="center"/>
          </w:tcPr>
          <w:p>
            <w:pPr>
              <w:pStyle w:val="TableContents"/>
              <w:spacing w:before="0" w:after="0"/>
              <w:ind w:left="200" w:right="0" w:hanging="0"/>
              <w:jc w:val="left"/>
              <w:rPr>
                <w:rFonts w:ascii="Times New Roman;serif" w:hAnsi="Times New Roman;serif"/>
                <w:b w:val="false"/>
                <w:sz w:val="19"/>
              </w:rPr>
            </w:pPr>
            <w:r>
              <w:rPr>
                <w:rFonts w:ascii="Times New Roman;serif" w:hAnsi="Times New Roman;serif"/>
                <w:b w:val="false"/>
                <w:sz w:val="19"/>
              </w:rPr>
              <w:t xml:space="preserve">Corporate notes (due in </w:t>
              <w:br/>
              <w:t>   less than one year)</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1,998</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23,962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6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(53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25,960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(55</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r>
      <w:tr>
        <w:trPr/>
        <w:tc>
          <w:tcPr>
            <w:tcW w:w="2953"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75,721</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61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(165</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28,435</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56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(82</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104,156</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61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(247</w:t>
            </w:r>
          </w:p>
        </w:tc>
        <w:tc>
          <w:tcPr>
            <w:tcW w:w="4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r>
    </w:tbl>
    <w:p>
      <w:pPr>
        <w:pStyle w:val="TextBody"/>
        <w:spacing w:before="240" w:after="0"/>
        <w:jc w:val="left"/>
        <w:rPr>
          <w:rFonts w:ascii="Times New Roman" w:hAnsi="Times New Roman"/>
          <w:sz w:val="20"/>
        </w:rPr>
      </w:pPr>
      <w:r>
        <w:rPr>
          <w:rFonts w:ascii="Times New Roman;serif" w:hAnsi="Times New Roman;serif"/>
          <w:b w:val="false"/>
          <w:sz w:val="20"/>
        </w:rPr>
        <w:t>The gross unrealized losses related to U.S. Treasury securities, municipal securities, government-sponsored enterprise securities, commercial paper and corporate notes as of March 31, 2023 and December 31, 2022 were due to changes in interest rates and not credit risk. If an available-for-sale security’s fair value is less than its amortized cost basis, we evaluate whether the decline is the result of a credit loss, in which case an impairment is recorded through an allowance for credit losses. We have not recorded any allowances for credit losses on our available-for-sale securities for the three months ended March 31, 2023 and 2022 as we have not identified any unrealized losses for these securities attributable to credit factors. Our exposure to unrealized losses may increase in the future due to the economic pressures or uncertainties associated with local or global economic recessions as a result of the ongoing COVID-19 pandemic and ongoing geopolitical events, such as the current military conflict between Ukraine and Russia.</w:t>
      </w:r>
      <w:r>
        <w:rPr>
          <w:rFonts w:ascii="Times New Roman" w:hAnsi="Times New Roman"/>
          <w:sz w:val="20"/>
        </w:rPr>
        <w:t xml:space="preserve"> </w:t>
      </w:r>
    </w:p>
    <w:p>
      <w:pPr>
        <w:pStyle w:val="TextBody"/>
        <w:spacing w:before="360" w:after="0"/>
        <w:jc w:val="left"/>
        <w:rPr>
          <w:rFonts w:ascii="Times New Roman;serif" w:hAnsi="Times New Roman;serif"/>
          <w:b/>
          <w:sz w:val="20"/>
        </w:rPr>
      </w:pPr>
      <w:r>
        <w:rPr>
          <w:rFonts w:ascii="Times New Roman;serif" w:hAnsi="Times New Roman;serif"/>
          <w:b/>
          <w:sz w:val="20"/>
        </w:rPr>
        <w:t>Fair Value on a Recurring Basis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categorize financial instruments recorded at fair value on our condensed consolidated balance sheets based upon the level of judgment associated with inputs used to measure their fair value. The categories are as follows:</w:t>
      </w:r>
    </w:p>
    <w:tbl>
      <w:tblPr>
        <w:tblW w:w="10539" w:type="dxa"/>
        <w:jc w:val="left"/>
        <w:tblInd w:w="0" w:type="dxa"/>
        <w:tblCellMar>
          <w:top w:w="28" w:type="dxa"/>
          <w:left w:w="28" w:type="dxa"/>
          <w:bottom w:w="28" w:type="dxa"/>
          <w:right w:w="28" w:type="dxa"/>
        </w:tblCellMar>
      </w:tblPr>
      <w:tblGrid>
        <w:gridCol w:w="161"/>
        <w:gridCol w:w="622"/>
        <w:gridCol w:w="346"/>
        <w:gridCol w:w="9410"/>
      </w:tblGrid>
      <w:tr>
        <w:trPr/>
        <w:tc>
          <w:tcPr>
            <w:tcW w:w="161" w:type="dxa"/>
            <w:tcBorders/>
            <w:shd w:fill="auto" w:val="clear"/>
            <w:vAlign w:val="center"/>
          </w:tcPr>
          <w:p>
            <w:pPr>
              <w:pStyle w:val="TableContents"/>
              <w:spacing w:before="0" w:after="283"/>
              <w:rPr>
                <w:sz w:val="4"/>
                <w:szCs w:val="4"/>
              </w:rPr>
            </w:pPr>
            <w:r>
              <w:rPr>
                <w:sz w:val="4"/>
                <w:szCs w:val="4"/>
              </w:rPr>
            </w:r>
          </w:p>
        </w:tc>
        <w:tc>
          <w:tcPr>
            <w:tcW w:w="622"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9410"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before="0" w:after="0"/>
              <w:ind w:left="0" w:right="0" w:hanging="0"/>
              <w:jc w:val="left"/>
              <w:rPr/>
            </w:pPr>
            <w:r>
              <w:rPr/>
              <w:t> </w:t>
            </w:r>
          </w:p>
        </w:tc>
        <w:tc>
          <w:tcPr>
            <w:tcW w:w="62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Level 1</w:t>
            </w:r>
          </w:p>
        </w:tc>
        <w:tc>
          <w:tcPr>
            <w:tcW w:w="346" w:type="dxa"/>
            <w:tcBorders/>
            <w:shd w:fill="auto" w:val="clear"/>
            <w:vAlign w:val="center"/>
          </w:tcPr>
          <w:p>
            <w:pPr>
              <w:pStyle w:val="TableContents"/>
              <w:spacing w:before="0" w:after="0"/>
              <w:ind w:left="0" w:right="0" w:hanging="0"/>
              <w:jc w:val="left"/>
              <w:rPr/>
            </w:pPr>
            <w:r>
              <w:rPr/>
              <w:t>—</w:t>
            </w:r>
          </w:p>
        </w:tc>
        <w:tc>
          <w:tcPr>
            <w:tcW w:w="941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Inputs are unadjusted, quoted prices in active markets for identical assets or liabilities at the measurement date. An active market for an asset or liability is a market in which transactions for the asset or liability occur with sufficient frequency and volume to provide pricing information on an ongoing basis.</w:t>
            </w:r>
          </w:p>
        </w:tc>
      </w:tr>
      <w:tr>
        <w:trPr/>
        <w:tc>
          <w:tcPr>
            <w:tcW w:w="161" w:type="dxa"/>
            <w:tcBorders/>
            <w:shd w:fill="auto" w:val="clear"/>
            <w:vAlign w:val="center"/>
          </w:tcPr>
          <w:p>
            <w:pPr>
              <w:pStyle w:val="TableContents"/>
              <w:spacing w:before="120" w:after="0"/>
              <w:ind w:left="0" w:right="0" w:hanging="0"/>
              <w:jc w:val="left"/>
              <w:rPr/>
            </w:pPr>
            <w:r>
              <w:rPr/>
              <w:t> </w:t>
            </w:r>
          </w:p>
        </w:tc>
        <w:tc>
          <w:tcPr>
            <w:tcW w:w="622" w:type="dxa"/>
            <w:tcBorders/>
            <w:shd w:fill="auto" w:val="clear"/>
            <w:vAlign w:val="center"/>
          </w:tcPr>
          <w:p>
            <w:pPr>
              <w:pStyle w:val="TableContents"/>
              <w:spacing w:before="120" w:after="0"/>
              <w:ind w:left="0" w:right="0" w:hanging="0"/>
              <w:jc w:val="left"/>
              <w:rPr>
                <w:rFonts w:ascii="Times New Roman;serif" w:hAnsi="Times New Roman;serif"/>
                <w:b w:val="false"/>
                <w:sz w:val="20"/>
              </w:rPr>
            </w:pPr>
            <w:r>
              <w:rPr>
                <w:rFonts w:ascii="Times New Roman;serif" w:hAnsi="Times New Roman;serif"/>
                <w:b w:val="false"/>
                <w:sz w:val="20"/>
              </w:rPr>
              <w:t>Level 2</w:t>
            </w:r>
          </w:p>
        </w:tc>
        <w:tc>
          <w:tcPr>
            <w:tcW w:w="346" w:type="dxa"/>
            <w:tcBorders/>
            <w:shd w:fill="auto" w:val="clear"/>
            <w:vAlign w:val="center"/>
          </w:tcPr>
          <w:p>
            <w:pPr>
              <w:pStyle w:val="TableContents"/>
              <w:spacing w:before="120" w:after="0"/>
              <w:ind w:left="0" w:right="0" w:hanging="0"/>
              <w:jc w:val="left"/>
              <w:rPr/>
            </w:pPr>
            <w:r>
              <w:rPr/>
              <w:t>—</w:t>
            </w:r>
          </w:p>
        </w:tc>
        <w:tc>
          <w:tcPr>
            <w:tcW w:w="9410" w:type="dxa"/>
            <w:tcBorders/>
            <w:shd w:fill="auto" w:val="clear"/>
            <w:vAlign w:val="center"/>
          </w:tcPr>
          <w:p>
            <w:pPr>
              <w:pStyle w:val="TableContents"/>
              <w:spacing w:before="120" w:after="0"/>
              <w:ind w:left="0" w:right="0" w:hanging="0"/>
              <w:jc w:val="left"/>
              <w:rPr>
                <w:rFonts w:ascii="Times New Roman;serif" w:hAnsi="Times New Roman;serif"/>
                <w:b w:val="false"/>
                <w:sz w:val="20"/>
              </w:rPr>
            </w:pPr>
            <w:r>
              <w:rPr>
                <w:rFonts w:ascii="Times New Roman;serif" w:hAnsi="Times New Roman;serif"/>
                <w:b w:val="false"/>
                <w:sz w:val="20"/>
              </w:rPr>
              <w:t>Inputs (other than quoted market prices included in Level 1) are either directly or indirectly observable for the asset or liability through correlation with market data at the measurement date and for the duration of the instrument’s anticipated life.</w:t>
            </w:r>
          </w:p>
        </w:tc>
      </w:tr>
      <w:tr>
        <w:trPr/>
        <w:tc>
          <w:tcPr>
            <w:tcW w:w="161" w:type="dxa"/>
            <w:tcBorders/>
            <w:shd w:fill="auto" w:val="clear"/>
            <w:vAlign w:val="center"/>
          </w:tcPr>
          <w:p>
            <w:pPr>
              <w:pStyle w:val="TableContents"/>
              <w:spacing w:before="120" w:after="0"/>
              <w:ind w:left="0" w:right="0" w:hanging="0"/>
              <w:jc w:val="left"/>
              <w:rPr/>
            </w:pPr>
            <w:r>
              <w:rPr/>
              <w:t> </w:t>
            </w:r>
          </w:p>
        </w:tc>
        <w:tc>
          <w:tcPr>
            <w:tcW w:w="622" w:type="dxa"/>
            <w:tcBorders/>
            <w:shd w:fill="auto" w:val="clear"/>
            <w:vAlign w:val="center"/>
          </w:tcPr>
          <w:p>
            <w:pPr>
              <w:pStyle w:val="TableContents"/>
              <w:spacing w:before="120" w:after="0"/>
              <w:ind w:left="0" w:right="0" w:hanging="0"/>
              <w:jc w:val="left"/>
              <w:rPr>
                <w:rFonts w:ascii="Times New Roman;serif" w:hAnsi="Times New Roman;serif"/>
                <w:b w:val="false"/>
                <w:sz w:val="20"/>
              </w:rPr>
            </w:pPr>
            <w:r>
              <w:rPr>
                <w:rFonts w:ascii="Times New Roman;serif" w:hAnsi="Times New Roman;serif"/>
                <w:b w:val="false"/>
                <w:sz w:val="20"/>
              </w:rPr>
              <w:t>Level 3</w:t>
            </w:r>
          </w:p>
        </w:tc>
        <w:tc>
          <w:tcPr>
            <w:tcW w:w="346" w:type="dxa"/>
            <w:tcBorders/>
            <w:shd w:fill="auto" w:val="clear"/>
            <w:vAlign w:val="center"/>
          </w:tcPr>
          <w:p>
            <w:pPr>
              <w:pStyle w:val="TableContents"/>
              <w:spacing w:before="120" w:after="0"/>
              <w:ind w:left="0" w:right="0" w:hanging="0"/>
              <w:jc w:val="left"/>
              <w:rPr/>
            </w:pPr>
            <w:r>
              <w:rPr/>
              <w:t>—</w:t>
            </w:r>
          </w:p>
        </w:tc>
        <w:tc>
          <w:tcPr>
            <w:tcW w:w="9410" w:type="dxa"/>
            <w:tcBorders/>
            <w:shd w:fill="auto" w:val="clear"/>
            <w:vAlign w:val="center"/>
          </w:tcPr>
          <w:p>
            <w:pPr>
              <w:pStyle w:val="TableContents"/>
              <w:spacing w:before="120" w:after="0"/>
              <w:ind w:left="0" w:right="0" w:hanging="0"/>
              <w:jc w:val="left"/>
              <w:rPr>
                <w:rFonts w:ascii="Times New Roman;serif" w:hAnsi="Times New Roman;serif"/>
                <w:b w:val="false"/>
                <w:sz w:val="20"/>
              </w:rPr>
            </w:pPr>
            <w:r>
              <w:rPr>
                <w:rFonts w:ascii="Times New Roman;serif" w:hAnsi="Times New Roman;serif"/>
                <w:b w:val="false"/>
                <w:sz w:val="20"/>
              </w:rPr>
              <w:t>Inputs reflect management’s best estimate of what market participants would use in pricing the asset or liability at the measurement date. Consideration is given to the risk inherent in the valuation technique and the risk inherent in the inputs to the model.</w:t>
            </w:r>
          </w:p>
        </w:tc>
      </w:tr>
    </w:tbl>
    <w:p>
      <w:pPr>
        <w:pStyle w:val="TextBody"/>
        <w:spacing w:before="240" w:after="0"/>
        <w:jc w:val="left"/>
        <w:rPr>
          <w:rFonts w:ascii="Times New Roman" w:hAnsi="Times New Roman"/>
          <w:sz w:val="20"/>
        </w:rPr>
      </w:pPr>
      <w:r>
        <w:rPr>
          <w:rFonts w:ascii="Times New Roman;serif" w:hAnsi="Times New Roman;serif"/>
          <w:b w:val="false"/>
          <w:sz w:val="20"/>
        </w:rPr>
        <w:t>A financial instrument’s categorization within the valuation hierarchy is based upon the lowest level of input that is significant to the fair value measurement. Money market funds are categorized as Level 1 within the fair value hierarchy as their fair values are</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15</w:t>
      </w:r>
    </w:p>
    <w:p>
      <w:pPr>
        <w:pStyle w:val="HorizontalLine"/>
        <w:rPr/>
      </w:pPr>
      <w:r>
        <w:rPr/>
      </w:r>
    </w:p>
    <w:p>
      <w:pPr>
        <w:pStyle w:val="TextBody"/>
        <w:spacing w:before="0" w:after="0"/>
        <w:jc w:val="center"/>
        <w:rPr>
          <w:rFonts w:ascii="Times New Roman;serif" w:hAnsi="Times New Roman;serif"/>
          <w:b/>
          <w:sz w:val="20"/>
        </w:rPr>
      </w:pPr>
      <w:r>
        <w:rPr>
          <w:rFonts w:ascii="Times New Roman;serif" w:hAnsi="Times New Roman;serif"/>
          <w:b/>
          <w:sz w:val="20"/>
        </w:rPr>
        <w:t>GERON CORPORATION</w:t>
      </w:r>
    </w:p>
    <w:p>
      <w:pPr>
        <w:pStyle w:val="TextBody"/>
        <w:spacing w:before="0" w:after="0"/>
        <w:jc w:val="center"/>
        <w:rPr>
          <w:rFonts w:ascii="Times New Roman;serif" w:hAnsi="Times New Roman;serif"/>
          <w:b/>
          <w:sz w:val="20"/>
        </w:rPr>
      </w:pPr>
      <w:r>
        <w:rPr>
          <w:rFonts w:ascii="Times New Roman;serif" w:hAnsi="Times New Roman;serif"/>
          <w:b/>
          <w:sz w:val="20"/>
        </w:rPr>
        <w:t>NOTES TO CONDENSED CONSOLIDATED FINANCIAL STATEMENTS</w:t>
      </w:r>
    </w:p>
    <w:p>
      <w:pPr>
        <w:pStyle w:val="TextBody"/>
        <w:spacing w:before="0" w:after="0"/>
        <w:jc w:val="center"/>
        <w:rPr>
          <w:rFonts w:ascii="Times New Roman;serif" w:hAnsi="Times New Roman;serif"/>
          <w:b/>
          <w:caps/>
          <w:sz w:val="20"/>
        </w:rPr>
      </w:pPr>
      <w:r>
        <w:rPr>
          <w:rFonts w:ascii="Times New Roman;serif" w:hAnsi="Times New Roman;serif"/>
          <w:b/>
          <w:caps/>
          <w:sz w:val="20"/>
        </w:rPr>
        <w:t>March 31, 2023</w:t>
      </w:r>
    </w:p>
    <w:p>
      <w:pPr>
        <w:pStyle w:val="TextBody"/>
        <w:spacing w:before="0" w:after="0"/>
        <w:jc w:val="center"/>
        <w:rPr>
          <w:rFonts w:ascii="Times New Roman" w:hAnsi="Times New Roman"/>
          <w:sz w:val="20"/>
        </w:rPr>
      </w:pPr>
      <w:r>
        <w:rPr>
          <w:rFonts w:ascii="Times New Roman;serif" w:hAnsi="Times New Roman;serif"/>
          <w:b/>
          <w:sz w:val="20"/>
        </w:rPr>
        <w:t>(UNAUDITED</w:t>
      </w:r>
      <w:r>
        <w:rPr>
          <w:rFonts w:ascii="Times New Roman;serif" w:hAnsi="Times New Roman;serif"/>
          <w:b w:val="false"/>
          <w:sz w:val="20"/>
        </w:rPr>
        <w:t>)</w:t>
      </w:r>
    </w:p>
    <w:p>
      <w:pPr>
        <w:pStyle w:val="TextBody"/>
        <w:spacing w:before="0" w:after="0"/>
        <w:jc w:val="center"/>
        <w:rPr/>
      </w:pPr>
      <w:r>
        <w:rPr/>
        <w:t>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based on quoted prices available in active markets. U.S. Treasury securities, municipal securities, government-sponsored enterprise securities, commercial paper, and corporate notes are categorized as Level 2 within the fair value hierarchy as their fair values are estimated by using pricing models, quoted prices of securities with similar characteristics or discounted cash flows.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following table presents information about our financial instruments that are measured at fair value on a recurring basis as of March 31, 2023 and December 31, 2022 and indicates the fair value category assigned.</w:t>
      </w:r>
    </w:p>
    <w:p>
      <w:pPr>
        <w:pStyle w:val="TextBody"/>
        <w:spacing w:before="0" w:after="0"/>
        <w:jc w:val="left"/>
        <w:rPr/>
      </w:pPr>
      <w:r>
        <w:rPr/>
        <w:t> </w:t>
      </w:r>
    </w:p>
    <w:tbl>
      <w:tblPr>
        <w:tblW w:w="9507" w:type="dxa"/>
        <w:jc w:val="left"/>
        <w:tblInd w:w="0" w:type="dxa"/>
        <w:tblCellMar>
          <w:top w:w="28" w:type="dxa"/>
          <w:left w:w="28" w:type="dxa"/>
          <w:bottom w:w="28" w:type="dxa"/>
          <w:right w:w="28" w:type="dxa"/>
        </w:tblCellMar>
      </w:tblPr>
      <w:tblGrid>
        <w:gridCol w:w="2896"/>
        <w:gridCol w:w="146"/>
        <w:gridCol w:w="352"/>
        <w:gridCol w:w="1133"/>
        <w:gridCol w:w="146"/>
        <w:gridCol w:w="146"/>
        <w:gridCol w:w="302"/>
        <w:gridCol w:w="1123"/>
        <w:gridCol w:w="146"/>
        <w:gridCol w:w="146"/>
        <w:gridCol w:w="414"/>
        <w:gridCol w:w="682"/>
        <w:gridCol w:w="146"/>
        <w:gridCol w:w="146"/>
        <w:gridCol w:w="211"/>
        <w:gridCol w:w="781"/>
        <w:gridCol w:w="591"/>
      </w:tblGrid>
      <w:tr>
        <w:trPr/>
        <w:tc>
          <w:tcPr>
            <w:tcW w:w="289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52" w:type="dxa"/>
            <w:tcBorders/>
            <w:shd w:fill="auto" w:val="clear"/>
            <w:vAlign w:val="center"/>
          </w:tcPr>
          <w:p>
            <w:pPr>
              <w:pStyle w:val="TableContents"/>
              <w:spacing w:before="0" w:after="283"/>
              <w:rPr>
                <w:sz w:val="4"/>
                <w:szCs w:val="4"/>
              </w:rPr>
            </w:pPr>
            <w:r>
              <w:rPr>
                <w:sz w:val="4"/>
                <w:szCs w:val="4"/>
              </w:rPr>
            </w:r>
          </w:p>
        </w:tc>
        <w:tc>
          <w:tcPr>
            <w:tcW w:w="113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02" w:type="dxa"/>
            <w:tcBorders/>
            <w:shd w:fill="auto" w:val="clear"/>
            <w:vAlign w:val="center"/>
          </w:tcPr>
          <w:p>
            <w:pPr>
              <w:pStyle w:val="TableContents"/>
              <w:spacing w:before="0" w:after="283"/>
              <w:rPr>
                <w:sz w:val="4"/>
                <w:szCs w:val="4"/>
              </w:rPr>
            </w:pPr>
            <w:r>
              <w:rPr>
                <w:sz w:val="4"/>
                <w:szCs w:val="4"/>
              </w:rPr>
            </w:r>
          </w:p>
        </w:tc>
        <w:tc>
          <w:tcPr>
            <w:tcW w:w="112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center"/>
          </w:tcPr>
          <w:p>
            <w:pPr>
              <w:pStyle w:val="TableContents"/>
              <w:spacing w:before="0" w:after="283"/>
              <w:rPr>
                <w:sz w:val="4"/>
                <w:szCs w:val="4"/>
              </w:rPr>
            </w:pPr>
            <w:r>
              <w:rPr>
                <w:sz w:val="4"/>
                <w:szCs w:val="4"/>
              </w:rPr>
            </w:r>
          </w:p>
        </w:tc>
        <w:tc>
          <w:tcPr>
            <w:tcW w:w="68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591" w:type="dxa"/>
            <w:tcBorders/>
            <w:shd w:fill="auto" w:val="clear"/>
            <w:vAlign w:val="center"/>
          </w:tcPr>
          <w:p>
            <w:pPr>
              <w:pStyle w:val="TableContents"/>
              <w:spacing w:before="0" w:after="283"/>
              <w:rPr>
                <w:sz w:val="4"/>
                <w:szCs w:val="4"/>
              </w:rPr>
            </w:pPr>
            <w:r>
              <w:rPr>
                <w:sz w:val="4"/>
                <w:szCs w:val="4"/>
              </w:rPr>
            </w:r>
          </w:p>
        </w:tc>
      </w:tr>
      <w:tr>
        <w:trPr/>
        <w:tc>
          <w:tcPr>
            <w:tcW w:w="289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74" w:type="dxa"/>
            <w:gridSpan w:val="14"/>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Fair Value Measurements at Reporting Date Using</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89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85"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Quoted Prices in</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25"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96"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Significant</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left"/>
              <w:rPr/>
            </w:pPr>
            <w:r>
              <w:rPr/>
              <w:t> </w:t>
            </w:r>
          </w:p>
        </w:tc>
        <w:tc>
          <w:tcPr>
            <w:tcW w:w="591" w:type="dxa"/>
            <w:tcBorders/>
            <w:shd w:fill="auto" w:val="clear"/>
            <w:vAlign w:val="center"/>
          </w:tcPr>
          <w:p>
            <w:pPr>
              <w:pStyle w:val="TableContents"/>
              <w:spacing w:before="0" w:after="0"/>
              <w:ind w:left="0" w:right="0" w:hanging="0"/>
              <w:jc w:val="left"/>
              <w:rPr/>
            </w:pPr>
            <w:r>
              <w:rPr/>
              <w:t> </w:t>
            </w:r>
          </w:p>
        </w:tc>
      </w:tr>
      <w:tr>
        <w:trPr/>
        <w:tc>
          <w:tcPr>
            <w:tcW w:w="289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85"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Active Markets for</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25"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Significant Other</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96"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Unobservable</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left"/>
              <w:rPr/>
            </w:pPr>
            <w:r>
              <w:rPr/>
              <w:t> </w:t>
            </w:r>
          </w:p>
        </w:tc>
        <w:tc>
          <w:tcPr>
            <w:tcW w:w="591" w:type="dxa"/>
            <w:tcBorders/>
            <w:shd w:fill="auto" w:val="clear"/>
            <w:vAlign w:val="center"/>
          </w:tcPr>
          <w:p>
            <w:pPr>
              <w:pStyle w:val="TableContents"/>
              <w:spacing w:before="0" w:after="0"/>
              <w:ind w:left="0" w:right="0" w:hanging="0"/>
              <w:jc w:val="left"/>
              <w:rPr/>
            </w:pPr>
            <w:r>
              <w:rPr/>
              <w:t> </w:t>
            </w:r>
          </w:p>
        </w:tc>
      </w:tr>
      <w:tr>
        <w:trPr/>
        <w:tc>
          <w:tcPr>
            <w:tcW w:w="289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8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Identical Assets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2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Observable Inputs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9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Inputs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left"/>
              <w:rPr/>
            </w:pPr>
            <w:r>
              <w:rPr/>
              <w:t> </w:t>
            </w:r>
          </w:p>
        </w:tc>
        <w:tc>
          <w:tcPr>
            <w:tcW w:w="591" w:type="dxa"/>
            <w:tcBorders/>
            <w:shd w:fill="auto" w:val="clear"/>
            <w:vAlign w:val="center"/>
          </w:tcPr>
          <w:p>
            <w:pPr>
              <w:pStyle w:val="TableContents"/>
              <w:spacing w:before="0" w:after="0"/>
              <w:ind w:left="0" w:right="0" w:hanging="0"/>
              <w:jc w:val="left"/>
              <w:rPr/>
            </w:pPr>
            <w:r>
              <w:rPr/>
              <w:t> </w:t>
            </w:r>
          </w:p>
        </w:tc>
      </w:tr>
      <w:tr>
        <w:trPr/>
        <w:tc>
          <w:tcPr>
            <w:tcW w:w="28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(In thousands)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8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Level 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2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Level 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9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Level 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89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As of March 31, 2023:</w:t>
            </w:r>
          </w:p>
        </w:tc>
        <w:tc>
          <w:tcPr>
            <w:tcW w:w="146" w:type="dxa"/>
            <w:tcBorders/>
            <w:shd w:fill="auto" w:val="clear"/>
            <w:vAlign w:val="center"/>
          </w:tcPr>
          <w:p>
            <w:pPr>
              <w:pStyle w:val="TableContents"/>
              <w:spacing w:before="0" w:after="0"/>
              <w:ind w:left="0" w:right="0" w:hanging="0"/>
              <w:jc w:val="left"/>
              <w:rPr/>
            </w:pPr>
            <w:r>
              <w:rPr/>
              <w:t> </w:t>
            </w:r>
          </w:p>
        </w:tc>
        <w:tc>
          <w:tcPr>
            <w:tcW w:w="1485"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25"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96"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left"/>
              <w:rPr/>
            </w:pPr>
            <w:r>
              <w:rPr/>
              <w:t> </w:t>
            </w:r>
          </w:p>
        </w:tc>
        <w:tc>
          <w:tcPr>
            <w:tcW w:w="591" w:type="dxa"/>
            <w:tcBorders/>
            <w:shd w:fill="auto" w:val="clear"/>
            <w:vAlign w:val="center"/>
          </w:tcPr>
          <w:p>
            <w:pPr>
              <w:pStyle w:val="TableContents"/>
              <w:spacing w:before="0" w:after="0"/>
              <w:ind w:left="0" w:right="0" w:firstLine="200"/>
              <w:jc w:val="left"/>
              <w:rPr/>
            </w:pPr>
            <w:r>
              <w:rPr/>
              <w:t> </w:t>
            </w:r>
          </w:p>
        </w:tc>
      </w:tr>
      <w:tr>
        <w:trPr/>
        <w:tc>
          <w:tcPr>
            <w:tcW w:w="2896" w:type="dxa"/>
            <w:tcBorders/>
            <w:shd w:fill="auto" w:val="clear"/>
            <w:vAlign w:val="center"/>
          </w:tcPr>
          <w:p>
            <w:pPr>
              <w:pStyle w:val="TableContents"/>
              <w:spacing w:before="0" w:after="0"/>
              <w:ind w:left="200" w:right="0" w:hanging="0"/>
              <w:jc w:val="left"/>
              <w:rPr>
                <w:rFonts w:ascii="Times New Roman" w:hAnsi="Times New Roman"/>
                <w:sz w:val="20"/>
              </w:rPr>
            </w:pPr>
            <w:r>
              <w:rPr>
                <w:rFonts w:ascii="Times New Roman;serif" w:hAnsi="Times New Roman;serif"/>
                <w:b w:val="false"/>
                <w:sz w:val="20"/>
              </w:rPr>
              <w:t>Money market funds</w:t>
            </w:r>
            <w:r>
              <w:rPr>
                <w:rFonts w:ascii="Times New Roman;serif" w:hAnsi="Times New Roman;serif"/>
                <w:b w:val="false"/>
                <w:sz w:val="13"/>
              </w:rPr>
              <w:t>(1)(2)</w:t>
            </w:r>
          </w:p>
        </w:tc>
        <w:tc>
          <w:tcPr>
            <w:tcW w:w="146" w:type="dxa"/>
            <w:tcBorders/>
            <w:shd w:fill="auto" w:val="clear"/>
            <w:vAlign w:val="center"/>
          </w:tcPr>
          <w:p>
            <w:pPr>
              <w:pStyle w:val="TableContents"/>
              <w:spacing w:before="0" w:after="0"/>
              <w:ind w:left="0" w:right="0" w:hanging="0"/>
              <w:jc w:val="left"/>
              <w:rPr/>
            </w:pPr>
            <w:r>
              <w:rPr/>
              <w:t> </w:t>
            </w:r>
          </w:p>
        </w:tc>
        <w:tc>
          <w:tcPr>
            <w:tcW w:w="35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3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35,454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23"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1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82"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35,454</w:t>
            </w:r>
          </w:p>
        </w:tc>
        <w:tc>
          <w:tcPr>
            <w:tcW w:w="591" w:type="dxa"/>
            <w:tcBorders/>
            <w:shd w:fill="auto" w:val="clear"/>
            <w:vAlign w:val="center"/>
          </w:tcPr>
          <w:p>
            <w:pPr>
              <w:pStyle w:val="TableContents"/>
              <w:spacing w:before="0" w:after="0"/>
              <w:ind w:left="0" w:right="0" w:firstLine="200"/>
              <w:jc w:val="left"/>
              <w:rPr/>
            </w:pPr>
            <w:r>
              <w:rPr/>
              <w:t> </w:t>
            </w:r>
          </w:p>
        </w:tc>
      </w:tr>
      <w:tr>
        <w:trPr/>
        <w:tc>
          <w:tcPr>
            <w:tcW w:w="2896" w:type="dxa"/>
            <w:tcBorders/>
            <w:shd w:fill="auto" w:val="clear"/>
            <w:vAlign w:val="center"/>
          </w:tcPr>
          <w:p>
            <w:pPr>
              <w:pStyle w:val="TableContents"/>
              <w:spacing w:before="0" w:after="0"/>
              <w:ind w:left="200" w:right="0" w:hanging="0"/>
              <w:jc w:val="left"/>
              <w:rPr>
                <w:rFonts w:ascii="Times New Roman" w:hAnsi="Times New Roman"/>
                <w:sz w:val="20"/>
              </w:rPr>
            </w:pPr>
            <w:r>
              <w:rPr>
                <w:rFonts w:ascii="Times New Roman;serif" w:hAnsi="Times New Roman;serif"/>
                <w:b w:val="false"/>
                <w:sz w:val="20"/>
              </w:rPr>
              <w:t>Certificate of deposit</w:t>
            </w:r>
            <w:r>
              <w:rPr>
                <w:rFonts w:ascii="Times New Roman;serif" w:hAnsi="Times New Roman;serif"/>
                <w:b w:val="false"/>
                <w:sz w:val="13"/>
              </w:rPr>
              <w:t>(2)</w:t>
            </w:r>
          </w:p>
        </w:tc>
        <w:tc>
          <w:tcPr>
            <w:tcW w:w="146" w:type="dxa"/>
            <w:tcBorders/>
            <w:shd w:fill="auto" w:val="clear"/>
            <w:vAlign w:val="center"/>
          </w:tcPr>
          <w:p>
            <w:pPr>
              <w:pStyle w:val="TableContents"/>
              <w:spacing w:before="0" w:after="0"/>
              <w:ind w:left="0" w:right="0" w:hanging="0"/>
              <w:jc w:val="left"/>
              <w:rPr/>
            </w:pPr>
            <w:r>
              <w:rPr/>
              <w:t> </w:t>
            </w:r>
          </w:p>
        </w:tc>
        <w:tc>
          <w:tcPr>
            <w:tcW w:w="352" w:type="dxa"/>
            <w:tcBorders/>
            <w:shd w:fill="auto" w:val="clear"/>
            <w:vAlign w:val="center"/>
          </w:tcPr>
          <w:p>
            <w:pPr>
              <w:pStyle w:val="TableContents"/>
              <w:spacing w:before="0" w:after="0"/>
              <w:ind w:left="0" w:right="0" w:hanging="0"/>
              <w:jc w:val="left"/>
              <w:rPr/>
            </w:pPr>
            <w:r>
              <w:rPr/>
              <w:t> </w:t>
            </w:r>
          </w:p>
        </w:tc>
        <w:tc>
          <w:tcPr>
            <w:tcW w:w="113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2" w:type="dxa"/>
            <w:tcBorders/>
            <w:shd w:fill="auto" w:val="clear"/>
            <w:vAlign w:val="center"/>
          </w:tcPr>
          <w:p>
            <w:pPr>
              <w:pStyle w:val="TableContents"/>
              <w:spacing w:before="0" w:after="0"/>
              <w:ind w:left="0" w:right="0" w:hanging="0"/>
              <w:jc w:val="left"/>
              <w:rPr/>
            </w:pPr>
            <w:r>
              <w:rPr/>
              <w:t> </w:t>
            </w:r>
          </w:p>
        </w:tc>
        <w:tc>
          <w:tcPr>
            <w:tcW w:w="1123"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14" w:type="dxa"/>
            <w:tcBorders/>
            <w:shd w:fill="auto" w:val="clear"/>
            <w:vAlign w:val="center"/>
          </w:tcPr>
          <w:p>
            <w:pPr>
              <w:pStyle w:val="TableContents"/>
              <w:spacing w:before="0" w:after="0"/>
              <w:ind w:left="0" w:right="0" w:hanging="0"/>
              <w:jc w:val="left"/>
              <w:rPr/>
            </w:pPr>
            <w:r>
              <w:rPr/>
              <w:t> </w:t>
            </w:r>
          </w:p>
        </w:tc>
        <w:tc>
          <w:tcPr>
            <w:tcW w:w="682"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272</w:t>
            </w:r>
          </w:p>
        </w:tc>
        <w:tc>
          <w:tcPr>
            <w:tcW w:w="591" w:type="dxa"/>
            <w:tcBorders/>
            <w:shd w:fill="auto" w:val="clear"/>
            <w:vAlign w:val="center"/>
          </w:tcPr>
          <w:p>
            <w:pPr>
              <w:pStyle w:val="TableContents"/>
              <w:spacing w:before="0" w:after="0"/>
              <w:ind w:left="0" w:right="0" w:firstLine="200"/>
              <w:jc w:val="left"/>
              <w:rPr/>
            </w:pPr>
            <w:r>
              <w:rPr/>
              <w:t> </w:t>
            </w:r>
          </w:p>
        </w:tc>
      </w:tr>
      <w:tr>
        <w:trPr/>
        <w:tc>
          <w:tcPr>
            <w:tcW w:w="2896" w:type="dxa"/>
            <w:tcBorders/>
            <w:shd w:fill="auto" w:val="clear"/>
            <w:vAlign w:val="center"/>
          </w:tcPr>
          <w:p>
            <w:pPr>
              <w:pStyle w:val="TableContents"/>
              <w:spacing w:before="0" w:after="0"/>
              <w:ind w:left="200" w:right="0" w:hanging="0"/>
              <w:jc w:val="left"/>
              <w:rPr>
                <w:rFonts w:ascii="Times New Roman" w:hAnsi="Times New Roman"/>
                <w:sz w:val="20"/>
              </w:rPr>
            </w:pPr>
            <w:r>
              <w:rPr>
                <w:rFonts w:ascii="Times New Roman;serif" w:hAnsi="Times New Roman;serif"/>
                <w:b w:val="false"/>
                <w:sz w:val="20"/>
              </w:rPr>
              <w:t xml:space="preserve">Government-sponsored enterprise </w:t>
              <w:br/>
              <w:t>   securities</w:t>
            </w:r>
            <w:r>
              <w:rPr>
                <w:rFonts w:ascii="Times New Roman;serif" w:hAnsi="Times New Roman;serif"/>
                <w:b w:val="false"/>
                <w:sz w:val="13"/>
              </w:rPr>
              <w:t>(1)(3)(4)</w:t>
            </w:r>
          </w:p>
        </w:tc>
        <w:tc>
          <w:tcPr>
            <w:tcW w:w="146" w:type="dxa"/>
            <w:tcBorders/>
            <w:shd w:fill="auto" w:val="clear"/>
            <w:vAlign w:val="center"/>
          </w:tcPr>
          <w:p>
            <w:pPr>
              <w:pStyle w:val="TableContents"/>
              <w:spacing w:before="0" w:after="0"/>
              <w:ind w:left="0" w:right="0" w:hanging="0"/>
              <w:jc w:val="left"/>
              <w:rPr/>
            </w:pPr>
            <w:r>
              <w:rPr/>
              <w:t> </w:t>
            </w:r>
          </w:p>
        </w:tc>
        <w:tc>
          <w:tcPr>
            <w:tcW w:w="352" w:type="dxa"/>
            <w:tcBorders/>
            <w:shd w:fill="auto" w:val="clear"/>
            <w:vAlign w:val="center"/>
          </w:tcPr>
          <w:p>
            <w:pPr>
              <w:pStyle w:val="TableContents"/>
              <w:spacing w:before="0" w:after="0"/>
              <w:ind w:left="0" w:right="0" w:hanging="0"/>
              <w:jc w:val="left"/>
              <w:rPr/>
            </w:pPr>
            <w:r>
              <w:rPr/>
              <w:t> </w:t>
            </w:r>
          </w:p>
        </w:tc>
        <w:tc>
          <w:tcPr>
            <w:tcW w:w="1133"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2" w:type="dxa"/>
            <w:tcBorders/>
            <w:shd w:fill="auto" w:val="clear"/>
            <w:vAlign w:val="center"/>
          </w:tcPr>
          <w:p>
            <w:pPr>
              <w:pStyle w:val="TableContents"/>
              <w:spacing w:before="0" w:after="0"/>
              <w:ind w:left="0" w:right="0" w:hanging="0"/>
              <w:jc w:val="left"/>
              <w:rPr/>
            </w:pPr>
            <w:r>
              <w:rPr/>
              <w:t> </w:t>
            </w:r>
          </w:p>
        </w:tc>
        <w:tc>
          <w:tcPr>
            <w:tcW w:w="112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81,004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14" w:type="dxa"/>
            <w:tcBorders/>
            <w:shd w:fill="auto" w:val="clear"/>
            <w:vAlign w:val="center"/>
          </w:tcPr>
          <w:p>
            <w:pPr>
              <w:pStyle w:val="TableContents"/>
              <w:spacing w:before="0" w:after="0"/>
              <w:ind w:left="0" w:right="0" w:hanging="0"/>
              <w:jc w:val="left"/>
              <w:rPr/>
            </w:pPr>
            <w:r>
              <w:rPr/>
              <w:t> </w:t>
            </w:r>
          </w:p>
        </w:tc>
        <w:tc>
          <w:tcPr>
            <w:tcW w:w="682"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81,004</w:t>
            </w:r>
          </w:p>
        </w:tc>
        <w:tc>
          <w:tcPr>
            <w:tcW w:w="591" w:type="dxa"/>
            <w:tcBorders/>
            <w:shd w:fill="auto" w:val="clear"/>
            <w:vAlign w:val="center"/>
          </w:tcPr>
          <w:p>
            <w:pPr>
              <w:pStyle w:val="TableContents"/>
              <w:spacing w:before="0" w:after="0"/>
              <w:ind w:left="0" w:right="0" w:firstLine="200"/>
              <w:jc w:val="left"/>
              <w:rPr/>
            </w:pPr>
            <w:r>
              <w:rPr/>
              <w:t> </w:t>
            </w:r>
          </w:p>
        </w:tc>
      </w:tr>
      <w:tr>
        <w:trPr/>
        <w:tc>
          <w:tcPr>
            <w:tcW w:w="2896" w:type="dxa"/>
            <w:tcBorders/>
            <w:shd w:fill="auto" w:val="clear"/>
            <w:vAlign w:val="center"/>
          </w:tcPr>
          <w:p>
            <w:pPr>
              <w:pStyle w:val="TableContents"/>
              <w:spacing w:before="0" w:after="0"/>
              <w:ind w:left="200" w:right="0" w:hanging="0"/>
              <w:jc w:val="left"/>
              <w:rPr>
                <w:rFonts w:ascii="Times New Roman" w:hAnsi="Times New Roman"/>
                <w:sz w:val="20"/>
              </w:rPr>
            </w:pPr>
            <w:r>
              <w:rPr>
                <w:rFonts w:ascii="Times New Roman;serif" w:hAnsi="Times New Roman;serif"/>
                <w:b w:val="false"/>
                <w:sz w:val="20"/>
              </w:rPr>
              <w:t>Commercial paper</w:t>
            </w:r>
            <w:r>
              <w:rPr>
                <w:rFonts w:ascii="Times New Roman;serif" w:hAnsi="Times New Roman;serif"/>
                <w:b w:val="false"/>
                <w:sz w:val="13"/>
              </w:rPr>
              <w:t>(1)(3)</w:t>
            </w:r>
          </w:p>
        </w:tc>
        <w:tc>
          <w:tcPr>
            <w:tcW w:w="146" w:type="dxa"/>
            <w:tcBorders/>
            <w:shd w:fill="auto" w:val="clear"/>
            <w:vAlign w:val="center"/>
          </w:tcPr>
          <w:p>
            <w:pPr>
              <w:pStyle w:val="TableContents"/>
              <w:spacing w:before="0" w:after="0"/>
              <w:ind w:left="0" w:right="0" w:hanging="0"/>
              <w:jc w:val="left"/>
              <w:rPr/>
            </w:pPr>
            <w:r>
              <w:rPr/>
              <w:t> </w:t>
            </w:r>
          </w:p>
        </w:tc>
        <w:tc>
          <w:tcPr>
            <w:tcW w:w="352" w:type="dxa"/>
            <w:tcBorders/>
            <w:shd w:fill="auto" w:val="clear"/>
            <w:vAlign w:val="center"/>
          </w:tcPr>
          <w:p>
            <w:pPr>
              <w:pStyle w:val="TableContents"/>
              <w:spacing w:before="0" w:after="0"/>
              <w:ind w:left="0" w:right="0" w:hanging="0"/>
              <w:jc w:val="left"/>
              <w:rPr/>
            </w:pPr>
            <w:r>
              <w:rPr/>
              <w:t> </w:t>
            </w:r>
          </w:p>
        </w:tc>
        <w:tc>
          <w:tcPr>
            <w:tcW w:w="1133"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2" w:type="dxa"/>
            <w:tcBorders/>
            <w:shd w:fill="auto" w:val="clear"/>
            <w:vAlign w:val="center"/>
          </w:tcPr>
          <w:p>
            <w:pPr>
              <w:pStyle w:val="TableContents"/>
              <w:spacing w:before="0" w:after="0"/>
              <w:ind w:left="0" w:right="0" w:hanging="0"/>
              <w:jc w:val="left"/>
              <w:rPr/>
            </w:pPr>
            <w:r>
              <w:rPr/>
              <w:t> </w:t>
            </w:r>
          </w:p>
        </w:tc>
        <w:tc>
          <w:tcPr>
            <w:tcW w:w="112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224,946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14" w:type="dxa"/>
            <w:tcBorders/>
            <w:shd w:fill="auto" w:val="clear"/>
            <w:vAlign w:val="center"/>
          </w:tcPr>
          <w:p>
            <w:pPr>
              <w:pStyle w:val="TableContents"/>
              <w:spacing w:before="0" w:after="0"/>
              <w:ind w:left="0" w:right="0" w:hanging="0"/>
              <w:jc w:val="left"/>
              <w:rPr/>
            </w:pPr>
            <w:r>
              <w:rPr/>
              <w:t> </w:t>
            </w:r>
          </w:p>
        </w:tc>
        <w:tc>
          <w:tcPr>
            <w:tcW w:w="682"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224,946</w:t>
            </w:r>
          </w:p>
        </w:tc>
        <w:tc>
          <w:tcPr>
            <w:tcW w:w="591" w:type="dxa"/>
            <w:tcBorders/>
            <w:shd w:fill="auto" w:val="clear"/>
            <w:vAlign w:val="center"/>
          </w:tcPr>
          <w:p>
            <w:pPr>
              <w:pStyle w:val="TableContents"/>
              <w:spacing w:before="0" w:after="0"/>
              <w:ind w:left="0" w:right="0" w:firstLine="200"/>
              <w:jc w:val="left"/>
              <w:rPr/>
            </w:pPr>
            <w:r>
              <w:rPr/>
              <w:t> </w:t>
            </w:r>
          </w:p>
        </w:tc>
      </w:tr>
      <w:tr>
        <w:trPr/>
        <w:tc>
          <w:tcPr>
            <w:tcW w:w="2896" w:type="dxa"/>
            <w:tcBorders/>
            <w:shd w:fill="auto" w:val="clear"/>
            <w:vAlign w:val="center"/>
          </w:tcPr>
          <w:p>
            <w:pPr>
              <w:pStyle w:val="TableContents"/>
              <w:spacing w:before="0" w:after="0"/>
              <w:ind w:left="200" w:right="0" w:hanging="0"/>
              <w:jc w:val="left"/>
              <w:rPr>
                <w:rFonts w:ascii="Times New Roman" w:hAnsi="Times New Roman"/>
                <w:sz w:val="20"/>
              </w:rPr>
            </w:pPr>
            <w:r>
              <w:rPr>
                <w:rFonts w:ascii="Times New Roman;serif" w:hAnsi="Times New Roman;serif"/>
                <w:b w:val="false"/>
                <w:sz w:val="20"/>
              </w:rPr>
              <w:t>Corporate notes</w:t>
            </w:r>
            <w:r>
              <w:rPr>
                <w:rFonts w:ascii="Times New Roman;serif" w:hAnsi="Times New Roman;serif"/>
                <w:b w:val="false"/>
                <w:sz w:val="13"/>
              </w:rPr>
              <w:t>(3)(4)</w:t>
            </w:r>
          </w:p>
        </w:tc>
        <w:tc>
          <w:tcPr>
            <w:tcW w:w="146" w:type="dxa"/>
            <w:tcBorders/>
            <w:shd w:fill="auto" w:val="clear"/>
            <w:vAlign w:val="center"/>
          </w:tcPr>
          <w:p>
            <w:pPr>
              <w:pStyle w:val="TableContents"/>
              <w:spacing w:before="0" w:after="0"/>
              <w:ind w:left="0" w:right="0" w:hanging="0"/>
              <w:jc w:val="left"/>
              <w:rPr/>
            </w:pPr>
            <w:r>
              <w:rPr/>
              <w:t> </w:t>
            </w:r>
          </w:p>
        </w:tc>
        <w:tc>
          <w:tcPr>
            <w:tcW w:w="35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3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2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31,187</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1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8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31,187</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r>
      <w:tr>
        <w:trPr/>
        <w:tc>
          <w:tcPr>
            <w:tcW w:w="2896"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shd w:fill="auto" w:val="clear"/>
            <w:vAlign w:val="center"/>
          </w:tcPr>
          <w:p>
            <w:pPr>
              <w:pStyle w:val="TableContents"/>
              <w:spacing w:before="0" w:after="0"/>
              <w:ind w:left="0" w:right="0" w:hanging="0"/>
              <w:jc w:val="left"/>
              <w:rPr/>
            </w:pPr>
            <w:r>
              <w:rPr/>
              <w:t> </w:t>
            </w:r>
          </w:p>
        </w:tc>
        <w:tc>
          <w:tcPr>
            <w:tcW w:w="35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3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35,726</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2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337,137</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1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8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372,863</w:t>
            </w:r>
          </w:p>
        </w:tc>
        <w:tc>
          <w:tcPr>
            <w:tcW w:w="5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89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As of December 31, 2022:</w:t>
            </w:r>
          </w:p>
        </w:tc>
        <w:tc>
          <w:tcPr>
            <w:tcW w:w="146" w:type="dxa"/>
            <w:tcBorders/>
            <w:shd w:fill="auto" w:val="clear"/>
            <w:vAlign w:val="center"/>
          </w:tcPr>
          <w:p>
            <w:pPr>
              <w:pStyle w:val="TableContents"/>
              <w:spacing w:before="0" w:after="0"/>
              <w:ind w:left="0" w:right="0" w:hanging="0"/>
              <w:jc w:val="left"/>
              <w:rPr/>
            </w:pPr>
            <w:r>
              <w:rPr/>
              <w:t> </w:t>
            </w:r>
          </w:p>
        </w:tc>
        <w:tc>
          <w:tcPr>
            <w:tcW w:w="1485"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25"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96"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left"/>
              <w:rPr/>
            </w:pPr>
            <w:r>
              <w:rPr/>
              <w:t> </w:t>
            </w:r>
          </w:p>
        </w:tc>
        <w:tc>
          <w:tcPr>
            <w:tcW w:w="591" w:type="dxa"/>
            <w:tcBorders/>
            <w:shd w:fill="auto" w:val="clear"/>
            <w:vAlign w:val="center"/>
          </w:tcPr>
          <w:p>
            <w:pPr>
              <w:pStyle w:val="TableContents"/>
              <w:spacing w:before="0" w:after="0"/>
              <w:ind w:left="0" w:right="0" w:firstLine="200"/>
              <w:jc w:val="left"/>
              <w:rPr/>
            </w:pPr>
            <w:r>
              <w:rPr/>
              <w:t> </w:t>
            </w:r>
          </w:p>
        </w:tc>
      </w:tr>
      <w:tr>
        <w:trPr/>
        <w:tc>
          <w:tcPr>
            <w:tcW w:w="2896" w:type="dxa"/>
            <w:tcBorders/>
            <w:shd w:fill="auto" w:val="clear"/>
            <w:vAlign w:val="center"/>
          </w:tcPr>
          <w:p>
            <w:pPr>
              <w:pStyle w:val="TableContents"/>
              <w:spacing w:before="0" w:after="0"/>
              <w:ind w:left="200" w:right="0" w:hanging="0"/>
              <w:jc w:val="left"/>
              <w:rPr>
                <w:rFonts w:ascii="Times New Roman" w:hAnsi="Times New Roman"/>
                <w:sz w:val="20"/>
              </w:rPr>
            </w:pPr>
            <w:r>
              <w:rPr>
                <w:rFonts w:ascii="Times New Roman;serif" w:hAnsi="Times New Roman;serif"/>
                <w:b w:val="false"/>
                <w:sz w:val="20"/>
              </w:rPr>
              <w:t>Money market funds</w:t>
            </w:r>
            <w:r>
              <w:rPr>
                <w:rFonts w:ascii="Times New Roman;serif" w:hAnsi="Times New Roman;serif"/>
                <w:b w:val="false"/>
                <w:sz w:val="13"/>
              </w:rPr>
              <w:t>(1)(2)</w:t>
            </w:r>
          </w:p>
        </w:tc>
        <w:tc>
          <w:tcPr>
            <w:tcW w:w="146" w:type="dxa"/>
            <w:tcBorders/>
            <w:shd w:fill="auto" w:val="clear"/>
            <w:vAlign w:val="center"/>
          </w:tcPr>
          <w:p>
            <w:pPr>
              <w:pStyle w:val="TableContents"/>
              <w:spacing w:before="0" w:after="0"/>
              <w:ind w:left="0" w:right="0" w:hanging="0"/>
              <w:jc w:val="left"/>
              <w:rPr/>
            </w:pPr>
            <w:r>
              <w:rPr/>
              <w:t> </w:t>
            </w:r>
          </w:p>
        </w:tc>
        <w:tc>
          <w:tcPr>
            <w:tcW w:w="35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3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39,864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23"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1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82"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39,864</w:t>
            </w:r>
          </w:p>
        </w:tc>
        <w:tc>
          <w:tcPr>
            <w:tcW w:w="591" w:type="dxa"/>
            <w:tcBorders/>
            <w:shd w:fill="auto" w:val="clear"/>
            <w:vAlign w:val="center"/>
          </w:tcPr>
          <w:p>
            <w:pPr>
              <w:pStyle w:val="TableContents"/>
              <w:spacing w:before="0" w:after="0"/>
              <w:ind w:left="0" w:right="0" w:firstLine="200"/>
              <w:jc w:val="left"/>
              <w:rPr/>
            </w:pPr>
            <w:r>
              <w:rPr/>
              <w:t> </w:t>
            </w:r>
          </w:p>
        </w:tc>
      </w:tr>
      <w:tr>
        <w:trPr/>
        <w:tc>
          <w:tcPr>
            <w:tcW w:w="2896" w:type="dxa"/>
            <w:tcBorders/>
            <w:shd w:fill="auto" w:val="clear"/>
            <w:vAlign w:val="center"/>
          </w:tcPr>
          <w:p>
            <w:pPr>
              <w:pStyle w:val="TableContents"/>
              <w:spacing w:before="0" w:after="0"/>
              <w:ind w:left="200" w:right="0" w:hanging="0"/>
              <w:jc w:val="left"/>
              <w:rPr>
                <w:rFonts w:ascii="Times New Roman" w:hAnsi="Times New Roman"/>
                <w:sz w:val="20"/>
              </w:rPr>
            </w:pPr>
            <w:r>
              <w:rPr>
                <w:rFonts w:ascii="Times New Roman;serif" w:hAnsi="Times New Roman;serif"/>
                <w:b w:val="false"/>
                <w:sz w:val="20"/>
              </w:rPr>
              <w:t>Certificate of deposit</w:t>
            </w:r>
            <w:r>
              <w:rPr>
                <w:rFonts w:ascii="Times New Roman;serif" w:hAnsi="Times New Roman;serif"/>
                <w:b w:val="false"/>
                <w:sz w:val="13"/>
              </w:rPr>
              <w:t>(2)</w:t>
            </w:r>
          </w:p>
        </w:tc>
        <w:tc>
          <w:tcPr>
            <w:tcW w:w="146" w:type="dxa"/>
            <w:tcBorders/>
            <w:shd w:fill="auto" w:val="clear"/>
            <w:vAlign w:val="center"/>
          </w:tcPr>
          <w:p>
            <w:pPr>
              <w:pStyle w:val="TableContents"/>
              <w:spacing w:before="0" w:after="0"/>
              <w:ind w:left="0" w:right="0" w:hanging="0"/>
              <w:jc w:val="left"/>
              <w:rPr/>
            </w:pPr>
            <w:r>
              <w:rPr/>
              <w:t> </w:t>
            </w:r>
          </w:p>
        </w:tc>
        <w:tc>
          <w:tcPr>
            <w:tcW w:w="352" w:type="dxa"/>
            <w:tcBorders/>
            <w:shd w:fill="auto" w:val="clear"/>
            <w:vAlign w:val="center"/>
          </w:tcPr>
          <w:p>
            <w:pPr>
              <w:pStyle w:val="TableContents"/>
              <w:spacing w:before="0" w:after="0"/>
              <w:ind w:left="0" w:right="0" w:hanging="0"/>
              <w:jc w:val="left"/>
              <w:rPr/>
            </w:pPr>
            <w:r>
              <w:rPr/>
              <w:t> </w:t>
            </w:r>
          </w:p>
        </w:tc>
        <w:tc>
          <w:tcPr>
            <w:tcW w:w="113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2" w:type="dxa"/>
            <w:tcBorders/>
            <w:shd w:fill="auto" w:val="clear"/>
            <w:vAlign w:val="center"/>
          </w:tcPr>
          <w:p>
            <w:pPr>
              <w:pStyle w:val="TableContents"/>
              <w:spacing w:before="0" w:after="0"/>
              <w:ind w:left="0" w:right="0" w:hanging="0"/>
              <w:jc w:val="left"/>
              <w:rPr/>
            </w:pPr>
            <w:r>
              <w:rPr/>
              <w:t> </w:t>
            </w:r>
          </w:p>
        </w:tc>
        <w:tc>
          <w:tcPr>
            <w:tcW w:w="1123"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14" w:type="dxa"/>
            <w:tcBorders/>
            <w:shd w:fill="auto" w:val="clear"/>
            <w:vAlign w:val="center"/>
          </w:tcPr>
          <w:p>
            <w:pPr>
              <w:pStyle w:val="TableContents"/>
              <w:spacing w:before="0" w:after="0"/>
              <w:ind w:left="0" w:right="0" w:hanging="0"/>
              <w:jc w:val="left"/>
              <w:rPr/>
            </w:pPr>
            <w:r>
              <w:rPr/>
              <w:t> </w:t>
            </w:r>
          </w:p>
        </w:tc>
        <w:tc>
          <w:tcPr>
            <w:tcW w:w="682"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271</w:t>
            </w:r>
          </w:p>
        </w:tc>
        <w:tc>
          <w:tcPr>
            <w:tcW w:w="591" w:type="dxa"/>
            <w:tcBorders/>
            <w:shd w:fill="auto" w:val="clear"/>
            <w:vAlign w:val="center"/>
          </w:tcPr>
          <w:p>
            <w:pPr>
              <w:pStyle w:val="TableContents"/>
              <w:spacing w:before="0" w:after="0"/>
              <w:ind w:left="0" w:right="0" w:firstLine="200"/>
              <w:jc w:val="left"/>
              <w:rPr/>
            </w:pPr>
            <w:r>
              <w:rPr/>
              <w:t> </w:t>
            </w:r>
          </w:p>
        </w:tc>
      </w:tr>
      <w:tr>
        <w:trPr/>
        <w:tc>
          <w:tcPr>
            <w:tcW w:w="2896" w:type="dxa"/>
            <w:tcBorders/>
            <w:shd w:fill="auto" w:val="clear"/>
            <w:vAlign w:val="center"/>
          </w:tcPr>
          <w:p>
            <w:pPr>
              <w:pStyle w:val="TableContents"/>
              <w:spacing w:before="0" w:after="0"/>
              <w:ind w:left="200" w:right="0" w:hanging="0"/>
              <w:jc w:val="left"/>
              <w:rPr>
                <w:rFonts w:ascii="Times New Roman" w:hAnsi="Times New Roman"/>
                <w:sz w:val="20"/>
              </w:rPr>
            </w:pPr>
            <w:r>
              <w:rPr>
                <w:rFonts w:ascii="Times New Roman;serif" w:hAnsi="Times New Roman;serif"/>
                <w:b w:val="false"/>
                <w:sz w:val="20"/>
              </w:rPr>
              <w:t>U.S. Treasury securities</w:t>
            </w:r>
            <w:r>
              <w:rPr>
                <w:rFonts w:ascii="Times New Roman;serif" w:hAnsi="Times New Roman;serif"/>
                <w:b w:val="false"/>
                <w:sz w:val="13"/>
              </w:rPr>
              <w:t>(3)</w:t>
            </w:r>
          </w:p>
        </w:tc>
        <w:tc>
          <w:tcPr>
            <w:tcW w:w="146" w:type="dxa"/>
            <w:tcBorders/>
            <w:shd w:fill="auto" w:val="clear"/>
            <w:vAlign w:val="center"/>
          </w:tcPr>
          <w:p>
            <w:pPr>
              <w:pStyle w:val="TableContents"/>
              <w:spacing w:before="0" w:after="0"/>
              <w:ind w:left="0" w:right="0" w:hanging="0"/>
              <w:jc w:val="left"/>
              <w:rPr/>
            </w:pPr>
            <w:r>
              <w:rPr/>
              <w:t> </w:t>
            </w:r>
          </w:p>
        </w:tc>
        <w:tc>
          <w:tcPr>
            <w:tcW w:w="352" w:type="dxa"/>
            <w:tcBorders/>
            <w:shd w:fill="auto" w:val="clear"/>
            <w:vAlign w:val="center"/>
          </w:tcPr>
          <w:p>
            <w:pPr>
              <w:pStyle w:val="TableContents"/>
              <w:spacing w:before="0" w:after="0"/>
              <w:ind w:left="0" w:right="0" w:hanging="0"/>
              <w:jc w:val="left"/>
              <w:rPr/>
            </w:pPr>
            <w:r>
              <w:rPr/>
              <w:t> </w:t>
            </w:r>
          </w:p>
        </w:tc>
        <w:tc>
          <w:tcPr>
            <w:tcW w:w="1133"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2" w:type="dxa"/>
            <w:tcBorders/>
            <w:shd w:fill="auto" w:val="clear"/>
            <w:vAlign w:val="center"/>
          </w:tcPr>
          <w:p>
            <w:pPr>
              <w:pStyle w:val="TableContents"/>
              <w:spacing w:before="0" w:after="0"/>
              <w:ind w:left="0" w:right="0" w:hanging="0"/>
              <w:jc w:val="left"/>
              <w:rPr/>
            </w:pPr>
            <w:r>
              <w:rPr/>
              <w:t> </w:t>
            </w:r>
          </w:p>
        </w:tc>
        <w:tc>
          <w:tcPr>
            <w:tcW w:w="112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12,921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14" w:type="dxa"/>
            <w:tcBorders/>
            <w:shd w:fill="auto" w:val="clear"/>
            <w:vAlign w:val="center"/>
          </w:tcPr>
          <w:p>
            <w:pPr>
              <w:pStyle w:val="TableContents"/>
              <w:spacing w:before="0" w:after="0"/>
              <w:ind w:left="0" w:right="0" w:hanging="0"/>
              <w:jc w:val="left"/>
              <w:rPr/>
            </w:pPr>
            <w:r>
              <w:rPr/>
              <w:t> </w:t>
            </w:r>
          </w:p>
        </w:tc>
        <w:tc>
          <w:tcPr>
            <w:tcW w:w="682"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12,921</w:t>
            </w:r>
          </w:p>
        </w:tc>
        <w:tc>
          <w:tcPr>
            <w:tcW w:w="591" w:type="dxa"/>
            <w:tcBorders/>
            <w:shd w:fill="auto" w:val="clear"/>
            <w:vAlign w:val="center"/>
          </w:tcPr>
          <w:p>
            <w:pPr>
              <w:pStyle w:val="TableContents"/>
              <w:spacing w:before="0" w:after="0"/>
              <w:ind w:left="0" w:right="0" w:firstLine="200"/>
              <w:jc w:val="left"/>
              <w:rPr/>
            </w:pPr>
            <w:r>
              <w:rPr/>
              <w:t> </w:t>
            </w:r>
          </w:p>
        </w:tc>
      </w:tr>
      <w:tr>
        <w:trPr/>
        <w:tc>
          <w:tcPr>
            <w:tcW w:w="2896" w:type="dxa"/>
            <w:tcBorders/>
            <w:shd w:fill="auto" w:val="clear"/>
            <w:vAlign w:val="center"/>
          </w:tcPr>
          <w:p>
            <w:pPr>
              <w:pStyle w:val="TableContents"/>
              <w:spacing w:before="0" w:after="0"/>
              <w:ind w:left="200" w:right="0" w:hanging="0"/>
              <w:jc w:val="left"/>
              <w:rPr>
                <w:rFonts w:ascii="Times New Roman" w:hAnsi="Times New Roman"/>
                <w:sz w:val="20"/>
              </w:rPr>
            </w:pPr>
            <w:r>
              <w:rPr>
                <w:rFonts w:ascii="Times New Roman;serif" w:hAnsi="Times New Roman;serif"/>
                <w:b w:val="false"/>
                <w:sz w:val="20"/>
              </w:rPr>
              <w:t>Municipal securities</w:t>
            </w:r>
            <w:r>
              <w:rPr>
                <w:rFonts w:ascii="Times New Roman;serif" w:hAnsi="Times New Roman;serif"/>
                <w:b w:val="false"/>
                <w:sz w:val="13"/>
              </w:rPr>
              <w:t>(3)</w:t>
            </w:r>
          </w:p>
        </w:tc>
        <w:tc>
          <w:tcPr>
            <w:tcW w:w="146" w:type="dxa"/>
            <w:tcBorders/>
            <w:shd w:fill="auto" w:val="clear"/>
            <w:vAlign w:val="center"/>
          </w:tcPr>
          <w:p>
            <w:pPr>
              <w:pStyle w:val="TableContents"/>
              <w:spacing w:before="0" w:after="0"/>
              <w:ind w:left="0" w:right="0" w:hanging="0"/>
              <w:jc w:val="left"/>
              <w:rPr/>
            </w:pPr>
            <w:r>
              <w:rPr/>
              <w:t> </w:t>
            </w:r>
          </w:p>
        </w:tc>
        <w:tc>
          <w:tcPr>
            <w:tcW w:w="352" w:type="dxa"/>
            <w:tcBorders/>
            <w:shd w:fill="auto" w:val="clear"/>
            <w:vAlign w:val="center"/>
          </w:tcPr>
          <w:p>
            <w:pPr>
              <w:pStyle w:val="TableContents"/>
              <w:spacing w:before="0" w:after="0"/>
              <w:ind w:left="0" w:right="0" w:hanging="0"/>
              <w:jc w:val="left"/>
              <w:rPr/>
            </w:pPr>
            <w:r>
              <w:rPr/>
              <w:t> </w:t>
            </w:r>
          </w:p>
        </w:tc>
        <w:tc>
          <w:tcPr>
            <w:tcW w:w="1133"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2" w:type="dxa"/>
            <w:tcBorders/>
            <w:shd w:fill="auto" w:val="clear"/>
            <w:vAlign w:val="center"/>
          </w:tcPr>
          <w:p>
            <w:pPr>
              <w:pStyle w:val="TableContents"/>
              <w:spacing w:before="0" w:after="0"/>
              <w:ind w:left="0" w:right="0" w:hanging="0"/>
              <w:jc w:val="left"/>
              <w:rPr/>
            </w:pPr>
            <w:r>
              <w:rPr/>
              <w:t> </w:t>
            </w:r>
          </w:p>
        </w:tc>
        <w:tc>
          <w:tcPr>
            <w:tcW w:w="112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2,976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14" w:type="dxa"/>
            <w:tcBorders/>
            <w:shd w:fill="auto" w:val="clear"/>
            <w:vAlign w:val="center"/>
          </w:tcPr>
          <w:p>
            <w:pPr>
              <w:pStyle w:val="TableContents"/>
              <w:spacing w:before="0" w:after="0"/>
              <w:ind w:left="0" w:right="0" w:hanging="0"/>
              <w:jc w:val="left"/>
              <w:rPr/>
            </w:pPr>
            <w:r>
              <w:rPr/>
              <w:t> </w:t>
            </w:r>
          </w:p>
        </w:tc>
        <w:tc>
          <w:tcPr>
            <w:tcW w:w="682"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2,976</w:t>
            </w:r>
          </w:p>
        </w:tc>
        <w:tc>
          <w:tcPr>
            <w:tcW w:w="591" w:type="dxa"/>
            <w:tcBorders/>
            <w:shd w:fill="auto" w:val="clear"/>
            <w:vAlign w:val="center"/>
          </w:tcPr>
          <w:p>
            <w:pPr>
              <w:pStyle w:val="TableContents"/>
              <w:spacing w:before="0" w:after="0"/>
              <w:ind w:left="0" w:right="0" w:firstLine="200"/>
              <w:jc w:val="left"/>
              <w:rPr/>
            </w:pPr>
            <w:r>
              <w:rPr/>
              <w:t> </w:t>
            </w:r>
          </w:p>
        </w:tc>
      </w:tr>
      <w:tr>
        <w:trPr/>
        <w:tc>
          <w:tcPr>
            <w:tcW w:w="2896" w:type="dxa"/>
            <w:tcBorders/>
            <w:shd w:fill="auto" w:val="clear"/>
            <w:vAlign w:val="center"/>
          </w:tcPr>
          <w:p>
            <w:pPr>
              <w:pStyle w:val="TableContents"/>
              <w:spacing w:before="0" w:after="0"/>
              <w:ind w:left="200" w:right="0" w:hanging="0"/>
              <w:jc w:val="left"/>
              <w:rPr>
                <w:rFonts w:ascii="Times New Roman" w:hAnsi="Times New Roman"/>
                <w:sz w:val="20"/>
              </w:rPr>
            </w:pPr>
            <w:r>
              <w:rPr>
                <w:rFonts w:ascii="Times New Roman;serif" w:hAnsi="Times New Roman;serif"/>
                <w:b w:val="false"/>
                <w:sz w:val="20"/>
              </w:rPr>
              <w:t xml:space="preserve">Government-sponsored enterprise </w:t>
              <w:br/>
              <w:t>   securities</w:t>
            </w:r>
            <w:r>
              <w:rPr>
                <w:rFonts w:ascii="Times New Roman;serif" w:hAnsi="Times New Roman;serif"/>
                <w:b w:val="false"/>
                <w:sz w:val="13"/>
              </w:rPr>
              <w:t>(2)</w:t>
            </w:r>
          </w:p>
        </w:tc>
        <w:tc>
          <w:tcPr>
            <w:tcW w:w="146" w:type="dxa"/>
            <w:tcBorders/>
            <w:shd w:fill="auto" w:val="clear"/>
            <w:vAlign w:val="center"/>
          </w:tcPr>
          <w:p>
            <w:pPr>
              <w:pStyle w:val="TableContents"/>
              <w:spacing w:before="0" w:after="0"/>
              <w:ind w:left="0" w:right="0" w:hanging="0"/>
              <w:jc w:val="left"/>
              <w:rPr/>
            </w:pPr>
            <w:r>
              <w:rPr/>
              <w:t> </w:t>
            </w:r>
          </w:p>
        </w:tc>
        <w:tc>
          <w:tcPr>
            <w:tcW w:w="352" w:type="dxa"/>
            <w:tcBorders/>
            <w:shd w:fill="auto" w:val="clear"/>
            <w:vAlign w:val="center"/>
          </w:tcPr>
          <w:p>
            <w:pPr>
              <w:pStyle w:val="TableContents"/>
              <w:spacing w:before="0" w:after="0"/>
              <w:ind w:left="0" w:right="0" w:hanging="0"/>
              <w:jc w:val="left"/>
              <w:rPr/>
            </w:pPr>
            <w:r>
              <w:rPr/>
              <w:t> </w:t>
            </w:r>
          </w:p>
        </w:tc>
        <w:tc>
          <w:tcPr>
            <w:tcW w:w="1133"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2" w:type="dxa"/>
            <w:tcBorders/>
            <w:shd w:fill="auto" w:val="clear"/>
            <w:vAlign w:val="center"/>
          </w:tcPr>
          <w:p>
            <w:pPr>
              <w:pStyle w:val="TableContents"/>
              <w:spacing w:before="0" w:after="0"/>
              <w:ind w:left="0" w:right="0" w:hanging="0"/>
              <w:jc w:val="left"/>
              <w:rPr/>
            </w:pPr>
            <w:r>
              <w:rPr/>
              <w:t> </w:t>
            </w:r>
          </w:p>
        </w:tc>
        <w:tc>
          <w:tcPr>
            <w:tcW w:w="112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9,846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14" w:type="dxa"/>
            <w:tcBorders/>
            <w:shd w:fill="auto" w:val="clear"/>
            <w:vAlign w:val="center"/>
          </w:tcPr>
          <w:p>
            <w:pPr>
              <w:pStyle w:val="TableContents"/>
              <w:spacing w:before="0" w:after="0"/>
              <w:ind w:left="0" w:right="0" w:hanging="0"/>
              <w:jc w:val="left"/>
              <w:rPr/>
            </w:pPr>
            <w:r>
              <w:rPr/>
              <w:t> </w:t>
            </w:r>
          </w:p>
        </w:tc>
        <w:tc>
          <w:tcPr>
            <w:tcW w:w="682"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9,846</w:t>
            </w:r>
          </w:p>
        </w:tc>
        <w:tc>
          <w:tcPr>
            <w:tcW w:w="591" w:type="dxa"/>
            <w:tcBorders/>
            <w:shd w:fill="auto" w:val="clear"/>
            <w:vAlign w:val="center"/>
          </w:tcPr>
          <w:p>
            <w:pPr>
              <w:pStyle w:val="TableContents"/>
              <w:spacing w:before="0" w:after="0"/>
              <w:ind w:left="0" w:right="0" w:firstLine="200"/>
              <w:jc w:val="left"/>
              <w:rPr/>
            </w:pPr>
            <w:r>
              <w:rPr/>
              <w:t> </w:t>
            </w:r>
          </w:p>
        </w:tc>
      </w:tr>
      <w:tr>
        <w:trPr/>
        <w:tc>
          <w:tcPr>
            <w:tcW w:w="2896" w:type="dxa"/>
            <w:tcBorders/>
            <w:shd w:fill="auto" w:val="clear"/>
            <w:vAlign w:val="center"/>
          </w:tcPr>
          <w:p>
            <w:pPr>
              <w:pStyle w:val="TableContents"/>
              <w:spacing w:before="0" w:after="0"/>
              <w:ind w:left="200" w:right="0" w:hanging="0"/>
              <w:jc w:val="left"/>
              <w:rPr>
                <w:rFonts w:ascii="Times New Roman" w:hAnsi="Times New Roman"/>
                <w:sz w:val="20"/>
              </w:rPr>
            </w:pPr>
            <w:r>
              <w:rPr>
                <w:rFonts w:ascii="Times New Roman;serif" w:hAnsi="Times New Roman;serif"/>
                <w:b w:val="false"/>
                <w:sz w:val="20"/>
              </w:rPr>
              <w:t>Commercial paper</w:t>
            </w:r>
            <w:r>
              <w:rPr>
                <w:rFonts w:ascii="Times New Roman;serif" w:hAnsi="Times New Roman;serif"/>
                <w:b w:val="false"/>
                <w:sz w:val="13"/>
              </w:rPr>
              <w:t>(3)</w:t>
            </w:r>
          </w:p>
        </w:tc>
        <w:tc>
          <w:tcPr>
            <w:tcW w:w="146" w:type="dxa"/>
            <w:tcBorders/>
            <w:shd w:fill="auto" w:val="clear"/>
            <w:vAlign w:val="center"/>
          </w:tcPr>
          <w:p>
            <w:pPr>
              <w:pStyle w:val="TableContents"/>
              <w:spacing w:before="0" w:after="0"/>
              <w:ind w:left="0" w:right="0" w:hanging="0"/>
              <w:jc w:val="left"/>
              <w:rPr/>
            </w:pPr>
            <w:r>
              <w:rPr/>
              <w:t> </w:t>
            </w:r>
          </w:p>
        </w:tc>
        <w:tc>
          <w:tcPr>
            <w:tcW w:w="352" w:type="dxa"/>
            <w:tcBorders/>
            <w:shd w:fill="auto" w:val="clear"/>
            <w:vAlign w:val="center"/>
          </w:tcPr>
          <w:p>
            <w:pPr>
              <w:pStyle w:val="TableContents"/>
              <w:spacing w:before="0" w:after="0"/>
              <w:ind w:left="0" w:right="0" w:hanging="0"/>
              <w:jc w:val="left"/>
              <w:rPr/>
            </w:pPr>
            <w:r>
              <w:rPr/>
              <w:t> </w:t>
            </w:r>
          </w:p>
        </w:tc>
        <w:tc>
          <w:tcPr>
            <w:tcW w:w="1133"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2" w:type="dxa"/>
            <w:tcBorders/>
            <w:shd w:fill="auto" w:val="clear"/>
            <w:vAlign w:val="center"/>
          </w:tcPr>
          <w:p>
            <w:pPr>
              <w:pStyle w:val="TableContents"/>
              <w:spacing w:before="0" w:after="0"/>
              <w:ind w:left="0" w:right="0" w:hanging="0"/>
              <w:jc w:val="left"/>
              <w:rPr/>
            </w:pPr>
            <w:r>
              <w:rPr/>
              <w:t> </w:t>
            </w:r>
          </w:p>
        </w:tc>
        <w:tc>
          <w:tcPr>
            <w:tcW w:w="112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64,199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14" w:type="dxa"/>
            <w:tcBorders/>
            <w:shd w:fill="auto" w:val="clear"/>
            <w:vAlign w:val="center"/>
          </w:tcPr>
          <w:p>
            <w:pPr>
              <w:pStyle w:val="TableContents"/>
              <w:spacing w:before="0" w:after="0"/>
              <w:ind w:left="0" w:right="0" w:hanging="0"/>
              <w:jc w:val="left"/>
              <w:rPr/>
            </w:pPr>
            <w:r>
              <w:rPr/>
              <w:t> </w:t>
            </w:r>
          </w:p>
        </w:tc>
        <w:tc>
          <w:tcPr>
            <w:tcW w:w="682"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64,199</w:t>
            </w:r>
          </w:p>
        </w:tc>
        <w:tc>
          <w:tcPr>
            <w:tcW w:w="591" w:type="dxa"/>
            <w:tcBorders/>
            <w:shd w:fill="auto" w:val="clear"/>
            <w:vAlign w:val="center"/>
          </w:tcPr>
          <w:p>
            <w:pPr>
              <w:pStyle w:val="TableContents"/>
              <w:spacing w:before="0" w:after="0"/>
              <w:ind w:left="0" w:right="0" w:firstLine="200"/>
              <w:jc w:val="left"/>
              <w:rPr/>
            </w:pPr>
            <w:r>
              <w:rPr/>
              <w:t> </w:t>
            </w:r>
          </w:p>
        </w:tc>
      </w:tr>
      <w:tr>
        <w:trPr/>
        <w:tc>
          <w:tcPr>
            <w:tcW w:w="2896" w:type="dxa"/>
            <w:tcBorders/>
            <w:shd w:fill="auto" w:val="clear"/>
            <w:vAlign w:val="center"/>
          </w:tcPr>
          <w:p>
            <w:pPr>
              <w:pStyle w:val="TableContents"/>
              <w:spacing w:before="0" w:after="0"/>
              <w:ind w:left="200" w:right="0" w:hanging="0"/>
              <w:jc w:val="left"/>
              <w:rPr>
                <w:rFonts w:ascii="Times New Roman" w:hAnsi="Times New Roman"/>
                <w:sz w:val="20"/>
              </w:rPr>
            </w:pPr>
            <w:r>
              <w:rPr>
                <w:rFonts w:ascii="Times New Roman;serif" w:hAnsi="Times New Roman;serif"/>
                <w:b w:val="false"/>
                <w:sz w:val="20"/>
              </w:rPr>
              <w:t>Corporate notes</w:t>
            </w:r>
            <w:r>
              <w:rPr>
                <w:rFonts w:ascii="Times New Roman;serif" w:hAnsi="Times New Roman;serif"/>
                <w:b w:val="false"/>
                <w:sz w:val="13"/>
              </w:rPr>
              <w:t>(3)</w:t>
            </w:r>
          </w:p>
        </w:tc>
        <w:tc>
          <w:tcPr>
            <w:tcW w:w="146" w:type="dxa"/>
            <w:tcBorders/>
            <w:shd w:fill="auto" w:val="clear"/>
            <w:vAlign w:val="center"/>
          </w:tcPr>
          <w:p>
            <w:pPr>
              <w:pStyle w:val="TableContents"/>
              <w:spacing w:before="0" w:after="0"/>
              <w:ind w:left="0" w:right="0" w:hanging="0"/>
              <w:jc w:val="left"/>
              <w:rPr/>
            </w:pPr>
            <w:r>
              <w:rPr/>
              <w:t> </w:t>
            </w:r>
          </w:p>
        </w:tc>
        <w:tc>
          <w:tcPr>
            <w:tcW w:w="35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3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2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25,959</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1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8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25,959</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r>
      <w:tr>
        <w:trPr/>
        <w:tc>
          <w:tcPr>
            <w:tcW w:w="2896"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shd w:fill="auto" w:val="clear"/>
            <w:vAlign w:val="center"/>
          </w:tcPr>
          <w:p>
            <w:pPr>
              <w:pStyle w:val="TableContents"/>
              <w:spacing w:before="0" w:after="0"/>
              <w:ind w:left="0" w:right="0" w:hanging="0"/>
              <w:jc w:val="left"/>
              <w:rPr/>
            </w:pPr>
            <w:r>
              <w:rPr/>
              <w:t> </w:t>
            </w:r>
          </w:p>
        </w:tc>
        <w:tc>
          <w:tcPr>
            <w:tcW w:w="35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3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40,135</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2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115,901</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1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8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156,036</w:t>
            </w:r>
          </w:p>
        </w:tc>
        <w:tc>
          <w:tcPr>
            <w:tcW w:w="5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120" w:after="0"/>
        <w:jc w:val="left"/>
        <w:rPr>
          <w:rFonts w:ascii="Times New Roman" w:hAnsi="Times New Roman"/>
          <w:b w:val="false"/>
          <w:sz w:val="20"/>
        </w:rPr>
      </w:pPr>
      <w:r>
        <w:rPr>
          <w:rFonts w:ascii="Times New Roman" w:hAnsi="Times New Roman"/>
          <w:b w:val="false"/>
          <w:sz w:val="20"/>
        </w:rPr>
        <w:t>(1)</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Included in cash and cash equivalents on our condensed consolidated balance sheets.</w:t>
      </w:r>
    </w:p>
    <w:p>
      <w:pPr>
        <w:pStyle w:val="TextBody"/>
        <w:spacing w:before="120" w:after="0"/>
        <w:jc w:val="left"/>
        <w:rPr>
          <w:rFonts w:ascii="Times New Roman" w:hAnsi="Times New Roman"/>
          <w:b w:val="false"/>
          <w:sz w:val="20"/>
        </w:rPr>
      </w:pPr>
      <w:r>
        <w:rPr>
          <w:rFonts w:ascii="Times New Roman" w:hAnsi="Times New Roman"/>
          <w:b w:val="false"/>
          <w:sz w:val="20"/>
        </w:rPr>
        <w:t>(2)</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Included in restricted cash on our condensed consolidated balance sheets.</w:t>
      </w:r>
    </w:p>
    <w:p>
      <w:pPr>
        <w:pStyle w:val="TextBody"/>
        <w:spacing w:before="120" w:after="0"/>
        <w:jc w:val="left"/>
        <w:rPr>
          <w:rFonts w:ascii="Times New Roman" w:hAnsi="Times New Roman"/>
          <w:b w:val="false"/>
          <w:sz w:val="20"/>
        </w:rPr>
      </w:pPr>
      <w:r>
        <w:rPr>
          <w:rFonts w:ascii="Times New Roman" w:hAnsi="Times New Roman"/>
          <w:b w:val="false"/>
          <w:sz w:val="20"/>
        </w:rPr>
        <w:t>(3)</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Included in current portion of marketable securities on our condensed consolidated balance sheets.</w:t>
      </w:r>
    </w:p>
    <w:p>
      <w:pPr>
        <w:pStyle w:val="TextBody"/>
        <w:spacing w:before="120" w:after="0"/>
        <w:jc w:val="left"/>
        <w:rPr>
          <w:rFonts w:ascii="Times New Roman" w:hAnsi="Times New Roman"/>
          <w:b w:val="false"/>
          <w:sz w:val="20"/>
        </w:rPr>
      </w:pPr>
      <w:r>
        <w:rPr>
          <w:rFonts w:ascii="Times New Roman" w:hAnsi="Times New Roman"/>
          <w:b w:val="false"/>
          <w:sz w:val="20"/>
        </w:rPr>
        <w:t>(4)</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Included in noncurrent portion of marketable securities on our condensed consolidated balance sheets.</w:t>
      </w:r>
    </w:p>
    <w:p>
      <w:pPr>
        <w:pStyle w:val="TextBody"/>
        <w:spacing w:before="360" w:after="0"/>
        <w:jc w:val="left"/>
        <w:rPr>
          <w:rFonts w:ascii="Times New Roman;serif" w:hAnsi="Times New Roman;serif"/>
          <w:b/>
          <w:sz w:val="20"/>
        </w:rPr>
      </w:pPr>
      <w:r>
        <w:rPr>
          <w:rFonts w:ascii="Times New Roman;serif" w:hAnsi="Times New Roman;serif"/>
          <w:b/>
          <w:sz w:val="20"/>
        </w:rPr>
        <w:t>3. ACCRUED LIABILITIES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Accrued liabilities consisted of the following as of March 31, 2023 and December 31, 2022:</w:t>
      </w:r>
    </w:p>
    <w:p>
      <w:pPr>
        <w:pStyle w:val="TextBody"/>
        <w:spacing w:before="120" w:after="0"/>
        <w:jc w:val="left"/>
        <w:rPr/>
      </w:pPr>
      <w:r>
        <w:rPr/>
        <w:t> </w:t>
      </w:r>
    </w:p>
    <w:tbl>
      <w:tblPr>
        <w:tblW w:w="6180" w:type="dxa"/>
        <w:jc w:val="left"/>
        <w:tblInd w:w="0" w:type="dxa"/>
        <w:tblCellMar>
          <w:top w:w="28" w:type="dxa"/>
          <w:left w:w="28" w:type="dxa"/>
          <w:bottom w:w="28" w:type="dxa"/>
          <w:right w:w="28" w:type="dxa"/>
        </w:tblCellMar>
      </w:tblPr>
      <w:tblGrid>
        <w:gridCol w:w="3226"/>
        <w:gridCol w:w="146"/>
        <w:gridCol w:w="242"/>
        <w:gridCol w:w="778"/>
        <w:gridCol w:w="146"/>
        <w:gridCol w:w="146"/>
        <w:gridCol w:w="310"/>
        <w:gridCol w:w="995"/>
        <w:gridCol w:w="191"/>
      </w:tblGrid>
      <w:tr>
        <w:trPr/>
        <w:tc>
          <w:tcPr>
            <w:tcW w:w="32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77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995"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322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20"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05"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DECEMBER 31,</w:t>
            </w:r>
          </w:p>
        </w:tc>
        <w:tc>
          <w:tcPr>
            <w:tcW w:w="191" w:type="dxa"/>
            <w:tcBorders/>
            <w:shd w:fill="auto" w:val="clear"/>
            <w:vAlign w:val="center"/>
          </w:tcPr>
          <w:p>
            <w:pPr>
              <w:pStyle w:val="TableContents"/>
              <w:spacing w:before="0" w:after="0"/>
              <w:ind w:left="0" w:right="0" w:hanging="0"/>
              <w:jc w:val="center"/>
              <w:rPr/>
            </w:pPr>
            <w:r>
              <w:rPr/>
              <w:t> </w:t>
            </w:r>
          </w:p>
        </w:tc>
      </w:tr>
      <w:tr>
        <w:trPr/>
        <w:tc>
          <w:tcPr>
            <w:tcW w:w="32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(In thousands)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02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0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2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CRO and clinical trial costs</w:t>
            </w:r>
          </w:p>
        </w:tc>
        <w:tc>
          <w:tcPr>
            <w:tcW w:w="146" w:type="dxa"/>
            <w:tcBorders/>
            <w:shd w:fill="auto" w:val="clear"/>
            <w:vAlign w:val="center"/>
          </w:tcPr>
          <w:p>
            <w:pPr>
              <w:pStyle w:val="TableContents"/>
              <w:spacing w:before="0" w:after="0"/>
              <w:ind w:left="0" w:right="0" w:hanging="0"/>
              <w:jc w:val="left"/>
              <w:rPr/>
            </w:pPr>
            <w:r>
              <w:rPr/>
              <w:t> </w:t>
            </w:r>
          </w:p>
        </w:tc>
        <w:tc>
          <w:tcPr>
            <w:tcW w:w="24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7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18,863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9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17,040</w:t>
            </w:r>
          </w:p>
        </w:tc>
        <w:tc>
          <w:tcPr>
            <w:tcW w:w="191" w:type="dxa"/>
            <w:tcBorders/>
            <w:shd w:fill="auto" w:val="clear"/>
            <w:vAlign w:val="center"/>
          </w:tcPr>
          <w:p>
            <w:pPr>
              <w:pStyle w:val="TableContents"/>
              <w:spacing w:before="0" w:after="0"/>
              <w:ind w:left="0" w:right="0" w:hanging="0"/>
              <w:jc w:val="left"/>
              <w:rPr/>
            </w:pPr>
            <w:r>
              <w:rPr/>
              <w:t> </w:t>
            </w:r>
          </w:p>
        </w:tc>
      </w:tr>
      <w:tr>
        <w:trPr/>
        <w:tc>
          <w:tcPr>
            <w:tcW w:w="32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Manufacturing activities</w:t>
            </w:r>
          </w:p>
        </w:tc>
        <w:tc>
          <w:tcPr>
            <w:tcW w:w="146" w:type="dxa"/>
            <w:tcBorders/>
            <w:shd w:fill="auto" w:val="clear"/>
            <w:vAlign w:val="center"/>
          </w:tcPr>
          <w:p>
            <w:pPr>
              <w:pStyle w:val="TableContents"/>
              <w:spacing w:before="0" w:after="0"/>
              <w:ind w:left="0" w:right="0" w:hanging="0"/>
              <w:jc w:val="left"/>
              <w:rPr/>
            </w:pPr>
            <w:r>
              <w:rPr/>
              <w:t> </w:t>
            </w:r>
          </w:p>
        </w:tc>
        <w:tc>
          <w:tcPr>
            <w:tcW w:w="242" w:type="dxa"/>
            <w:tcBorders/>
            <w:shd w:fill="auto" w:val="clear"/>
            <w:vAlign w:val="center"/>
          </w:tcPr>
          <w:p>
            <w:pPr>
              <w:pStyle w:val="TableContents"/>
              <w:spacing w:before="0" w:after="0"/>
              <w:ind w:left="0" w:right="0" w:hanging="0"/>
              <w:jc w:val="left"/>
              <w:rPr/>
            </w:pPr>
            <w:r>
              <w:rPr/>
              <w:t> </w:t>
            </w:r>
          </w:p>
        </w:tc>
        <w:tc>
          <w:tcPr>
            <w:tcW w:w="77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4,335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0" w:type="dxa"/>
            <w:tcBorders/>
            <w:shd w:fill="auto" w:val="clear"/>
            <w:vAlign w:val="center"/>
          </w:tcPr>
          <w:p>
            <w:pPr>
              <w:pStyle w:val="TableContents"/>
              <w:spacing w:before="0" w:after="0"/>
              <w:ind w:left="0" w:right="0" w:hanging="0"/>
              <w:jc w:val="left"/>
              <w:rPr/>
            </w:pPr>
            <w:r>
              <w:rPr/>
              <w:t> </w:t>
            </w:r>
          </w:p>
        </w:tc>
        <w:tc>
          <w:tcPr>
            <w:tcW w:w="99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5,321</w:t>
            </w:r>
          </w:p>
        </w:tc>
        <w:tc>
          <w:tcPr>
            <w:tcW w:w="191" w:type="dxa"/>
            <w:tcBorders/>
            <w:shd w:fill="auto" w:val="clear"/>
            <w:vAlign w:val="center"/>
          </w:tcPr>
          <w:p>
            <w:pPr>
              <w:pStyle w:val="TableContents"/>
              <w:spacing w:before="0" w:after="0"/>
              <w:ind w:left="0" w:right="0" w:hanging="0"/>
              <w:jc w:val="left"/>
              <w:rPr/>
            </w:pPr>
            <w:r>
              <w:rPr/>
              <w:t> </w:t>
            </w:r>
          </w:p>
        </w:tc>
      </w:tr>
      <w:tr>
        <w:trPr/>
        <w:tc>
          <w:tcPr>
            <w:tcW w:w="32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Legal settlements</w:t>
            </w:r>
          </w:p>
        </w:tc>
        <w:tc>
          <w:tcPr>
            <w:tcW w:w="146" w:type="dxa"/>
            <w:tcBorders/>
            <w:shd w:fill="auto" w:val="clear"/>
            <w:vAlign w:val="center"/>
          </w:tcPr>
          <w:p>
            <w:pPr>
              <w:pStyle w:val="TableContents"/>
              <w:spacing w:before="0" w:after="0"/>
              <w:ind w:left="0" w:right="0" w:hanging="0"/>
              <w:jc w:val="left"/>
              <w:rPr/>
            </w:pPr>
            <w:r>
              <w:rPr/>
              <w:t> </w:t>
            </w:r>
          </w:p>
        </w:tc>
        <w:tc>
          <w:tcPr>
            <w:tcW w:w="242" w:type="dxa"/>
            <w:tcBorders/>
            <w:shd w:fill="auto" w:val="clear"/>
            <w:vAlign w:val="center"/>
          </w:tcPr>
          <w:p>
            <w:pPr>
              <w:pStyle w:val="TableContents"/>
              <w:spacing w:before="0" w:after="0"/>
              <w:ind w:left="0" w:right="0" w:hanging="0"/>
              <w:jc w:val="left"/>
              <w:rPr/>
            </w:pPr>
            <w:r>
              <w:rPr/>
              <w:t> </w:t>
            </w:r>
          </w:p>
        </w:tc>
        <w:tc>
          <w:tcPr>
            <w:tcW w:w="77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8,350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0" w:type="dxa"/>
            <w:tcBorders/>
            <w:shd w:fill="auto" w:val="clear"/>
            <w:vAlign w:val="center"/>
          </w:tcPr>
          <w:p>
            <w:pPr>
              <w:pStyle w:val="TableContents"/>
              <w:spacing w:before="0" w:after="0"/>
              <w:ind w:left="0" w:right="0" w:hanging="0"/>
              <w:jc w:val="left"/>
              <w:rPr/>
            </w:pPr>
            <w:r>
              <w:rPr/>
              <w:t> </w:t>
            </w:r>
          </w:p>
        </w:tc>
        <w:tc>
          <w:tcPr>
            <w:tcW w:w="99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8,350</w:t>
            </w:r>
          </w:p>
        </w:tc>
        <w:tc>
          <w:tcPr>
            <w:tcW w:w="191" w:type="dxa"/>
            <w:tcBorders/>
            <w:shd w:fill="auto" w:val="clear"/>
            <w:vAlign w:val="center"/>
          </w:tcPr>
          <w:p>
            <w:pPr>
              <w:pStyle w:val="TableContents"/>
              <w:spacing w:before="0" w:after="0"/>
              <w:ind w:left="0" w:right="0" w:hanging="0"/>
              <w:jc w:val="left"/>
              <w:rPr/>
            </w:pPr>
            <w:r>
              <w:rPr/>
              <w:t> </w:t>
            </w:r>
          </w:p>
        </w:tc>
      </w:tr>
      <w:tr>
        <w:trPr/>
        <w:tc>
          <w:tcPr>
            <w:tcW w:w="32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Professional legal and accounting fees</w:t>
            </w:r>
          </w:p>
        </w:tc>
        <w:tc>
          <w:tcPr>
            <w:tcW w:w="146" w:type="dxa"/>
            <w:tcBorders/>
            <w:shd w:fill="auto" w:val="clear"/>
            <w:vAlign w:val="center"/>
          </w:tcPr>
          <w:p>
            <w:pPr>
              <w:pStyle w:val="TableContents"/>
              <w:spacing w:before="0" w:after="0"/>
              <w:ind w:left="0" w:right="0" w:hanging="0"/>
              <w:jc w:val="left"/>
              <w:rPr/>
            </w:pPr>
            <w:r>
              <w:rPr/>
              <w:t> </w:t>
            </w:r>
          </w:p>
        </w:tc>
        <w:tc>
          <w:tcPr>
            <w:tcW w:w="242" w:type="dxa"/>
            <w:tcBorders/>
            <w:shd w:fill="auto" w:val="clear"/>
            <w:vAlign w:val="center"/>
          </w:tcPr>
          <w:p>
            <w:pPr>
              <w:pStyle w:val="TableContents"/>
              <w:spacing w:before="0" w:after="0"/>
              <w:ind w:left="0" w:right="0" w:hanging="0"/>
              <w:jc w:val="left"/>
              <w:rPr/>
            </w:pPr>
            <w:r>
              <w:rPr/>
              <w:t> </w:t>
            </w:r>
          </w:p>
        </w:tc>
        <w:tc>
          <w:tcPr>
            <w:tcW w:w="77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898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0" w:type="dxa"/>
            <w:tcBorders/>
            <w:shd w:fill="auto" w:val="clear"/>
            <w:vAlign w:val="center"/>
          </w:tcPr>
          <w:p>
            <w:pPr>
              <w:pStyle w:val="TableContents"/>
              <w:spacing w:before="0" w:after="0"/>
              <w:ind w:left="0" w:right="0" w:hanging="0"/>
              <w:jc w:val="left"/>
              <w:rPr/>
            </w:pPr>
            <w:r>
              <w:rPr/>
              <w:t> </w:t>
            </w:r>
          </w:p>
        </w:tc>
        <w:tc>
          <w:tcPr>
            <w:tcW w:w="99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1,318</w:t>
            </w:r>
          </w:p>
        </w:tc>
        <w:tc>
          <w:tcPr>
            <w:tcW w:w="191" w:type="dxa"/>
            <w:tcBorders/>
            <w:shd w:fill="auto" w:val="clear"/>
            <w:vAlign w:val="center"/>
          </w:tcPr>
          <w:p>
            <w:pPr>
              <w:pStyle w:val="TableContents"/>
              <w:spacing w:before="0" w:after="0"/>
              <w:ind w:left="0" w:right="0" w:hanging="0"/>
              <w:jc w:val="left"/>
              <w:rPr/>
            </w:pPr>
            <w:r>
              <w:rPr/>
              <w:t> </w:t>
            </w:r>
          </w:p>
        </w:tc>
      </w:tr>
      <w:tr>
        <w:trPr/>
        <w:tc>
          <w:tcPr>
            <w:tcW w:w="32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Interest payable</w:t>
            </w:r>
          </w:p>
        </w:tc>
        <w:tc>
          <w:tcPr>
            <w:tcW w:w="146" w:type="dxa"/>
            <w:tcBorders/>
            <w:shd w:fill="auto" w:val="clear"/>
            <w:vAlign w:val="center"/>
          </w:tcPr>
          <w:p>
            <w:pPr>
              <w:pStyle w:val="TableContents"/>
              <w:spacing w:before="0" w:after="0"/>
              <w:ind w:left="0" w:right="0" w:hanging="0"/>
              <w:jc w:val="left"/>
              <w:rPr/>
            </w:pPr>
            <w:r>
              <w:rPr/>
              <w:t> </w:t>
            </w:r>
          </w:p>
        </w:tc>
        <w:tc>
          <w:tcPr>
            <w:tcW w:w="242" w:type="dxa"/>
            <w:tcBorders/>
            <w:shd w:fill="auto" w:val="clear"/>
            <w:vAlign w:val="center"/>
          </w:tcPr>
          <w:p>
            <w:pPr>
              <w:pStyle w:val="TableContents"/>
              <w:spacing w:before="0" w:after="0"/>
              <w:ind w:left="0" w:right="0" w:hanging="0"/>
              <w:jc w:val="left"/>
              <w:rPr/>
            </w:pPr>
            <w:r>
              <w:rPr/>
              <w:t> </w:t>
            </w:r>
          </w:p>
        </w:tc>
        <w:tc>
          <w:tcPr>
            <w:tcW w:w="77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585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0" w:type="dxa"/>
            <w:tcBorders/>
            <w:shd w:fill="auto" w:val="clear"/>
            <w:vAlign w:val="center"/>
          </w:tcPr>
          <w:p>
            <w:pPr>
              <w:pStyle w:val="TableContents"/>
              <w:spacing w:before="0" w:after="0"/>
              <w:ind w:left="0" w:right="0" w:hanging="0"/>
              <w:jc w:val="left"/>
              <w:rPr/>
            </w:pPr>
            <w:r>
              <w:rPr/>
              <w:t> </w:t>
            </w:r>
          </w:p>
        </w:tc>
        <w:tc>
          <w:tcPr>
            <w:tcW w:w="99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561</w:t>
            </w:r>
          </w:p>
        </w:tc>
        <w:tc>
          <w:tcPr>
            <w:tcW w:w="191" w:type="dxa"/>
            <w:tcBorders/>
            <w:shd w:fill="auto" w:val="clear"/>
            <w:vAlign w:val="center"/>
          </w:tcPr>
          <w:p>
            <w:pPr>
              <w:pStyle w:val="TableContents"/>
              <w:spacing w:before="0" w:after="0"/>
              <w:ind w:left="0" w:right="0" w:hanging="0"/>
              <w:jc w:val="left"/>
              <w:rPr/>
            </w:pPr>
            <w:r>
              <w:rPr/>
              <w:t> </w:t>
            </w:r>
          </w:p>
        </w:tc>
      </w:tr>
      <w:tr>
        <w:trPr/>
        <w:tc>
          <w:tcPr>
            <w:tcW w:w="32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w:t>
            </w:r>
          </w:p>
        </w:tc>
        <w:tc>
          <w:tcPr>
            <w:tcW w:w="146" w:type="dxa"/>
            <w:tcBorders/>
            <w:shd w:fill="auto" w:val="clear"/>
            <w:vAlign w:val="center"/>
          </w:tcPr>
          <w:p>
            <w:pPr>
              <w:pStyle w:val="TableContents"/>
              <w:spacing w:before="0" w:after="0"/>
              <w:ind w:left="0" w:right="0" w:hanging="0"/>
              <w:jc w:val="left"/>
              <w:rPr/>
            </w:pPr>
            <w:r>
              <w:rPr/>
              <w:t> </w:t>
            </w:r>
          </w:p>
        </w:tc>
        <w:tc>
          <w:tcPr>
            <w:tcW w:w="24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7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1,660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9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510</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22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7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34,691</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9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33,100</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240" w:after="0"/>
        <w:jc w:val="center"/>
        <w:rPr>
          <w:rFonts w:ascii="Times New Roman;serif" w:hAnsi="Times New Roman;serif"/>
          <w:b w:val="false"/>
          <w:sz w:val="20"/>
        </w:rPr>
      </w:pPr>
      <w:r>
        <w:rPr>
          <w:rFonts w:ascii="Times New Roman;serif" w:hAnsi="Times New Roman;serif"/>
          <w:b w:val="false"/>
          <w:sz w:val="20"/>
        </w:rPr>
        <w:t>16</w:t>
      </w:r>
    </w:p>
    <w:p>
      <w:pPr>
        <w:pStyle w:val="HorizontalLine"/>
        <w:rPr/>
      </w:pPr>
      <w:r>
        <w:rPr/>
      </w:r>
    </w:p>
    <w:p>
      <w:pPr>
        <w:pStyle w:val="TextBody"/>
        <w:spacing w:before="0" w:after="0"/>
        <w:jc w:val="center"/>
        <w:rPr>
          <w:rFonts w:ascii="Times New Roman;serif" w:hAnsi="Times New Roman;serif"/>
          <w:b/>
          <w:sz w:val="20"/>
        </w:rPr>
      </w:pPr>
      <w:r>
        <w:rPr>
          <w:rFonts w:ascii="Times New Roman;serif" w:hAnsi="Times New Roman;serif"/>
          <w:b/>
          <w:sz w:val="20"/>
        </w:rPr>
        <w:t>GERON CORPORATION</w:t>
      </w:r>
    </w:p>
    <w:p>
      <w:pPr>
        <w:pStyle w:val="TextBody"/>
        <w:spacing w:before="0" w:after="0"/>
        <w:jc w:val="center"/>
        <w:rPr>
          <w:rFonts w:ascii="Times New Roman;serif" w:hAnsi="Times New Roman;serif"/>
          <w:b/>
          <w:sz w:val="20"/>
        </w:rPr>
      </w:pPr>
      <w:r>
        <w:rPr>
          <w:rFonts w:ascii="Times New Roman;serif" w:hAnsi="Times New Roman;serif"/>
          <w:b/>
          <w:sz w:val="20"/>
        </w:rPr>
        <w:t>NOTES TO CONDENSED CONSOLIDATED FINANCIAL STATEMENTS</w:t>
      </w:r>
    </w:p>
    <w:p>
      <w:pPr>
        <w:pStyle w:val="TextBody"/>
        <w:spacing w:before="0" w:after="0"/>
        <w:jc w:val="center"/>
        <w:rPr>
          <w:rFonts w:ascii="Times New Roman;serif" w:hAnsi="Times New Roman;serif"/>
          <w:b/>
          <w:caps/>
          <w:sz w:val="20"/>
        </w:rPr>
      </w:pPr>
      <w:r>
        <w:rPr>
          <w:rFonts w:ascii="Times New Roman;serif" w:hAnsi="Times New Roman;serif"/>
          <w:b/>
          <w:caps/>
          <w:sz w:val="20"/>
        </w:rPr>
        <w:t>March 31, 2023</w:t>
      </w:r>
    </w:p>
    <w:p>
      <w:pPr>
        <w:pStyle w:val="TextBody"/>
        <w:spacing w:before="0" w:after="0"/>
        <w:jc w:val="center"/>
        <w:rPr>
          <w:rFonts w:ascii="Times New Roman" w:hAnsi="Times New Roman"/>
          <w:sz w:val="20"/>
        </w:rPr>
      </w:pPr>
      <w:r>
        <w:rPr>
          <w:rFonts w:ascii="Times New Roman;serif" w:hAnsi="Times New Roman;serif"/>
          <w:b/>
          <w:sz w:val="20"/>
        </w:rPr>
        <w:t>(UNAUDITED</w:t>
      </w:r>
      <w:r>
        <w:rPr>
          <w:rFonts w:ascii="Times New Roman;serif" w:hAnsi="Times New Roman;serif"/>
          <w:b w:val="false"/>
          <w:sz w:val="20"/>
        </w:rPr>
        <w:t>)</w:t>
      </w:r>
    </w:p>
    <w:p>
      <w:pPr>
        <w:pStyle w:val="TextBody"/>
        <w:spacing w:before="0" w:after="0"/>
        <w:jc w:val="center"/>
        <w:rPr/>
      </w:pPr>
      <w:r>
        <w:rPr/>
        <w:t> </w:t>
      </w:r>
    </w:p>
    <w:p>
      <w:pPr>
        <w:pStyle w:val="TextBody"/>
        <w:spacing w:before="360" w:after="0"/>
        <w:jc w:val="left"/>
        <w:rPr>
          <w:rFonts w:ascii="Times New Roman;serif" w:hAnsi="Times New Roman;serif"/>
          <w:b/>
          <w:sz w:val="20"/>
        </w:rPr>
      </w:pPr>
      <w:r>
        <w:rPr>
          <w:rFonts w:ascii="Times New Roman;serif" w:hAnsi="Times New Roman;serif"/>
          <w:b/>
          <w:sz w:val="20"/>
        </w:rPr>
        <w:t>4. DEBT</w:t>
      </w:r>
    </w:p>
    <w:p>
      <w:pPr>
        <w:pStyle w:val="TextBody"/>
        <w:spacing w:before="120" w:after="0"/>
        <w:jc w:val="left"/>
        <w:rPr>
          <w:rFonts w:ascii="Times New Roman" w:hAnsi="Times New Roman"/>
          <w:sz w:val="20"/>
        </w:rPr>
      </w:pPr>
      <w:r>
        <w:rPr>
          <w:rFonts w:ascii="Times New Roman;serif" w:hAnsi="Times New Roman;serif"/>
          <w:b w:val="false"/>
          <w:sz w:val="20"/>
        </w:rPr>
        <w:t>On September 30, 2020, we, Hercules Capital, Inc., or Hercules, and Silicon Valley Bank, a Division of First-Citizens Bank &amp; Trust Company (successor by purchase to the Federal Deposit Insurance Corporation as receiver for Silicon Valley Bridge Bank, N.A. (as successor to Silicon Valley Bank)), or SVB, entered into a term loan facility, or the Original Loan Agreement, consisting of up to $75,000,000</w:t>
      </w:r>
      <w:r>
        <w:rPr>
          <w:rFonts w:ascii="Times New Roman" w:hAnsi="Times New Roman"/>
          <w:sz w:val="20"/>
        </w:rPr>
        <w:t xml:space="preserve"> </w:t>
      </w:r>
      <w:r>
        <w:rPr>
          <w:rFonts w:ascii="Times New Roman;serif" w:hAnsi="Times New Roman;serif"/>
          <w:b w:val="false"/>
          <w:sz w:val="20"/>
        </w:rPr>
        <w:t>aggregate principal amount available to us, as amended in August 2021. On June 30, 2022, or the Effective Date, we entered into a second amendment to the Original Loan Agreement, or as amended, the Loan Agreement. Under the second amendment, the aggregate principal amount available to us increased from $75,000,000</w:t>
      </w:r>
      <w:r>
        <w:rPr>
          <w:rFonts w:ascii="Times New Roman" w:hAnsi="Times New Roman"/>
          <w:sz w:val="20"/>
        </w:rPr>
        <w:t xml:space="preserve"> </w:t>
      </w:r>
      <w:r>
        <w:rPr>
          <w:rFonts w:ascii="Times New Roman;serif" w:hAnsi="Times New Roman;serif"/>
          <w:b w:val="false"/>
          <w:sz w:val="20"/>
        </w:rPr>
        <w:t>to $125,000,000, with such principal being available in a series of tranches, subject to certain terms and conditions.</w:t>
      </w:r>
    </w:p>
    <w:p>
      <w:pPr>
        <w:pStyle w:val="TextBody"/>
        <w:spacing w:before="240" w:after="0"/>
        <w:jc w:val="left"/>
        <w:rPr>
          <w:rFonts w:ascii="Times New Roman" w:hAnsi="Times New Roman"/>
          <w:sz w:val="20"/>
        </w:rPr>
      </w:pPr>
      <w:r>
        <w:rPr>
          <w:rFonts w:ascii="Times New Roman;serif" w:hAnsi="Times New Roman;serif"/>
          <w:b w:val="false"/>
          <w:sz w:val="20"/>
        </w:rPr>
        <w:t>As of March 31, 2023, a total of $50,000,000</w:t>
      </w:r>
      <w:r>
        <w:rPr>
          <w:rFonts w:ascii="Times New Roman" w:hAnsi="Times New Roman"/>
          <w:sz w:val="20"/>
        </w:rPr>
        <w:t xml:space="preserve"> </w:t>
      </w:r>
      <w:r>
        <w:rPr>
          <w:rFonts w:ascii="Times New Roman;serif" w:hAnsi="Times New Roman;serif"/>
          <w:b w:val="false"/>
          <w:sz w:val="20"/>
        </w:rPr>
        <w:t>has been drawn under the Loan Agreement. As of March 31, 2023, $55,000,000</w:t>
      </w:r>
      <w:r>
        <w:rPr>
          <w:rFonts w:ascii="Times New Roman" w:hAnsi="Times New Roman"/>
          <w:sz w:val="20"/>
        </w:rPr>
        <w:t xml:space="preserve"> </w:t>
      </w:r>
      <w:r>
        <w:rPr>
          <w:rFonts w:ascii="Times New Roman;serif" w:hAnsi="Times New Roman;serif"/>
          <w:b w:val="false"/>
          <w:sz w:val="20"/>
        </w:rPr>
        <w:t>remains as committed principal that can be drawn as follows: (a) one tranche of $10,000,000</w:t>
      </w:r>
      <w:r>
        <w:rPr>
          <w:rFonts w:ascii="Times New Roman" w:hAnsi="Times New Roman"/>
          <w:sz w:val="20"/>
        </w:rPr>
        <w:t xml:space="preserve"> </w:t>
      </w:r>
      <w:r>
        <w:rPr>
          <w:rFonts w:ascii="Times New Roman;serif" w:hAnsi="Times New Roman;serif"/>
          <w:b w:val="false"/>
          <w:sz w:val="20"/>
        </w:rPr>
        <w:t>is available from January 1, 2023</w:t>
      </w:r>
      <w:r>
        <w:rPr>
          <w:rFonts w:ascii="Times New Roman" w:hAnsi="Times New Roman"/>
          <w:sz w:val="20"/>
        </w:rPr>
        <w:t xml:space="preserve"> </w:t>
      </w:r>
      <w:r>
        <w:rPr>
          <w:rFonts w:ascii="Times New Roman;serif" w:hAnsi="Times New Roman;serif"/>
          <w:b w:val="false"/>
          <w:sz w:val="20"/>
        </w:rPr>
        <w:t>until December 15, 2023, subject to the achievement of certain clinical and regulatory milestones, and satisfaction of certain other requirements; (b) a second tranche of $20,000,000</w:t>
      </w:r>
      <w:r>
        <w:rPr>
          <w:rFonts w:ascii="Times New Roman" w:hAnsi="Times New Roman"/>
          <w:sz w:val="20"/>
        </w:rPr>
        <w:t xml:space="preserve"> </w:t>
      </w:r>
      <w:r>
        <w:rPr>
          <w:rFonts w:ascii="Times New Roman;serif" w:hAnsi="Times New Roman;serif"/>
          <w:b w:val="false"/>
          <w:sz w:val="20"/>
        </w:rPr>
        <w:t>is available from</w:t>
      </w:r>
      <w:r>
        <w:rPr>
          <w:rFonts w:ascii="Times New Roman" w:hAnsi="Times New Roman"/>
          <w:sz w:val="20"/>
        </w:rPr>
        <w:t xml:space="preserve"> </w:t>
      </w:r>
      <w:r>
        <w:rPr>
          <w:rFonts w:ascii="Times New Roman;serif" w:hAnsi="Times New Roman;serif"/>
          <w:b w:val="false"/>
          <w:sz w:val="20"/>
        </w:rPr>
        <w:t>September 15, 2023</w:t>
      </w:r>
      <w:r>
        <w:rPr>
          <w:rFonts w:ascii="Times New Roman" w:hAnsi="Times New Roman"/>
          <w:sz w:val="20"/>
        </w:rPr>
        <w:t xml:space="preserve"> </w:t>
      </w:r>
      <w:r>
        <w:rPr>
          <w:rFonts w:ascii="Times New Roman;serif" w:hAnsi="Times New Roman;serif"/>
          <w:b w:val="false"/>
          <w:sz w:val="20"/>
        </w:rPr>
        <w:t>until September 15, 2024, subject to the achievement of certain clinical and regulatory milestones, and satisfaction of certain capitalization requirements; and (c) a final tranche of $25,000,000</w:t>
      </w:r>
      <w:r>
        <w:rPr>
          <w:rFonts w:ascii="Times New Roman" w:hAnsi="Times New Roman"/>
          <w:sz w:val="20"/>
        </w:rPr>
        <w:t xml:space="preserve"> </w:t>
      </w:r>
      <w:r>
        <w:rPr>
          <w:rFonts w:ascii="Times New Roman;serif" w:hAnsi="Times New Roman;serif"/>
          <w:b w:val="false"/>
          <w:sz w:val="20"/>
        </w:rPr>
        <w:t>is available through December 31, 2024, subject to approval by an investment committee comprised of Hercules and SVB. With the exception of the final tranche, and subject to achievement of the applicable milestones and other requirements with respect to each tranche, draw downs are at our election.</w:t>
      </w:r>
    </w:p>
    <w:p>
      <w:pPr>
        <w:pStyle w:val="TextBody"/>
        <w:spacing w:before="240" w:after="0"/>
        <w:jc w:val="left"/>
        <w:rPr>
          <w:rFonts w:ascii="Times New Roman" w:hAnsi="Times New Roman"/>
          <w:sz w:val="20"/>
        </w:rPr>
      </w:pPr>
      <w:r>
        <w:rPr>
          <w:rFonts w:ascii="Times New Roman;serif" w:hAnsi="Times New Roman;serif"/>
          <w:b w:val="false"/>
          <w:sz w:val="20"/>
        </w:rPr>
        <w:t>Under the Loan Agreement, if we choose to prepay the principal with respect to any future draw down after the Effective Date, any such prepayment within the first 36 months after the Effective Date will be subject to a prepayment charge equal to 1.5% of the principal amount prepaid. No</w:t>
      </w:r>
      <w:r>
        <w:rPr>
          <w:rFonts w:ascii="Times New Roman;serif" w:hAnsi="Times New Roman;serif"/>
          <w:sz w:val="20"/>
        </w:rPr>
        <w:t xml:space="preserve"> </w:t>
      </w:r>
      <w:r>
        <w:rPr>
          <w:rFonts w:ascii="Times New Roman;serif" w:hAnsi="Times New Roman;serif"/>
          <w:b w:val="false"/>
          <w:sz w:val="20"/>
        </w:rPr>
        <w:t>prepayment charge will be assessed for any prepayment occurring more than 36 months after the Effective Date.</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Under the Loan Agreement, the maturity date, interest only payment dates, end of term charges, collateral, events of default, representations, warranties and covenants remain consistent with the terms of the Original Loan Agreement, except as follows:</w:t>
      </w:r>
      <w:r>
        <w:rPr>
          <w:rFonts w:ascii="Times New Roman" w:hAnsi="Times New Roman"/>
          <w:sz w:val="20"/>
        </w:rPr>
        <w:t xml:space="preserve">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Beginning June 1, 2022 and prior to the regulatory approval for imetelstat, or the potential Regulatory Approval, if any, we are required to maintain a minimum cash balance in an amount equal to the greater of: 50% of the outstanding principal amount under the Loan Agreement or $30,000,000. </w:t>
      </w:r>
    </w:p>
    <w:p>
      <w:pPr>
        <w:pStyle w:val="TextBody"/>
        <w:spacing w:before="120" w:after="0"/>
        <w:jc w:val="left"/>
        <w:rPr/>
      </w:pPr>
      <w:r>
        <w:rPr/>
        <w:t>•</w:t>
      </w:r>
    </w:p>
    <w:p>
      <w:pPr>
        <w:pStyle w:val="TextBody"/>
        <w:spacing w:before="120" w:after="283"/>
        <w:jc w:val="left"/>
        <w:rPr>
          <w:rFonts w:ascii="Times New Roman;serif" w:hAnsi="Times New Roman;serif"/>
          <w:sz w:val="20"/>
        </w:rPr>
      </w:pPr>
      <w:r>
        <w:rPr>
          <w:rFonts w:ascii="Times New Roman;serif" w:hAnsi="Times New Roman;serif"/>
          <w:b w:val="false"/>
          <w:sz w:val="20"/>
        </w:rPr>
        <w:t>After the potential Regulatory Approval, if any, the minimum cash requirement may be satisfied through one of the following three options, as elected by us: (a) maintaining a cash balance in an amount not less than 40% of the outstanding principal amount under the Loan Agreement; (b) maintaining a cash balance in an amount not less than 25% of the outstanding principal amount under the Loan Agreement, if our market cap is or exceeds $750,000,000; or (c) maintaining six month</w:t>
      </w:r>
      <w:r>
        <w:rPr>
          <w:rFonts w:ascii="Times New Roman;serif" w:hAnsi="Times New Roman;serif"/>
          <w:sz w:val="20"/>
        </w:rPr>
        <w:t xml:space="preserve"> </w:t>
      </w:r>
      <w:r>
        <w:rPr>
          <w:rFonts w:ascii="Times New Roman;serif" w:hAnsi="Times New Roman;serif"/>
          <w:b w:val="false"/>
          <w:sz w:val="20"/>
        </w:rPr>
        <w:t>net product revenues of at least 70% of net product revenues forecasted by us, should any potential Regulatory Approval for imetelstat be obtained.</w:t>
      </w:r>
    </w:p>
    <w:p>
      <w:pPr>
        <w:pStyle w:val="TextBody"/>
        <w:spacing w:before="240" w:after="0"/>
        <w:jc w:val="left"/>
        <w:rPr>
          <w:rFonts w:ascii="Times New Roman" w:hAnsi="Times New Roman"/>
          <w:sz w:val="20"/>
        </w:rPr>
      </w:pPr>
      <w:r>
        <w:rPr>
          <w:rFonts w:ascii="Times New Roman;serif" w:hAnsi="Times New Roman;serif"/>
          <w:b w:val="false"/>
          <w:sz w:val="20"/>
        </w:rPr>
        <w:t>We are in compliance with the covenants under the Loan Agreement as of March 31, 2023. The interest-only payment period was extended from April 2023 to April 2024 upon the achievement of positive top-line results from the IMerge Phase 3 clinical trial in January 2023.</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As of March 31, 2023, the net carrying value of the debt under the Loan Agreement was $51,399,000, which includes the principal amount of $50,000,000</w:t>
      </w:r>
      <w:r>
        <w:rPr>
          <w:rFonts w:ascii="Times New Roman" w:hAnsi="Times New Roman"/>
          <w:sz w:val="20"/>
        </w:rPr>
        <w:t xml:space="preserve"> </w:t>
      </w:r>
      <w:r>
        <w:rPr>
          <w:rFonts w:ascii="Times New Roman;serif" w:hAnsi="Times New Roman;serif"/>
          <w:b w:val="false"/>
          <w:sz w:val="20"/>
        </w:rPr>
        <w:t>less net unamortized debt discounts and issuance costs of $556,000</w:t>
      </w:r>
      <w:r>
        <w:rPr>
          <w:rFonts w:ascii="Times New Roman" w:hAnsi="Times New Roman"/>
          <w:sz w:val="20"/>
        </w:rPr>
        <w:t xml:space="preserve"> </w:t>
      </w:r>
      <w:r>
        <w:rPr>
          <w:rFonts w:ascii="Times New Roman;serif" w:hAnsi="Times New Roman;serif"/>
          <w:b w:val="false"/>
          <w:sz w:val="20"/>
        </w:rPr>
        <w:t>plus accrued end of term charge of $1,955,000. The carrying value of the debt approximates the fair value as of March 31, 2023. The debt discounts and debt issuance costs are being amortized to interest expense over the life of the outstanding loan amounts using the effective interest rate method.</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following table presents future minimum payments, including interest and the end of term charge, under the Loan Agreement as of March 31, 2023 (in thousands):</w:t>
      </w:r>
    </w:p>
    <w:p>
      <w:pPr>
        <w:pStyle w:val="TextBody"/>
        <w:spacing w:before="0" w:after="0"/>
        <w:jc w:val="left"/>
        <w:rPr/>
      </w:pPr>
      <w:r>
        <w:rPr/>
        <w:t> </w:t>
      </w:r>
    </w:p>
    <w:tbl>
      <w:tblPr>
        <w:tblW w:w="5595" w:type="dxa"/>
        <w:jc w:val="left"/>
        <w:tblInd w:w="0" w:type="dxa"/>
        <w:tblCellMar>
          <w:top w:w="28" w:type="dxa"/>
          <w:left w:w="28" w:type="dxa"/>
          <w:bottom w:w="28" w:type="dxa"/>
          <w:right w:w="28" w:type="dxa"/>
        </w:tblCellMar>
      </w:tblPr>
      <w:tblGrid>
        <w:gridCol w:w="4291"/>
        <w:gridCol w:w="146"/>
        <w:gridCol w:w="211"/>
        <w:gridCol w:w="736"/>
        <w:gridCol w:w="211"/>
      </w:tblGrid>
      <w:tr>
        <w:trPr/>
        <w:tc>
          <w:tcPr>
            <w:tcW w:w="42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42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Remainder of 2023</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5,244</w:t>
            </w:r>
          </w:p>
        </w:tc>
        <w:tc>
          <w:tcPr>
            <w:tcW w:w="211" w:type="dxa"/>
            <w:tcBorders/>
            <w:shd w:fill="auto" w:val="clear"/>
            <w:vAlign w:val="center"/>
          </w:tcPr>
          <w:p>
            <w:pPr>
              <w:pStyle w:val="TableContents"/>
              <w:spacing w:before="0" w:after="0"/>
              <w:ind w:left="0" w:right="0" w:hanging="0"/>
              <w:jc w:val="left"/>
              <w:rPr/>
            </w:pPr>
            <w:r>
              <w:rPr/>
              <w:t> </w:t>
            </w:r>
          </w:p>
        </w:tc>
      </w:tr>
      <w:tr>
        <w:trPr/>
        <w:tc>
          <w:tcPr>
            <w:tcW w:w="42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2024</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39,193</w:t>
            </w:r>
          </w:p>
        </w:tc>
        <w:tc>
          <w:tcPr>
            <w:tcW w:w="211" w:type="dxa"/>
            <w:tcBorders/>
            <w:shd w:fill="auto" w:val="clear"/>
            <w:vAlign w:val="center"/>
          </w:tcPr>
          <w:p>
            <w:pPr>
              <w:pStyle w:val="TableContents"/>
              <w:spacing w:before="0" w:after="0"/>
              <w:ind w:left="0" w:right="0" w:hanging="0"/>
              <w:jc w:val="left"/>
              <w:rPr/>
            </w:pPr>
            <w:r>
              <w:rPr/>
              <w:t> </w:t>
            </w:r>
          </w:p>
        </w:tc>
      </w:tr>
      <w:tr>
        <w:trPr/>
        <w:tc>
          <w:tcPr>
            <w:tcW w:w="42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2025</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20,006</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291"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Total</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64,443</w:t>
            </w:r>
          </w:p>
        </w:tc>
        <w:tc>
          <w:tcPr>
            <w:tcW w:w="211" w:type="dxa"/>
            <w:tcBorders/>
            <w:shd w:fill="auto" w:val="clear"/>
            <w:vAlign w:val="center"/>
          </w:tcPr>
          <w:p>
            <w:pPr>
              <w:pStyle w:val="TableContents"/>
              <w:spacing w:before="0" w:after="0"/>
              <w:ind w:left="0" w:right="0" w:hanging="0"/>
              <w:jc w:val="left"/>
              <w:rPr/>
            </w:pPr>
            <w:r>
              <w:rPr/>
              <w:t> </w:t>
            </w:r>
          </w:p>
        </w:tc>
      </w:tr>
      <w:tr>
        <w:trPr/>
        <w:tc>
          <w:tcPr>
            <w:tcW w:w="42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Less: amount representing interest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(11,168</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2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Less: unamortized debt discount and issuance costs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(556</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2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Less: unaccrued end of term charge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(1,320</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2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Less: current portion of debt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291"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Noncurrent portion of debt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51,399</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17</w:t>
      </w:r>
    </w:p>
    <w:p>
      <w:pPr>
        <w:pStyle w:val="HorizontalLine"/>
        <w:rPr/>
      </w:pPr>
      <w:r>
        <w:rPr/>
      </w:r>
    </w:p>
    <w:p>
      <w:pPr>
        <w:pStyle w:val="TextBody"/>
        <w:spacing w:before="0" w:after="0"/>
        <w:jc w:val="center"/>
        <w:rPr>
          <w:rFonts w:ascii="Times New Roman;serif" w:hAnsi="Times New Roman;serif"/>
          <w:b/>
          <w:sz w:val="20"/>
        </w:rPr>
      </w:pPr>
      <w:r>
        <w:rPr>
          <w:rFonts w:ascii="Times New Roman;serif" w:hAnsi="Times New Roman;serif"/>
          <w:b/>
          <w:sz w:val="20"/>
        </w:rPr>
        <w:t>GERON CORPORATION</w:t>
      </w:r>
    </w:p>
    <w:p>
      <w:pPr>
        <w:pStyle w:val="TextBody"/>
        <w:spacing w:before="0" w:after="0"/>
        <w:jc w:val="center"/>
        <w:rPr>
          <w:rFonts w:ascii="Times New Roman;serif" w:hAnsi="Times New Roman;serif"/>
          <w:b/>
          <w:sz w:val="20"/>
        </w:rPr>
      </w:pPr>
      <w:r>
        <w:rPr>
          <w:rFonts w:ascii="Times New Roman;serif" w:hAnsi="Times New Roman;serif"/>
          <w:b/>
          <w:sz w:val="20"/>
        </w:rPr>
        <w:t>NOTES TO CONDENSED CONSOLIDATED FINANCIAL STATEMENTS</w:t>
      </w:r>
    </w:p>
    <w:p>
      <w:pPr>
        <w:pStyle w:val="TextBody"/>
        <w:spacing w:before="0" w:after="0"/>
        <w:jc w:val="center"/>
        <w:rPr>
          <w:rFonts w:ascii="Times New Roman;serif" w:hAnsi="Times New Roman;serif"/>
          <w:b/>
          <w:caps/>
          <w:sz w:val="20"/>
        </w:rPr>
      </w:pPr>
      <w:r>
        <w:rPr>
          <w:rFonts w:ascii="Times New Roman;serif" w:hAnsi="Times New Roman;serif"/>
          <w:b/>
          <w:caps/>
          <w:sz w:val="20"/>
        </w:rPr>
        <w:t>March 31, 2023</w:t>
      </w:r>
    </w:p>
    <w:p>
      <w:pPr>
        <w:pStyle w:val="TextBody"/>
        <w:spacing w:before="0" w:after="0"/>
        <w:jc w:val="center"/>
        <w:rPr>
          <w:rFonts w:ascii="Times New Roman" w:hAnsi="Times New Roman"/>
          <w:sz w:val="20"/>
        </w:rPr>
      </w:pPr>
      <w:r>
        <w:rPr>
          <w:rFonts w:ascii="Times New Roman;serif" w:hAnsi="Times New Roman;serif"/>
          <w:b/>
          <w:sz w:val="20"/>
        </w:rPr>
        <w:t>(UNAUDITED</w:t>
      </w:r>
      <w:r>
        <w:rPr>
          <w:rFonts w:ascii="Times New Roman;serif" w:hAnsi="Times New Roman;serif"/>
          <w:b w:val="false"/>
          <w:sz w:val="20"/>
        </w:rPr>
        <w:t>)</w:t>
      </w:r>
    </w:p>
    <w:p>
      <w:pPr>
        <w:pStyle w:val="TextBody"/>
        <w:spacing w:before="0" w:after="0"/>
        <w:jc w:val="center"/>
        <w:rPr/>
      </w:pPr>
      <w:r>
        <w:rPr/>
        <w:t> </w:t>
      </w:r>
    </w:p>
    <w:p>
      <w:pPr>
        <w:pStyle w:val="TextBody"/>
        <w:spacing w:before="360" w:after="0"/>
        <w:jc w:val="left"/>
        <w:rPr>
          <w:rFonts w:ascii="Times New Roman;serif" w:hAnsi="Times New Roman;serif"/>
          <w:b/>
          <w:sz w:val="20"/>
        </w:rPr>
      </w:pPr>
      <w:r>
        <w:rPr>
          <w:rFonts w:ascii="Times New Roman;serif" w:hAnsi="Times New Roman;serif"/>
          <w:b/>
          <w:sz w:val="20"/>
        </w:rPr>
        <w:t>5. CONTINGENCIES AND UNCERTAINTIES</w:t>
      </w:r>
    </w:p>
    <w:p>
      <w:pPr>
        <w:pStyle w:val="TextBody"/>
        <w:spacing w:before="120" w:after="0"/>
        <w:jc w:val="left"/>
        <w:rPr>
          <w:rFonts w:ascii="Times New Roman;serif" w:hAnsi="Times New Roman;serif"/>
          <w:b/>
          <w:sz w:val="20"/>
        </w:rPr>
      </w:pPr>
      <w:r>
        <w:rPr>
          <w:rFonts w:ascii="Times New Roman;serif" w:hAnsi="Times New Roman;serif"/>
          <w:b/>
          <w:sz w:val="20"/>
        </w:rPr>
        <w:t>Purported Securities Lawsuits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Between January 23, 2020 and March 5, 2020, three securities class action lawsuits were filed against us and certain of our officers. One of the lawsuits was voluntarily dismissed on March 19, 2020. The other two lawsuits, filed in the U.S. District Court, or the Court, for the Northern District of California, or the Northern District, were consolidated by the Court on May 14, 2020, and on August 20, 2020, the lead plaintiffs filed a consolidated class action complaint. The consolidated class action complaint alleges violations of the Securities Exchange Act of 1934, as amended, or the Exchange Act, in connection with allegedly false and misleading statements made by us related to IMbark during the period from March 19, 2018, to September 26, 2018. The consolidated class action complaint alleges, among other things, that we violated Sections 10(b) and 20(a) of the Exchange Act and SEC Rule 10b-5 by failing to disclose facts related to the alleged failure of IMbark to meet the two primary endpoints of the trial, spleen response rate and Total Symptom Score, and that our stock price dropped when such information was disclosed. The plaintiffs in the consolidated class action complaint seek damages and interest, and an award of reasonable costs, including attorneys’ fees. On October 22, 2020, lead plaintiffs filed an amended consolidated class action complaint. We filed a motion to dismiss the amended consolidated class action complaint on November 23, 2020. On April 12, 2021, the Court granted in part and denied in part our motion to dismiss. Our answer to the amended consolidated class action complaint was filed on May 13, 2021. On September 30, 2021, lead plaintiffs filed their motion for class certification, and on April 2, 2022, the Court granted the lead plaintiffs’ motion for class certification. On September 2, 2022, the parties agreed to a settlement and entered into a Stipulation and Agreement of Settlement, or the Stipulation, which is subject to Court approval. On October 13, 2022, the Court preliminarily approved the parties’ settlement, and permitted notice to be distributed to the class members. On March 30, 2023, the Court held a hearing on the motion for final approval of settlement and plan of allocation and ordered supplemental notice be sent to all of the class members. A second final approval hearing is scheduled for August 24, 2023. Final approval of the settlement by the Court is subject to a number of conditions and contingencies out of our control. There can be no guarantee that all of these conditions and contingencies will occur. Should a material condition or contingency to the settlement fail to occur, one or both of the parties to the settlement may exercise their right to terminate the settlement agreement.</w:t>
      </w:r>
    </w:p>
    <w:p>
      <w:pPr>
        <w:pStyle w:val="TextBody"/>
        <w:spacing w:before="240" w:after="0"/>
        <w:jc w:val="left"/>
        <w:rPr>
          <w:rFonts w:ascii="Times New Roman" w:hAnsi="Times New Roman"/>
          <w:sz w:val="20"/>
        </w:rPr>
      </w:pPr>
      <w:r>
        <w:rPr>
          <w:rFonts w:ascii="Times New Roman;serif" w:hAnsi="Times New Roman;serif"/>
          <w:b w:val="false"/>
          <w:sz w:val="20"/>
        </w:rPr>
        <w:t>Under the terms of the Stipulation, in exchange for the release and dismissal with prejudice of all claims against the defendants in the consolidated class action complaint, we agreed to pay and/or to cause our insurance carriers to pay a total of $24,000,000, comprised of $17,000,000</w:t>
      </w:r>
      <w:r>
        <w:rPr>
          <w:rFonts w:ascii="Times New Roman" w:hAnsi="Times New Roman"/>
          <w:sz w:val="20"/>
        </w:rPr>
        <w:t xml:space="preserve"> </w:t>
      </w:r>
      <w:r>
        <w:rPr>
          <w:rFonts w:ascii="Times New Roman;serif" w:hAnsi="Times New Roman;serif"/>
          <w:b w:val="false"/>
          <w:sz w:val="20"/>
        </w:rPr>
        <w:t>in cash, which was paid into an escrow account under our available insurance coverage and, at our election, $7,000,000</w:t>
      </w:r>
      <w:r>
        <w:rPr>
          <w:rFonts w:ascii="Times New Roman" w:hAnsi="Times New Roman"/>
          <w:sz w:val="20"/>
        </w:rPr>
        <w:t xml:space="preserve"> </w:t>
      </w:r>
      <w:r>
        <w:rPr>
          <w:rFonts w:ascii="Times New Roman;serif" w:hAnsi="Times New Roman;serif"/>
          <w:b w:val="false"/>
          <w:sz w:val="20"/>
        </w:rPr>
        <w:t>in either shares of our common stock and/or cash which is payable after final approval of the settlement by the Court. The proposed settlement does not constitute an admission of fault or wrongdoing by Geron or our Chief Executive Officer. The proposed settlement remains subject to final approval by the Court and certain other conditions. As of March 31, 2023 and December 31, 2022, our portion of the settlement amount of $7,000,000</w:t>
      </w:r>
      <w:r>
        <w:rPr>
          <w:rFonts w:ascii="Times New Roman" w:hAnsi="Times New Roman"/>
          <w:sz w:val="20"/>
        </w:rPr>
        <w:t xml:space="preserve"> </w:t>
      </w:r>
      <w:r>
        <w:rPr>
          <w:rFonts w:ascii="Times New Roman;serif" w:hAnsi="Times New Roman;serif"/>
          <w:b w:val="false"/>
          <w:sz w:val="20"/>
        </w:rPr>
        <w:t>has been included in accrued liabilities on our condensed consolidated balance sheets.</w:t>
      </w:r>
      <w:r>
        <w:rPr>
          <w:rFonts w:ascii="Times New Roman" w:hAnsi="Times New Roman"/>
          <w:sz w:val="20"/>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Between April 23, 2020 and June 8, 2021, seven shareholder derivative actions were filed, naming as defendants certain of our current officers and certain current and former members of our board. Of these actions, or the Derivative Lawsuits, two were filed in the Northern District, two were filed in the Court of Chancery of the State of Delaware, or the Chancery Court, two were filed in the U.S. District Court for the District of Delaware, or the District of Delaware, and one was filed in the Superior Court of California for the County of San Mateo, or the San Mateo Superior Court, respectively. The plaintiffs in the Derivative Lawsuits allege breach of fiduciary duty and/or violations of Section 14 of the Exchange Act, based on the same underlying facts as the consolidated class action lawsuit described above. The plaintiffs seek damages, corporate governance reforms, equitable relief, restitution, and an award of reasonable costs, including attorneys’ fees. The status of the seven Derivative Lawsuits is currently as follows:</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On July 2, 2021, we filed a motion to dismiss the consolidated shareholder derivative actions filed in the Chancery Court, or the Chancery Court Derivative Lawsuits. On September 1, 2021, the plaintiffs filed a consolidated amended complaint in the Chancery Court Derivative Lawsuits. On October 12, 2021, we filed our motion to dismiss the consolidated amended complaint. The Chancery Court heard oral argument on the motion on February 15, 2022, and, on June 22, 2022, issued an order staying its decision on our motion to dismiss until after final resolution of the consolidated class action lawsuit described above. On December 21, 2022, the parties in the Chancery Court Derivative Lawsuits entered into a Stipulation of Settlement, or the Derivative Stipulation, that, subject to final approval by the Chancery Court, will resolve the Chancery Court Derivative Lawsuits. A final approval hearing regarding the Derivative Stipulation has been scheduled for May 17, 2023. Final approval of the settlement is subject to a number of conditions and contingencies out of our control. There can be no guarantee that all of these conditions and contingencies will occur. Should a material condition or contingency to the settlement fail to occur, one or more of the parties to the settlement may exercise their right to terminate the settlement agreement;</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18</w:t>
      </w:r>
    </w:p>
    <w:p>
      <w:pPr>
        <w:pStyle w:val="HorizontalLine"/>
        <w:rPr/>
      </w:pPr>
      <w:r>
        <w:rPr/>
      </w:r>
    </w:p>
    <w:p>
      <w:pPr>
        <w:pStyle w:val="TextBody"/>
        <w:spacing w:before="0" w:after="0"/>
        <w:jc w:val="center"/>
        <w:rPr>
          <w:rFonts w:ascii="Times New Roman;serif" w:hAnsi="Times New Roman;serif"/>
          <w:b/>
          <w:sz w:val="20"/>
        </w:rPr>
      </w:pPr>
      <w:r>
        <w:rPr>
          <w:rFonts w:ascii="Times New Roman;serif" w:hAnsi="Times New Roman;serif"/>
          <w:b/>
          <w:sz w:val="20"/>
        </w:rPr>
        <w:t>GERON CORPORATION</w:t>
      </w:r>
    </w:p>
    <w:p>
      <w:pPr>
        <w:pStyle w:val="TextBody"/>
        <w:spacing w:before="0" w:after="0"/>
        <w:jc w:val="center"/>
        <w:rPr>
          <w:rFonts w:ascii="Times New Roman;serif" w:hAnsi="Times New Roman;serif"/>
          <w:b/>
          <w:sz w:val="20"/>
        </w:rPr>
      </w:pPr>
      <w:r>
        <w:rPr>
          <w:rFonts w:ascii="Times New Roman;serif" w:hAnsi="Times New Roman;serif"/>
          <w:b/>
          <w:sz w:val="20"/>
        </w:rPr>
        <w:t>NOTES TO CONDENSED CONSOLIDATED FINANCIAL STATEMENTS</w:t>
      </w:r>
    </w:p>
    <w:p>
      <w:pPr>
        <w:pStyle w:val="TextBody"/>
        <w:spacing w:before="0" w:after="0"/>
        <w:jc w:val="center"/>
        <w:rPr>
          <w:rFonts w:ascii="Times New Roman;serif" w:hAnsi="Times New Roman;serif"/>
          <w:b/>
          <w:caps/>
          <w:sz w:val="20"/>
        </w:rPr>
      </w:pPr>
      <w:r>
        <w:rPr>
          <w:rFonts w:ascii="Times New Roman;serif" w:hAnsi="Times New Roman;serif"/>
          <w:b/>
          <w:caps/>
          <w:sz w:val="20"/>
        </w:rPr>
        <w:t>March 31, 2023</w:t>
      </w:r>
    </w:p>
    <w:p>
      <w:pPr>
        <w:pStyle w:val="TextBody"/>
        <w:spacing w:before="0" w:after="0"/>
        <w:jc w:val="center"/>
        <w:rPr>
          <w:rFonts w:ascii="Times New Roman" w:hAnsi="Times New Roman"/>
          <w:sz w:val="20"/>
        </w:rPr>
      </w:pPr>
      <w:r>
        <w:rPr>
          <w:rFonts w:ascii="Times New Roman;serif" w:hAnsi="Times New Roman;serif"/>
          <w:b/>
          <w:sz w:val="20"/>
        </w:rPr>
        <w:t>(UNAUDITED</w:t>
      </w:r>
      <w:r>
        <w:rPr>
          <w:rFonts w:ascii="Times New Roman;serif" w:hAnsi="Times New Roman;serif"/>
          <w:b w:val="false"/>
          <w:sz w:val="20"/>
        </w:rPr>
        <w:t>)</w:t>
      </w:r>
    </w:p>
    <w:p>
      <w:pPr>
        <w:pStyle w:val="TextBody"/>
        <w:spacing w:before="0" w:after="0"/>
        <w:jc w:val="center"/>
        <w:rPr/>
      </w:pPr>
      <w:r>
        <w:rPr/>
        <w:t>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consolidated shareholder derivative actions filed in the District of Delaware have been stayed pending the ruling on our motion to dismiss the Chancery Court Derivative Lawsuits. On December 21, 2022, the parties in the consolidated District of Delaware derivative actions entered into the Derivative Stipulation, that, subject to final approval by the Chancery Court, will resolve the consolidated District of Delaware derivative actions;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consolidated shareholder derivative actions filed in the Northern District were initially stayed through the ruling on our motion to dismiss in the consolidated securities class action lawsuit described above and then subsequently were stayed through the ruling on the lead plaintiffs’ motion for class certification in the consolidated securities class action lawsuit. Subsequent to the grant of class certification in the consolidated securities class action lawsuit, on May 3, 2022, the Northern District entered an order providing plaintiffs until June 7, 2022, to file an amended complaint. On June 7, 2022, plaintiffs filed an amended shareholder derivative complaint. On July 6, 2022, the Northern District entered an order staying the consolidated shareholder derivative actions filed in the Northern District until the earlier of either a public announcement of a settlement in the consolidated securities class action lawsuit or a final, non-appealable judgment in the consolidated securities class action lawsuit. On December 21, 2022, the parties in the consolidated derivative actions in the Northern District entered into the Derivative Stipulation, that, subject to final approval by the Chancery Court will resolve the consolidated derivative actions in the Northern District; and </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Our motion to dismiss the shareholder derivative action pursuant to the forum selection clause in our amended and restated bylaws was filed in the San Mateo Superior Court on August 5, 2021. At the hearing on the motion to dismiss on November 2, 2021, the court granted our motion to dismiss and stayed the case until April 19, 2022. At the case management conference on April 19, 2022, the court continued the stay until June 14, 2022. At the case management conference on June 14, 2022, the court continued the stay until December 13, 2022. On December 13, 2022, the court dismissed the action without prejudice.</w:t>
      </w:r>
    </w:p>
    <w:p>
      <w:pPr>
        <w:pStyle w:val="TextBody"/>
        <w:spacing w:before="240" w:after="0"/>
        <w:jc w:val="left"/>
        <w:rPr>
          <w:rFonts w:ascii="Times New Roman" w:hAnsi="Times New Roman"/>
          <w:sz w:val="20"/>
        </w:rPr>
      </w:pPr>
      <w:r>
        <w:rPr>
          <w:rFonts w:ascii="Times New Roman;serif" w:hAnsi="Times New Roman;serif"/>
          <w:b w:val="false"/>
          <w:sz w:val="20"/>
        </w:rPr>
        <w:t>Under the terms of the Derivative Stipulation, in exchange for the release and dismissal with prejudice of all claims against the defendants in the consolidated shareholder derivative actions filed in the Northern District, the District of Delaware, and the Chancery Court, we agreed to pay and/or to cause our insurance carriers to pay a total of $1,350,000, comprised of $525,000</w:t>
      </w:r>
      <w:r>
        <w:rPr>
          <w:rFonts w:ascii="Times New Roman" w:hAnsi="Times New Roman"/>
          <w:sz w:val="20"/>
        </w:rPr>
        <w:t xml:space="preserve"> </w:t>
      </w:r>
      <w:r>
        <w:rPr>
          <w:rFonts w:ascii="Times New Roman;serif" w:hAnsi="Times New Roman;serif"/>
          <w:b w:val="false"/>
          <w:sz w:val="20"/>
        </w:rPr>
        <w:t>in cash, which is payable under our available insurance coverage and $825,000</w:t>
      </w:r>
      <w:r>
        <w:rPr>
          <w:rFonts w:ascii="Times New Roman" w:hAnsi="Times New Roman"/>
          <w:sz w:val="20"/>
        </w:rPr>
        <w:t xml:space="preserve"> </w:t>
      </w:r>
      <w:r>
        <w:rPr>
          <w:rFonts w:ascii="Times New Roman;serif" w:hAnsi="Times New Roman;serif"/>
          <w:b w:val="false"/>
          <w:sz w:val="20"/>
        </w:rPr>
        <w:t>in cash payable by us. The proposed settlement remains subject to final approval by the Chancery Court and certain other conditions, upon which the settlement amounts are payable. The proposed settlement does not constitute an admission of fault or wrongdoing by our current officers or current and former members of our board. As of March 31, 2023 and December 31, 2022, we have recorded the total settlement amount of $1,350,000</w:t>
      </w:r>
      <w:r>
        <w:rPr>
          <w:rFonts w:ascii="Times New Roman" w:hAnsi="Times New Roman"/>
          <w:sz w:val="20"/>
        </w:rPr>
        <w:t xml:space="preserve"> </w:t>
      </w:r>
      <w:r>
        <w:rPr>
          <w:rFonts w:ascii="Times New Roman;serif" w:hAnsi="Times New Roman;serif"/>
          <w:b w:val="false"/>
          <w:sz w:val="20"/>
        </w:rPr>
        <w:t>as accrued liabilities and $525,000</w:t>
      </w:r>
      <w:r>
        <w:rPr>
          <w:rFonts w:ascii="Times New Roman" w:hAnsi="Times New Roman"/>
          <w:sz w:val="20"/>
        </w:rPr>
        <w:t xml:space="preserve"> </w:t>
      </w:r>
      <w:r>
        <w:rPr>
          <w:rFonts w:ascii="Times New Roman;serif" w:hAnsi="Times New Roman;serif"/>
          <w:b w:val="false"/>
          <w:sz w:val="20"/>
        </w:rPr>
        <w:t>as interest and other receivables on our condensed consolidated balance sheets.</w:t>
      </w:r>
      <w:r>
        <w:rPr>
          <w:rFonts w:ascii="Times New Roman" w:hAnsi="Times New Roman"/>
          <w:sz w:val="20"/>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pending lawsuits and any other related lawsuits are subject to inherent uncertainties, and the actual defense and disposition costs will depend upon many unknown factors. The outcome of the pending lawsuits and any other related lawsuits is necessarily uncertain. We could be forced to expend significant resources in the defense against the pending lawsuits and any other related lawsuits, and we may not prevail. In addition, we have and may continue to incur substantial legal fees and costs in connection with such lawsuits. As discussed above, we have recorded the total settlement amount for the Derivative Stipulation on our condensed consolidated balance sheets as of March 31, 2023 and December 31, 2022 and our portion of the settlement amount under the Stipulation remains accrued on our condensed consolidated balance sheets as of March 31, 2023 and December 31, 2022. We currently are not able to estimate the possible additional costs to us, if any, from these matters, and we cannot be certain how long it may take to resolve the pending lawsuits or the possible amount of any damages or legal costs that we may be required to pay. Such amounts could be material to our condensed consolidated financial statements if we do not prevail in the defense against the pending lawsuits and any other related lawsuits, or even if we do prevail. We have not established any reserve for any potential liability relating to the pending lawsuits and any other related lawsuits, other than settlement amounts under the Stipulation and the Derivative Stipulation. It is possible that we could, in the future, incur judgments or enter into settlements of claims for monetary damages.</w:t>
      </w:r>
    </w:p>
    <w:p>
      <w:pPr>
        <w:pStyle w:val="TextBody"/>
        <w:spacing w:before="360" w:after="0"/>
        <w:jc w:val="left"/>
        <w:rPr>
          <w:rFonts w:ascii="Times New Roman;serif" w:hAnsi="Times New Roman;serif"/>
          <w:b/>
          <w:sz w:val="20"/>
        </w:rPr>
      </w:pPr>
      <w:r>
        <w:rPr>
          <w:rFonts w:ascii="Times New Roman;serif" w:hAnsi="Times New Roman;serif"/>
          <w:b/>
          <w:sz w:val="20"/>
        </w:rPr>
        <w:t>Indemnifications to Officers and Directors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corporate bylaws require that we indemnify our directors, as well as those who act as directors and officers of other entities at our request, against expenses, judgments, fines, settlements and other amounts actually and reasonably incurred in connection with any proceedings arising out of their services to Geron. In addition, we have entered into separate indemnification agreements with each of our directors and officers which provide for indemnification of these directors and officers under similar circumstances and under additional circumstances. The indemnification obligations are more fully described in our bylaws and the indemnification agreements. We purchase standard insurance to cover claims or a portion of the claims made against our directors and officers. Since a maximum obligation is not explicitly stated in our bylaws or in our indemnification agreements and will depend on the facts and circumstances that arise out of any future claims, the overall maximum amount of the obligations cannot be reasonably estimated.</w:t>
      </w:r>
    </w:p>
    <w:p>
      <w:pPr>
        <w:pStyle w:val="TextBody"/>
        <w:spacing w:before="360" w:after="0"/>
        <w:jc w:val="left"/>
        <w:rPr>
          <w:rFonts w:ascii="Times New Roman;serif" w:hAnsi="Times New Roman;serif"/>
          <w:b/>
          <w:sz w:val="20"/>
        </w:rPr>
      </w:pPr>
      <w:r>
        <w:rPr>
          <w:rFonts w:ascii="Times New Roman;serif" w:hAnsi="Times New Roman;serif"/>
          <w:b/>
          <w:sz w:val="20"/>
        </w:rPr>
        <w:t>Severance Plan</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19</w:t>
      </w:r>
    </w:p>
    <w:p>
      <w:pPr>
        <w:pStyle w:val="HorizontalLine"/>
        <w:rPr/>
      </w:pPr>
      <w:r>
        <w:rPr/>
      </w:r>
    </w:p>
    <w:p>
      <w:pPr>
        <w:pStyle w:val="TextBody"/>
        <w:spacing w:before="0" w:after="0"/>
        <w:jc w:val="center"/>
        <w:rPr>
          <w:rFonts w:ascii="Times New Roman;serif" w:hAnsi="Times New Roman;serif"/>
          <w:b/>
          <w:sz w:val="20"/>
        </w:rPr>
      </w:pPr>
      <w:r>
        <w:rPr>
          <w:rFonts w:ascii="Times New Roman;serif" w:hAnsi="Times New Roman;serif"/>
          <w:b/>
          <w:sz w:val="20"/>
        </w:rPr>
        <w:t>GERON CORPORATION</w:t>
      </w:r>
    </w:p>
    <w:p>
      <w:pPr>
        <w:pStyle w:val="TextBody"/>
        <w:spacing w:before="0" w:after="0"/>
        <w:jc w:val="center"/>
        <w:rPr>
          <w:rFonts w:ascii="Times New Roman;serif" w:hAnsi="Times New Roman;serif"/>
          <w:b/>
          <w:sz w:val="20"/>
        </w:rPr>
      </w:pPr>
      <w:r>
        <w:rPr>
          <w:rFonts w:ascii="Times New Roman;serif" w:hAnsi="Times New Roman;serif"/>
          <w:b/>
          <w:sz w:val="20"/>
        </w:rPr>
        <w:t>NOTES TO CONDENSED CONSOLIDATED FINANCIAL STATEMENTS</w:t>
      </w:r>
    </w:p>
    <w:p>
      <w:pPr>
        <w:pStyle w:val="TextBody"/>
        <w:spacing w:before="0" w:after="0"/>
        <w:jc w:val="center"/>
        <w:rPr>
          <w:rFonts w:ascii="Times New Roman;serif" w:hAnsi="Times New Roman;serif"/>
          <w:b/>
          <w:caps/>
          <w:sz w:val="20"/>
        </w:rPr>
      </w:pPr>
      <w:r>
        <w:rPr>
          <w:rFonts w:ascii="Times New Roman;serif" w:hAnsi="Times New Roman;serif"/>
          <w:b/>
          <w:caps/>
          <w:sz w:val="20"/>
        </w:rPr>
        <w:t>March 31, 2023</w:t>
      </w:r>
    </w:p>
    <w:p>
      <w:pPr>
        <w:pStyle w:val="TextBody"/>
        <w:spacing w:before="0" w:after="0"/>
        <w:jc w:val="center"/>
        <w:rPr>
          <w:rFonts w:ascii="Times New Roman" w:hAnsi="Times New Roman"/>
          <w:sz w:val="20"/>
        </w:rPr>
      </w:pPr>
      <w:r>
        <w:rPr>
          <w:rFonts w:ascii="Times New Roman;serif" w:hAnsi="Times New Roman;serif"/>
          <w:b/>
          <w:sz w:val="20"/>
        </w:rPr>
        <w:t>(UNAUDITED</w:t>
      </w:r>
      <w:r>
        <w:rPr>
          <w:rFonts w:ascii="Times New Roman;serif" w:hAnsi="Times New Roman;serif"/>
          <w:b w:val="false"/>
          <w:sz w:val="20"/>
        </w:rPr>
        <w:t>)</w:t>
      </w:r>
    </w:p>
    <w:p>
      <w:pPr>
        <w:pStyle w:val="TextBody"/>
        <w:spacing w:before="0" w:after="0"/>
        <w:jc w:val="center"/>
        <w:rPr/>
      </w:pPr>
      <w:r>
        <w:rPr/>
        <w:t> </w:t>
      </w:r>
    </w:p>
    <w:p>
      <w:pPr>
        <w:pStyle w:val="TextBody"/>
        <w:spacing w:before="120" w:after="0"/>
        <w:jc w:val="left"/>
        <w:rPr>
          <w:rFonts w:ascii="Times New Roman" w:hAnsi="Times New Roman"/>
          <w:sz w:val="20"/>
        </w:rPr>
      </w:pPr>
      <w:r>
        <w:rPr>
          <w:rFonts w:ascii="Times New Roman;serif" w:hAnsi="Times New Roman;serif"/>
          <w:b w:val="false"/>
          <w:sz w:val="20"/>
        </w:rPr>
        <w:t>We have an Amended and Restated Severance Plan, or Severance Plan, that applies to all employees that are (i) above the Vice President level, (ii) hired by the Company before January 1, 2022, or (iii) not subject to performance improvement plans, and provides for, among other benefits: (x) a severance payment upon a Change of Control Triggering Event and Separation from Service and (y) a severance payment for each non</w:t>
        <w:noBreakHyphen/>
        <w:t>executive employee upon a Non</w:t>
        <w:noBreakHyphen/>
        <w:t>Change of Control Triggering Event and Separation from Service. As defined in the Severance Plan, a Change of Control Triggering Event and Separation from Service requires a “double trigger” where: (i) an employee is terminated by us without cause in connection with a change of control or within 12 months</w:t>
      </w:r>
      <w:r>
        <w:rPr>
          <w:rFonts w:ascii="Times New Roman" w:hAnsi="Times New Roman"/>
          <w:sz w:val="20"/>
        </w:rPr>
        <w:t xml:space="preserve"> </w:t>
      </w:r>
      <w:r>
        <w:rPr>
          <w:rFonts w:ascii="Times New Roman;serif" w:hAnsi="Times New Roman;serif"/>
          <w:b w:val="false"/>
          <w:sz w:val="20"/>
        </w:rPr>
        <w:t>following a change of control provided, however, that if an employee is terminated by us in connection with a change of control but immediately accepts employment with our successor or acquirer, the employee will not be eligible for the benefits outlined in the Severance Plan, (ii) an employee resigns because in connection with a change of control, the offered terms of employment (new or continuing) by us or our successor or acquirer within 30 days</w:t>
      </w:r>
      <w:r>
        <w:rPr>
          <w:rFonts w:ascii="Times New Roman" w:hAnsi="Times New Roman"/>
          <w:sz w:val="20"/>
        </w:rPr>
        <w:t xml:space="preserve"> </w:t>
      </w:r>
      <w:r>
        <w:rPr>
          <w:rFonts w:ascii="Times New Roman;serif" w:hAnsi="Times New Roman;serif"/>
          <w:b w:val="false"/>
          <w:sz w:val="20"/>
        </w:rPr>
        <w:t>after the change of control results in a material change in the terms of employment, or (iii) after accepting (or continuing) employment with us after a change of control, an employee resigns within 12 months</w:t>
      </w:r>
      <w:r>
        <w:rPr>
          <w:rFonts w:ascii="Times New Roman" w:hAnsi="Times New Roman"/>
          <w:sz w:val="20"/>
        </w:rPr>
        <w:t xml:space="preserve"> </w:t>
      </w:r>
      <w:r>
        <w:rPr>
          <w:rFonts w:ascii="Times New Roman;serif" w:hAnsi="Times New Roman;serif"/>
          <w:b w:val="false"/>
          <w:sz w:val="20"/>
        </w:rPr>
        <w:t>following a change of control due to a material change in the terms of employment. Under the Severance Plan, a Non</w:t>
        <w:noBreakHyphen/>
        <w:t>Change of Control Triggering Event and Separation from Service is defined as an event where a non</w:t>
        <w:noBreakHyphen/>
        <w:t>executive employee is terminated by us without cause. Severance payments range from three</w:t>
      </w:r>
      <w:r>
        <w:rPr>
          <w:rFonts w:ascii="Times New Roman" w:hAnsi="Times New Roman"/>
          <w:sz w:val="20"/>
        </w:rPr>
        <w:t xml:space="preserve"> </w:t>
      </w:r>
      <w:r>
        <w:rPr>
          <w:rFonts w:ascii="Times New Roman;serif" w:hAnsi="Times New Roman;serif"/>
          <w:b w:val="false"/>
          <w:sz w:val="20"/>
        </w:rPr>
        <w:t>to 18 months</w:t>
      </w:r>
      <w:r>
        <w:rPr>
          <w:rFonts w:ascii="Times New Roman" w:hAnsi="Times New Roman"/>
          <w:sz w:val="20"/>
        </w:rPr>
        <w:t xml:space="preserve"> </w:t>
      </w:r>
      <w:r>
        <w:rPr>
          <w:rFonts w:ascii="Times New Roman;serif" w:hAnsi="Times New Roman;serif"/>
          <w:b w:val="false"/>
          <w:sz w:val="20"/>
        </w:rPr>
        <w:t>of base salary, depending on the employee’s position with us, payable in a lump sum payment. The Severance Plan also provides that the provisions of employment agreements entered into between us and executive or non</w:t>
        <w:noBreakHyphen/>
        <w:t>executive employees supersede the provisions of the Severance Plan. As of March 31, 2023, all our executive officers have employment agreements with provisions that may provide greater severance benefits than those in the Severance Plan.</w:t>
      </w:r>
    </w:p>
    <w:p>
      <w:pPr>
        <w:pStyle w:val="TextBody"/>
        <w:spacing w:before="360" w:after="0"/>
        <w:jc w:val="left"/>
        <w:rPr>
          <w:rFonts w:ascii="Times New Roman;serif" w:hAnsi="Times New Roman;serif"/>
          <w:b/>
          <w:sz w:val="20"/>
        </w:rPr>
      </w:pPr>
      <w:r>
        <w:rPr>
          <w:rFonts w:ascii="Times New Roman;serif" w:hAnsi="Times New Roman;serif"/>
          <w:b/>
          <w:sz w:val="20"/>
        </w:rPr>
        <w:t>Risks Related to Global Economic Conditions, COVID-19 and the Military Conflict Between Ukraine and Russia</w:t>
      </w:r>
    </w:p>
    <w:p>
      <w:pPr>
        <w:pStyle w:val="TextBody"/>
        <w:spacing w:before="120" w:after="0"/>
        <w:jc w:val="left"/>
        <w:rPr>
          <w:rFonts w:ascii="Times New Roman" w:hAnsi="Times New Roman"/>
          <w:sz w:val="20"/>
        </w:rPr>
      </w:pPr>
      <w:r>
        <w:rPr>
          <w:rFonts w:ascii="Times New Roman;serif" w:hAnsi="Times New Roman;serif"/>
          <w:b w:val="false"/>
          <w:sz w:val="20"/>
        </w:rPr>
        <w:t>As of the date of this filing, significant uncertainty exists concerning the ultimate duration and severity of the COVID-19 pandemic and the military conflict between Ukraine and Russia. Both of these events have caused widespread, continually evolving and unpredictable impacts on global societies, economies, financial markets and business practices. With respect to the COVID-19 pandemic, we are closely monitoring the impact of the pandemic, the identification of new variants of the COVID-19 virus and related developments, and our focus remains on promoting employee health and safety while continuing to advance the development of imetelstat. For both our Phase 3 clinical trials, IMerge and IMpactMF, we have limited ongoing clinical trial activity in Ukraine and Russia, but we have experienced, and may continue to experience, delays and suspensions in clinical trial activities at clinical sites in Ukraine and Russia due to the current political and civil unrest conditions. With support from our CRO, we are monitoring the impact of the conflict on our clinical trial activities.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Due to the dynamic and unpredictable effects of the COVID-19 pandemic, we have had and expect to continue to have disruptions and/or delays in our imetelstat development program, including with respect to our ability to initiate trial sites, enroll and assess patients, maintain patient enrollment, ensure patient clinical and lab collection visits, conduct monitoring visits, supply study drug, report trial results, and interact with regulators or other important agencies due to limitations in employee resources or otherwise. Restrictions on travel, availability of site personnel, and diversion of hospital staff and resources to COVID-19 patients, have disrupted our trial operations, as well as patient recruitment in many areas, resulting in a slowdown in patient enrollment and/or deviations from or disruptions in key clinical trial activities, such as clinical trial site initiation and monitoring. If the effects of the COVID-19 pandemic continue and/or become more severe, we could experience significant disruptions to our clinical development timelines, delays in clinical site initiation and patient enrollment in IMpactMF, IMproveMF and IMpress, and other disruptions that could severely impact our business and the imetelstat development program.</w:t>
      </w:r>
      <w:r>
        <w:rPr>
          <w:rFonts w:ascii="Times New Roman" w:hAnsi="Times New Roman"/>
          <w:sz w:val="20"/>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We have taken and intend to take those actions with regard to COVID-19 that may be required by federal, state or local authorities or that we determine are in the best interests of our patients, investigators, employees and stockholders. In response to the COVID-19 pandemic and previous “shelter in place” and similar orders issued by state and local governments, we have allowed voluntary access to our offices in California and New Jersey to employees who have been vaccinated, and almost all of our employees continue to work remotely without any significant disruption to our business. Our increased reliance on personnel working remotely could increase our cybersecurity risk, create data accessibility concerns and make us more susceptible to communication disruptions, any of which could adversely impact our business operations. These and similar, and perhaps more severe, disruptions in our operations could occur which would negatively impact our business and business prospects, our financial condition and the future of imetelstat.</w:t>
      </w:r>
    </w:p>
    <w:p>
      <w:pPr>
        <w:pStyle w:val="TextBody"/>
        <w:spacing w:before="240" w:after="0"/>
        <w:jc w:val="left"/>
        <w:rPr>
          <w:rFonts w:ascii="Times New Roman" w:hAnsi="Times New Roman"/>
          <w:sz w:val="20"/>
        </w:rPr>
      </w:pPr>
      <w:r>
        <w:rPr>
          <w:rFonts w:ascii="Times New Roman;serif" w:hAnsi="Times New Roman;serif"/>
          <w:b w:val="false"/>
          <w:sz w:val="20"/>
        </w:rPr>
        <w:t>The effects of the COVID-19 pandemic and the military conflict between Ukraine and Russia, including the significant sanctions imposed against Russia, as well as broader economic conditions, including inflation, rising interest rates, the prospects for a recession, and recent and potential future disruptions in access to bank deposits or lending commitments due to bank failure have increased market volatility and could result in a significant long-term disruption of global financial markets, reducing or eliminating our ability to raise additional capital, which could negatively affect our liquidity, our ability to complete IMpactMF, IMproveMF and IMpress and to commence, conduct and complete any other potential future clinical trials of imetelstat. In addition, the global economic slowdown caused by, among other things, the COVID-19 pandemic and the military conflict between Ukraine and Russia, as well as inflation, rising interest rates, the prospects for a recession, and recent and potential future disruptions in access to bank</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20</w:t>
      </w:r>
    </w:p>
    <w:p>
      <w:pPr>
        <w:pStyle w:val="HorizontalLine"/>
        <w:rPr/>
      </w:pPr>
      <w:r>
        <w:rPr/>
      </w:r>
    </w:p>
    <w:p>
      <w:pPr>
        <w:pStyle w:val="TextBody"/>
        <w:spacing w:before="0" w:after="0"/>
        <w:jc w:val="center"/>
        <w:rPr>
          <w:rFonts w:ascii="Times New Roman;serif" w:hAnsi="Times New Roman;serif"/>
          <w:b/>
          <w:sz w:val="20"/>
        </w:rPr>
      </w:pPr>
      <w:r>
        <w:rPr>
          <w:rFonts w:ascii="Times New Roman;serif" w:hAnsi="Times New Roman;serif"/>
          <w:b/>
          <w:sz w:val="20"/>
        </w:rPr>
        <w:t>GERON CORPORATION</w:t>
      </w:r>
    </w:p>
    <w:p>
      <w:pPr>
        <w:pStyle w:val="TextBody"/>
        <w:spacing w:before="0" w:after="0"/>
        <w:jc w:val="center"/>
        <w:rPr>
          <w:rFonts w:ascii="Times New Roman;serif" w:hAnsi="Times New Roman;serif"/>
          <w:b/>
          <w:sz w:val="20"/>
        </w:rPr>
      </w:pPr>
      <w:r>
        <w:rPr>
          <w:rFonts w:ascii="Times New Roman;serif" w:hAnsi="Times New Roman;serif"/>
          <w:b/>
          <w:sz w:val="20"/>
        </w:rPr>
        <w:t>NOTES TO CONDENSED CONSOLIDATED FINANCIAL STATEMENTS</w:t>
      </w:r>
    </w:p>
    <w:p>
      <w:pPr>
        <w:pStyle w:val="TextBody"/>
        <w:spacing w:before="0" w:after="0"/>
        <w:jc w:val="center"/>
        <w:rPr>
          <w:rFonts w:ascii="Times New Roman;serif" w:hAnsi="Times New Roman;serif"/>
          <w:b/>
          <w:caps/>
          <w:sz w:val="20"/>
        </w:rPr>
      </w:pPr>
      <w:r>
        <w:rPr>
          <w:rFonts w:ascii="Times New Roman;serif" w:hAnsi="Times New Roman;serif"/>
          <w:b/>
          <w:caps/>
          <w:sz w:val="20"/>
        </w:rPr>
        <w:t>March 31, 2023</w:t>
      </w:r>
    </w:p>
    <w:p>
      <w:pPr>
        <w:pStyle w:val="TextBody"/>
        <w:spacing w:before="0" w:after="0"/>
        <w:jc w:val="center"/>
        <w:rPr>
          <w:rFonts w:ascii="Times New Roman" w:hAnsi="Times New Roman"/>
          <w:sz w:val="20"/>
        </w:rPr>
      </w:pPr>
      <w:r>
        <w:rPr>
          <w:rFonts w:ascii="Times New Roman;serif" w:hAnsi="Times New Roman;serif"/>
          <w:b/>
          <w:sz w:val="20"/>
        </w:rPr>
        <w:t>(UNAUDITED</w:t>
      </w:r>
      <w:r>
        <w:rPr>
          <w:rFonts w:ascii="Times New Roman;serif" w:hAnsi="Times New Roman;serif"/>
          <w:b w:val="false"/>
          <w:sz w:val="20"/>
        </w:rPr>
        <w:t>)</w:t>
      </w:r>
    </w:p>
    <w:p>
      <w:pPr>
        <w:pStyle w:val="TextBody"/>
        <w:spacing w:before="0" w:after="0"/>
        <w:jc w:val="center"/>
        <w:rPr/>
      </w:pPr>
      <w:r>
        <w:rPr/>
        <w:t>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deposits or lending commitments due to bank failures could materially and adversely affect our business and the value of our common stock.</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extent to which global economic conditions, including those resulting from the COVID-19 pandemic, the military conflict between Ukraine and Russia and recent and potential future bank failures, ultimately impact our business, our regulatory and clinical development activities, clinical supply chain and other business operations, as well as the value of and market for our common stock, will depend on future developments that are highly uncertain and cannot be predicted with confidence at this time, such as the ultimate duration and severity of the pandemic, travel restrictions, quarantines, social distancing and business closure requirements in the U.S. and in other countries, the effectiveness of actions taken globally to contain and treat COVID-19, whether the military conflict between Ukraine and Russia resolves in a timely manner, or at all, and whether the U.S. and/or international banking system stabilizes despite recent and any potential future bank failures. Accordingly, we do not yet know the full extent of potential delays or impacts on our business, our regulatory and clinical development activities, clinical supply chain and other business operations or the global economy as a whole. However, these effects could materially and adversely affect our business and business prospects, our financial condition and the future of imetelstat.</w:t>
      </w:r>
    </w:p>
    <w:p>
      <w:pPr>
        <w:pStyle w:val="TextBody"/>
        <w:spacing w:before="360" w:after="0"/>
        <w:jc w:val="left"/>
        <w:rPr>
          <w:rFonts w:ascii="Times New Roman;serif" w:hAnsi="Times New Roman;serif"/>
          <w:b/>
          <w:sz w:val="20"/>
        </w:rPr>
      </w:pPr>
      <w:r>
        <w:rPr>
          <w:rFonts w:ascii="Times New Roman;serif" w:hAnsi="Times New Roman;serif"/>
          <w:b/>
          <w:sz w:val="20"/>
        </w:rPr>
        <w:t>6. STOCKHOLDERS’ EQUITY</w:t>
      </w:r>
    </w:p>
    <w:p>
      <w:pPr>
        <w:pStyle w:val="TextBody"/>
        <w:spacing w:before="120" w:after="0"/>
        <w:jc w:val="left"/>
        <w:rPr>
          <w:rFonts w:ascii="Times New Roman;serif" w:hAnsi="Times New Roman;serif"/>
          <w:b/>
          <w:sz w:val="20"/>
        </w:rPr>
      </w:pPr>
      <w:r>
        <w:rPr>
          <w:rFonts w:ascii="Times New Roman;serif" w:hAnsi="Times New Roman;serif"/>
          <w:b/>
          <w:sz w:val="20"/>
        </w:rPr>
        <w:t>Public Offering</w:t>
      </w:r>
    </w:p>
    <w:p>
      <w:pPr>
        <w:pStyle w:val="TextBody"/>
        <w:spacing w:before="120" w:after="0"/>
        <w:jc w:val="left"/>
        <w:rPr>
          <w:rFonts w:ascii="Times New Roman" w:hAnsi="Times New Roman"/>
          <w:sz w:val="20"/>
        </w:rPr>
      </w:pPr>
      <w:r>
        <w:rPr>
          <w:rFonts w:ascii="Times New Roman;serif" w:hAnsi="Times New Roman;serif"/>
          <w:b w:val="false"/>
          <w:sz w:val="20"/>
        </w:rPr>
        <w:t>On January 10, 2023 we completed the January 2023 offering consisting of 68,007,741</w:t>
      </w:r>
      <w:r>
        <w:rPr>
          <w:rFonts w:ascii="Times New Roman" w:hAnsi="Times New Roman"/>
          <w:sz w:val="20"/>
        </w:rPr>
        <w:t xml:space="preserve"> </w:t>
      </w:r>
      <w:r>
        <w:rPr>
          <w:rFonts w:ascii="Times New Roman;serif" w:hAnsi="Times New Roman;serif"/>
          <w:b w:val="false"/>
          <w:sz w:val="20"/>
        </w:rPr>
        <w:t>shares of our common stock and the 2023 pre-funded warrant. All of the securities were issued separately. The public offering price of the common stock was $2.45</w:t>
      </w:r>
      <w:r>
        <w:rPr>
          <w:rFonts w:ascii="Times New Roman" w:hAnsi="Times New Roman"/>
          <w:sz w:val="20"/>
        </w:rPr>
        <w:t xml:space="preserve"> </w:t>
      </w:r>
      <w:r>
        <w:rPr>
          <w:rFonts w:ascii="Times New Roman;serif" w:hAnsi="Times New Roman;serif"/>
          <w:b w:val="false"/>
          <w:sz w:val="20"/>
        </w:rPr>
        <w:t>per share. The public offering price of the 2023 pre-funded warrant was $2.449</w:t>
      </w:r>
      <w:r>
        <w:rPr>
          <w:rFonts w:ascii="Times New Roman" w:hAnsi="Times New Roman"/>
          <w:sz w:val="20"/>
        </w:rPr>
        <w:t xml:space="preserve"> </w:t>
      </w:r>
      <w:r>
        <w:rPr>
          <w:rFonts w:ascii="Times New Roman;serif" w:hAnsi="Times New Roman;serif"/>
          <w:b w:val="false"/>
          <w:sz w:val="20"/>
        </w:rPr>
        <w:t>per share. The 2023 pre-funded warrant has an exercise price of $0.001</w:t>
      </w:r>
      <w:r>
        <w:rPr>
          <w:rFonts w:ascii="Times New Roman" w:hAnsi="Times New Roman"/>
          <w:sz w:val="20"/>
        </w:rPr>
        <w:t xml:space="preserve"> </w:t>
      </w:r>
      <w:r>
        <w:rPr>
          <w:rFonts w:ascii="Times New Roman;serif" w:hAnsi="Times New Roman;serif"/>
          <w:b w:val="false"/>
          <w:sz w:val="20"/>
        </w:rPr>
        <w:t>per share and may be exercised at any time until the 2023 pre-funded warrant is exercised in full. As of March 31, 2023, none of the 2023 pre-funded warrant has been exercised. The net cash proceeds from this offering were $213,337,000, after deducting the underwriting discount and other offering expenses paid by us, and exclude any future proceeds from the exercise of the 2023 pre-funded warrant.</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 xml:space="preserve">Upon the issuance of the 2023 pre-funded warrant, we evaluated the terms of each warrant to determine the appropriate accounting and classification pursuant to FASB Accounting Standards Codification Topic 480, </w:t>
      </w:r>
      <w:r>
        <w:rPr>
          <w:rFonts w:ascii="Times New Roman;serif" w:hAnsi="Times New Roman;serif"/>
          <w:b w:val="false"/>
          <w:i/>
          <w:sz w:val="20"/>
        </w:rPr>
        <w:t>Distinguishing Liabilities from Equity</w:t>
      </w:r>
      <w:r>
        <w:rPr>
          <w:rFonts w:ascii="Times New Roman;serif" w:hAnsi="Times New Roman;serif"/>
          <w:b w:val="false"/>
          <w:sz w:val="20"/>
        </w:rPr>
        <w:t xml:space="preserve">, and FASB Accounting Standards Codification Topic 815, </w:t>
      </w:r>
      <w:r>
        <w:rPr>
          <w:rFonts w:ascii="Times New Roman;serif" w:hAnsi="Times New Roman;serif"/>
          <w:b w:val="false"/>
          <w:i/>
          <w:sz w:val="20"/>
        </w:rPr>
        <w:t>Derivatives and Hedging</w:t>
      </w:r>
      <w:r>
        <w:rPr>
          <w:rFonts w:ascii="Times New Roman;serif" w:hAnsi="Times New Roman;serif"/>
          <w:b w:val="false"/>
          <w:sz w:val="20"/>
        </w:rPr>
        <w:t>. Warrants are classified as liabilities when the warrant terms allow settlement of the warrant exercise in cash and classified as equity when the warrant terms only allow settlement in shares of common stock. The terms of the 2023 pre-funded warrant include certain provisions related to fundamental transactions and a cashless exercise provision in the event registered shares are not available, and do not include any mandatory redemption provisions. Based on our evaluation, we concluded the 2023 pre-funded warrant should be classified as equity with no subsequent remeasurement as long as such warrant continue to be classified as equity.</w:t>
      </w:r>
      <w:r>
        <w:rPr>
          <w:rFonts w:ascii="Times New Roman" w:hAnsi="Times New Roman"/>
          <w:sz w:val="20"/>
        </w:rPr>
        <w:t xml:space="preserve"> </w:t>
      </w:r>
    </w:p>
    <w:p>
      <w:pPr>
        <w:pStyle w:val="TextBody"/>
        <w:spacing w:before="240" w:after="0"/>
        <w:jc w:val="left"/>
        <w:rPr>
          <w:rFonts w:ascii="Times New Roman;serif" w:hAnsi="Times New Roman;serif"/>
          <w:b/>
          <w:sz w:val="20"/>
        </w:rPr>
      </w:pPr>
      <w:r>
        <w:rPr>
          <w:rFonts w:ascii="Times New Roman;serif" w:hAnsi="Times New Roman;serif"/>
          <w:b/>
          <w:sz w:val="20"/>
        </w:rPr>
        <w:t>Warrant Exercises</w:t>
      </w:r>
    </w:p>
    <w:p>
      <w:pPr>
        <w:pStyle w:val="TextBody"/>
        <w:spacing w:before="120" w:after="0"/>
        <w:jc w:val="left"/>
        <w:rPr>
          <w:rFonts w:ascii="Times New Roman" w:hAnsi="Times New Roman"/>
          <w:sz w:val="20"/>
        </w:rPr>
      </w:pPr>
      <w:r>
        <w:rPr>
          <w:rFonts w:ascii="Times New Roman;serif" w:hAnsi="Times New Roman;serif"/>
          <w:b w:val="false"/>
          <w:sz w:val="20"/>
        </w:rPr>
        <w:t>In the first quarter of 2023, warrants to purchase 44,983,194</w:t>
      </w:r>
      <w:r>
        <w:rPr>
          <w:rFonts w:ascii="Times New Roman" w:hAnsi="Times New Roman"/>
          <w:sz w:val="20"/>
        </w:rPr>
        <w:t xml:space="preserve"> </w:t>
      </w:r>
      <w:r>
        <w:rPr>
          <w:rFonts w:ascii="Times New Roman;serif" w:hAnsi="Times New Roman;serif"/>
          <w:b w:val="false"/>
          <w:sz w:val="20"/>
        </w:rPr>
        <w:t>shares of Geron common stock were exercised for net cash proceeds of approximately $59,835,000. The warrants were issued in connection with underwritten public offerings of common stock and pre-funded warrants, together with accompanying stock purchase warrants in May 2020 and April 2022. As of March 31, 2023, the following warrants remained outstanding:</w:t>
      </w:r>
      <w:r>
        <w:rPr>
          <w:rFonts w:ascii="Times New Roman" w:hAnsi="Times New Roman"/>
          <w:sz w:val="20"/>
        </w:rPr>
        <w:t xml:space="preserve"> </w:t>
      </w:r>
    </w:p>
    <w:p>
      <w:pPr>
        <w:pStyle w:val="TextBody"/>
        <w:spacing w:before="120" w:after="0"/>
        <w:jc w:val="left"/>
        <w:rPr/>
      </w:pPr>
      <w:r>
        <w:rPr/>
        <w:t>•</w:t>
      </w:r>
    </w:p>
    <w:p>
      <w:pPr>
        <w:pStyle w:val="TextBody"/>
        <w:spacing w:before="120" w:after="0"/>
        <w:jc w:val="left"/>
        <w:rPr>
          <w:rFonts w:ascii="Times New Roman;serif" w:hAnsi="Times New Roman;serif"/>
          <w:sz w:val="20"/>
        </w:rPr>
      </w:pPr>
      <w:r>
        <w:rPr>
          <w:rFonts w:ascii="Times New Roman;serif" w:hAnsi="Times New Roman;serif"/>
          <w:b w:val="false"/>
          <w:sz w:val="20"/>
        </w:rPr>
        <w:t>pre-funded warrants with an exercise price of $0.001</w:t>
      </w:r>
      <w:r>
        <w:rPr>
          <w:rFonts w:ascii="Times New Roman;serif" w:hAnsi="Times New Roman;serif"/>
          <w:sz w:val="20"/>
        </w:rPr>
        <w:t xml:space="preserve"> </w:t>
      </w:r>
      <w:r>
        <w:rPr>
          <w:rFonts w:ascii="Times New Roman;serif" w:hAnsi="Times New Roman;serif"/>
          <w:b w:val="false"/>
          <w:sz w:val="20"/>
        </w:rPr>
        <w:t>per shares to purchase 51,430,477</w:t>
      </w:r>
      <w:r>
        <w:rPr>
          <w:rFonts w:ascii="Times New Roman;serif" w:hAnsi="Times New Roman;serif"/>
          <w:sz w:val="20"/>
        </w:rPr>
        <w:t xml:space="preserve"> </w:t>
      </w:r>
      <w:r>
        <w:rPr>
          <w:rFonts w:ascii="Times New Roman;serif" w:hAnsi="Times New Roman;serif"/>
          <w:b w:val="false"/>
          <w:sz w:val="20"/>
        </w:rPr>
        <w:t>shares of our common stock;</w:t>
      </w:r>
    </w:p>
    <w:p>
      <w:pPr>
        <w:pStyle w:val="TextBody"/>
        <w:spacing w:before="120" w:after="0"/>
        <w:jc w:val="left"/>
        <w:rPr/>
      </w:pPr>
      <w:r>
        <w:rPr/>
        <w:t>•</w:t>
      </w:r>
    </w:p>
    <w:p>
      <w:pPr>
        <w:pStyle w:val="TextBody"/>
        <w:spacing w:before="120" w:after="0"/>
        <w:jc w:val="left"/>
        <w:rPr>
          <w:rFonts w:ascii="Times New Roman;serif" w:hAnsi="Times New Roman;serif"/>
          <w:sz w:val="20"/>
        </w:rPr>
      </w:pPr>
      <w:r>
        <w:rPr>
          <w:rFonts w:ascii="Times New Roman;serif" w:hAnsi="Times New Roman;serif"/>
          <w:b w:val="false"/>
          <w:sz w:val="20"/>
        </w:rPr>
        <w:t>stock purchase warrants with an exercise price of $1.30</w:t>
      </w:r>
      <w:r>
        <w:rPr>
          <w:rFonts w:ascii="Times New Roman;serif" w:hAnsi="Times New Roman;serif"/>
          <w:sz w:val="20"/>
        </w:rPr>
        <w:t xml:space="preserve"> </w:t>
      </w:r>
      <w:r>
        <w:rPr>
          <w:rFonts w:ascii="Times New Roman;serif" w:hAnsi="Times New Roman;serif"/>
          <w:b w:val="false"/>
          <w:sz w:val="20"/>
        </w:rPr>
        <w:t>per share to purchase 8,174,503</w:t>
      </w:r>
      <w:r>
        <w:rPr>
          <w:rFonts w:ascii="Times New Roman;serif" w:hAnsi="Times New Roman;serif"/>
          <w:sz w:val="20"/>
        </w:rPr>
        <w:t xml:space="preserve"> </w:t>
      </w:r>
      <w:r>
        <w:rPr>
          <w:rFonts w:ascii="Times New Roman;serif" w:hAnsi="Times New Roman;serif"/>
          <w:b w:val="false"/>
          <w:sz w:val="20"/>
        </w:rPr>
        <w:t>shares of our common stock related to the May 2020 offering; and</w:t>
      </w:r>
    </w:p>
    <w:p>
      <w:pPr>
        <w:pStyle w:val="TextBody"/>
        <w:spacing w:before="120" w:after="0"/>
        <w:jc w:val="left"/>
        <w:rPr/>
      </w:pPr>
      <w:r>
        <w:rPr/>
        <w:t>•</w:t>
      </w:r>
    </w:p>
    <w:p>
      <w:pPr>
        <w:pStyle w:val="TextBody"/>
        <w:spacing w:before="120" w:after="283"/>
        <w:jc w:val="left"/>
        <w:rPr>
          <w:rFonts w:ascii="Times New Roman;serif" w:hAnsi="Times New Roman;serif"/>
          <w:sz w:val="20"/>
        </w:rPr>
      </w:pPr>
      <w:r>
        <w:rPr>
          <w:rFonts w:ascii="Times New Roman;serif" w:hAnsi="Times New Roman;serif"/>
          <w:b w:val="false"/>
          <w:sz w:val="20"/>
        </w:rPr>
        <w:t>stock purchase warrants with an exercise price of $1.45</w:t>
      </w:r>
      <w:r>
        <w:rPr>
          <w:rFonts w:ascii="Times New Roman;serif" w:hAnsi="Times New Roman;serif"/>
          <w:sz w:val="20"/>
        </w:rPr>
        <w:t xml:space="preserve"> </w:t>
      </w:r>
      <w:r>
        <w:rPr>
          <w:rFonts w:ascii="Times New Roman;serif" w:hAnsi="Times New Roman;serif"/>
          <w:b w:val="false"/>
          <w:sz w:val="20"/>
        </w:rPr>
        <w:t>per share to purchase 26,666,669</w:t>
      </w:r>
      <w:r>
        <w:rPr>
          <w:rFonts w:ascii="Times New Roman;serif" w:hAnsi="Times New Roman;serif"/>
          <w:sz w:val="20"/>
        </w:rPr>
        <w:t xml:space="preserve"> </w:t>
      </w:r>
      <w:r>
        <w:rPr>
          <w:rFonts w:ascii="Times New Roman;serif" w:hAnsi="Times New Roman;serif"/>
          <w:b w:val="false"/>
          <w:sz w:val="20"/>
        </w:rPr>
        <w:t>shares of our common stock related to the April 2022 offering.</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21</w:t>
      </w:r>
    </w:p>
    <w:p>
      <w:pPr>
        <w:pStyle w:val="HorizontalLine"/>
        <w:rPr/>
      </w:pPr>
      <w:r>
        <w:rPr/>
      </w:r>
    </w:p>
    <w:p>
      <w:pPr>
        <w:pStyle w:val="TextBody"/>
        <w:spacing w:before="0" w:after="0"/>
        <w:jc w:val="left"/>
        <w:rPr/>
      </w:pPr>
      <w:r>
        <w:rPr/>
        <w:t> </w:t>
      </w:r>
    </w:p>
    <w:p>
      <w:pPr>
        <w:pStyle w:val="TextBody"/>
        <w:spacing w:before="0" w:after="0"/>
        <w:jc w:val="left"/>
        <w:rPr>
          <w:rFonts w:ascii="Times New Roman;serif" w:hAnsi="Times New Roman;serif"/>
          <w:b/>
          <w:sz w:val="20"/>
        </w:rPr>
      </w:pPr>
      <w:bookmarkStart w:id="11" w:name="item2_mda"/>
      <w:bookmarkEnd w:id="11"/>
      <w:r>
        <w:rPr>
          <w:rFonts w:ascii="Times New Roman;serif" w:hAnsi="Times New Roman;serif"/>
          <w:b/>
          <w:sz w:val="20"/>
        </w:rPr>
        <w:t>ITEM 2. MANAGEMENT’S DISCUSSION AND ANALYSIS OF FINANCIAL CONDITION AND RESULTS OF OPERATIONS</w:t>
      </w:r>
    </w:p>
    <w:p>
      <w:pPr>
        <w:pStyle w:val="TextBody"/>
        <w:spacing w:before="0" w:after="0"/>
        <w:jc w:val="left"/>
        <w:rPr>
          <w:rFonts w:ascii="Times New Roman;serif" w:hAnsi="Times New Roman;serif"/>
          <w:b/>
          <w:sz w:val="20"/>
        </w:rPr>
      </w:pPr>
      <w:r>
        <w:rPr>
          <w:rFonts w:ascii="Times New Roman;serif" w:hAnsi="Times New Roman;serif"/>
          <w:b/>
          <w:sz w:val="20"/>
        </w:rPr>
        <w:t>FORWARD-LOOKING STATEMENTS</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This Form 10-Q contains forward-looking statements that involve risks and uncertainties, as well as assumptions that, if they never materialize or prove incorrect, could cause our results to differ materially from those expressed or implied by such forward-looking statements. All statements other than statements of historical fact are statements that could be deemed forward-looking statements. In some cases, forward-looking statements can be identified by the use of terminology such as “may,” “expects,” “plans,” “intends,” “will,” “should,” “projects,” “believes,” “predicts,” “anticipates,” “estimates,” “potential” or “continue,” or the negative thereof or other comparable terminology. These statements are within the meaning of the “safe harbor” provisions of the Private Securities Litigation Reform Act of 1995. These statements appear throughout the Form 10-Q and are statements regarding our intent, belief, or current expectations, primarily with respect to our business and related industry developments. You should not place undue reliance on these forward-looking statements, which apply only as of the date of this Form 10-Q. Our actual results could differ materially from those anticipated in these forward-looking statements for many reasons, including the risks faced by us and described in Part II, Item 1A, entitled “Risk Factors,” and in “Management’s Discussion and Analysis of Financial Condition and Results of Operations” in Part I, Item 2 of this Form 10-Q.</w:t>
      </w:r>
    </w:p>
    <w:p>
      <w:pPr>
        <w:pStyle w:val="TextBody"/>
        <w:spacing w:before="0" w:after="0"/>
        <w:jc w:val="left"/>
        <w:rPr>
          <w:rFonts w:ascii="Times New Roman;serif" w:hAnsi="Times New Roman;serif"/>
          <w:b/>
          <w:sz w:val="20"/>
        </w:rPr>
      </w:pPr>
      <w:r>
        <w:rPr>
          <w:rFonts w:ascii="Times New Roman;serif" w:hAnsi="Times New Roman;serif"/>
          <w:b/>
          <w:sz w:val="20"/>
        </w:rPr>
        <w:t>OVERVIEW</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The following discussion should be read in conjunction with the unaudited condensed consolidated financial statements and notes thereto included in Part I, Item 1 of this Form 10-Q; and the sections entitled “Business” and “Management’s Discussion and Analysis of Financial Condition and Results of Operations” contained in our Form 10-K for the year ended December 31, 2022, as filed with the United States Securities and Exchange Commission, or SEC, on March 16, 2023, or 2022 Form 10-K.</w:t>
      </w:r>
    </w:p>
    <w:p>
      <w:pPr>
        <w:pStyle w:val="TextBody"/>
        <w:spacing w:before="0" w:after="0"/>
        <w:jc w:val="left"/>
        <w:rPr>
          <w:rFonts w:ascii="Times New Roman;serif" w:hAnsi="Times New Roman;serif"/>
          <w:b/>
          <w:sz w:val="20"/>
        </w:rPr>
      </w:pPr>
      <w:r>
        <w:rPr>
          <w:rFonts w:ascii="Times New Roman;serif" w:hAnsi="Times New Roman;serif"/>
          <w:b/>
          <w:sz w:val="20"/>
        </w:rPr>
        <w:t>Company Overview</w:t>
      </w:r>
    </w:p>
    <w:p>
      <w:pPr>
        <w:pStyle w:val="TextBody"/>
        <w:spacing w:before="0" w:after="0"/>
        <w:jc w:val="left"/>
        <w:rPr>
          <w:rFonts w:ascii="Times New Roman" w:hAnsi="Times New Roman"/>
          <w:sz w:val="20"/>
        </w:rPr>
      </w:pPr>
      <w:r>
        <w:rPr>
          <w:rFonts w:ascii="Times New Roman;serif" w:hAnsi="Times New Roman;serif"/>
          <w:b/>
          <w:i/>
          <w:sz w:val="20"/>
        </w:rPr>
        <w:t>Summary</w:t>
      </w:r>
      <w:r>
        <w:rPr>
          <w:rFonts w:ascii="Times New Roman" w:hAnsi="Times New Roman"/>
          <w:sz w:val="20"/>
        </w:rPr>
        <w:t xml:space="preserve"> </w:t>
      </w:r>
    </w:p>
    <w:p>
      <w:pPr>
        <w:pStyle w:val="TextBody"/>
        <w:spacing w:before="0" w:after="0"/>
        <w:jc w:val="left"/>
        <w:rPr>
          <w:rFonts w:ascii="Times New Roman" w:hAnsi="Times New Roman"/>
          <w:sz w:val="20"/>
        </w:rPr>
      </w:pPr>
      <w:r>
        <w:rPr>
          <w:rFonts w:ascii="Times New Roman;serif" w:hAnsi="Times New Roman;serif"/>
          <w:b w:val="false"/>
          <w:sz w:val="20"/>
        </w:rPr>
        <w:t>We are a late-stage biopharmaceutical company pursuing therapies with the potential to extend and enrich the lives of patients living with hematologic malignancies. Our investigational first-in-class telomerase inhibitor, imetelstat, harnesses Nobel Prize winning science in a treatment that may alter the underlying course of these diseases.</w:t>
      </w:r>
      <w:r>
        <w:rPr>
          <w:rFonts w:ascii="Times New Roman" w:hAnsi="Times New Roman"/>
          <w:sz w:val="20"/>
        </w:rPr>
        <w:t xml:space="preserve"> </w:t>
      </w:r>
    </w:p>
    <w:p>
      <w:pPr>
        <w:pStyle w:val="TextBody"/>
        <w:spacing w:before="0" w:after="0"/>
        <w:jc w:val="left"/>
        <w:rPr>
          <w:rFonts w:ascii="Times New Roman" w:hAnsi="Times New Roman"/>
          <w:sz w:val="20"/>
        </w:rPr>
      </w:pPr>
      <w:r>
        <w:rPr>
          <w:rFonts w:ascii="Times New Roman;serif" w:hAnsi="Times New Roman;serif"/>
          <w:b w:val="false"/>
          <w:sz w:val="20"/>
        </w:rPr>
        <w:t>Our lead indication for imetelstat is in Low or Intermediate-1 risk myelodysplastic syndromes, or lower risk MDS. In January 2023, we reported positive top-line results from our IMerge Phase 3 clinical trial. The trial met its primary endpoint of 8-week transfusion independence rate and a key secondary endpoint of 24-week transfusion independence rate, demonstrating highly statistically significant (i.e., P&lt;0.001 for both) and clinically meaningful benefits in imetelstat versus placebo. Furthermore, statistically significant and clinically meaningful efficacy results were observed in the trial across key subtypes, including patients who were ringed sideroblast positive, or RS positive, and ringed sideroblast negative, or RS negative; patients with high and very high baseline transfusion burden; and patients classified as Low or Intermediate-1 risk according to the International Prognostic Scoring System, or IPSS.</w:t>
      </w:r>
      <w:r>
        <w:rPr>
          <w:rFonts w:ascii="Times New Roman" w:hAnsi="Times New Roman"/>
          <w:sz w:val="20"/>
        </w:rPr>
        <w:t xml:space="preserve">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Based on the positive top-line data from IMerge Phase 3 and the prior IMerge Phase 2, we plan to submit a New Drug Application, or NDA, to the FDA in the United States, or U.S., in mid-2023 and a marketing authorization application, or MAA, in Europe in the second half of 2023 for the use of imetelstat in adult patients with lower risk MDS. If the NDA is accepted for filing and imetelstat is approved for commercialization by the FDA within the timelines we expect, we anticipate commercial launch of imetelstat in lower risk MDS in the U.S. could occur in the first half of 2024. In Europe, we anticipate review of the planned MAA, if validated by the European Medicines Agency, or EMA, could take approximately 14 months and, if approved, we anticipate that the commercial launch of imetelstat in lower risk MDS in Europe could occur by the end of 2024.</w:t>
      </w:r>
    </w:p>
    <w:p>
      <w:pPr>
        <w:pStyle w:val="TextBody"/>
        <w:spacing w:before="0" w:after="0"/>
        <w:jc w:val="left"/>
        <w:rPr>
          <w:rFonts w:ascii="Times New Roman;serif" w:hAnsi="Times New Roman;serif"/>
          <w:b w:val="false"/>
          <w:sz w:val="20"/>
        </w:rPr>
      </w:pPr>
      <w:r>
        <w:rPr>
          <w:rFonts w:ascii="Times New Roman;serif" w:hAnsi="Times New Roman;serif"/>
          <w:b w:val="false"/>
          <w:sz w:val="20"/>
        </w:rPr>
        <w:t>We believe that the positive top-line data from IMerge Phase 3 and IMerge Phase 2, as well as our prior Phase 2 clinical trial of imetelstat in patients with Intermediate-2 or High-Risk myelofibrosis who have relapsed after or are refractory to treatment with a janus associate kinase inhibitor, or JAK inhibitor, or relapsed/refractory MF, provide strong evidence that imetelstat targets telomerase to inhibit the uncontrolled proliferation of malignant stem and progenitor cells enabling recovery of bone marrow and normal blood cell production, which suggest potential disease-modifying activity. We believe this potential for disease modification could differentiate imetelstat from currently approved treatments in myeloid hematologic malignancies. Accordingly, in addition to lower risk MDS, we are developing imetelstat for the treatment of several myeloid hematologic malignancies with the following ongoing clinical trials:</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 xml:space="preserve">IMpactMF, a Phase 3 clinical trial in relapsed/refractory MF with overall survival, or OS, as the primary endpoint, that currently is enrolling patients. Based on our planning assumptions for enrollment and event (death) rates in the trial, we expect the interim analysis for OS in IMpactMF may occur in 2024, and the final analysis may occur in 2025. Because these analyses are event-driven and it is uncertain whether actual rates for enrollment and events will reflect current planning assumptions, the results may be available at different times than currently expected.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22</w:t>
      </w:r>
    </w:p>
    <w:p>
      <w:pPr>
        <w:pStyle w:val="HorizontalLine"/>
        <w:rPr/>
      </w:pPr>
      <w:r>
        <w:rPr/>
      </w:r>
    </w:p>
    <w:p>
      <w:pPr>
        <w:pStyle w:val="TextBody"/>
        <w:spacing w:before="0" w:after="0"/>
        <w:jc w:val="left"/>
        <w:rPr/>
      </w:pPr>
      <w:r>
        <w:rPr/>
        <w:t>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IMproveMF, a Phase 1 combination clinical trial in first-line Intermediate-1, Intermediate-2 or High-Risk myelofibrosis, or frontline MF, that currently is enrolling patients and the first patient was dosed in April 2021; and</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IMpress, an investigator-led Phase 2 clinical trial in Intermediate-2 or High-Risk myelodysplastic syndromes, or higher risk MDS, and acute myeloid leukemia, or AML, with the initial clinical site planned to open in 2023.</w:t>
      </w:r>
    </w:p>
    <w:p>
      <w:pPr>
        <w:pStyle w:val="TextBody"/>
        <w:spacing w:before="0" w:after="0"/>
        <w:jc w:val="left"/>
        <w:rPr>
          <w:rFonts w:ascii="Times New Roman;serif" w:hAnsi="Times New Roman;serif"/>
          <w:b/>
          <w:sz w:val="20"/>
        </w:rPr>
      </w:pPr>
      <w:r>
        <w:rPr>
          <w:rFonts w:ascii="Times New Roman;serif" w:hAnsi="Times New Roman;serif"/>
          <w:b/>
          <w:sz w:val="20"/>
        </w:rPr>
        <w:t>Current Status of Phase 3 Clinical Trials</w:t>
      </w:r>
    </w:p>
    <w:p>
      <w:pPr>
        <w:pStyle w:val="TextBody"/>
        <w:spacing w:before="0" w:after="0"/>
        <w:jc w:val="left"/>
        <w:rPr>
          <w:rFonts w:ascii="Times New Roman;serif" w:hAnsi="Times New Roman;serif"/>
          <w:b/>
          <w:i/>
          <w:sz w:val="20"/>
        </w:rPr>
      </w:pPr>
      <w:r>
        <w:rPr>
          <w:rFonts w:ascii="Times New Roman;serif" w:hAnsi="Times New Roman;serif"/>
          <w:b/>
          <w:i/>
          <w:sz w:val="20"/>
        </w:rPr>
        <w:t>IMerge Phase 3 in Lower Risk MDS</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The trial has been extended to allow remaining patients to continue to receive treatment of either imetelstat or placebo. In addition, patients are being followed for survival and disease progression, which allows us to continue to assess the longer-term durability of transfusion independence, as well as survival, disease progression and safety. Further data and analyses from longer patient follow up is expected to be presented at future medical meetings.</w:t>
      </w:r>
    </w:p>
    <w:p>
      <w:pPr>
        <w:pStyle w:val="TextBody"/>
        <w:spacing w:before="0" w:after="0"/>
        <w:jc w:val="left"/>
        <w:rPr>
          <w:rFonts w:ascii="Times New Roman;serif" w:hAnsi="Times New Roman;serif"/>
          <w:b/>
          <w:i/>
          <w:sz w:val="20"/>
        </w:rPr>
      </w:pPr>
      <w:r>
        <w:rPr>
          <w:rFonts w:ascii="Times New Roman;serif" w:hAnsi="Times New Roman;serif"/>
          <w:b/>
          <w:i/>
          <w:sz w:val="20"/>
        </w:rPr>
        <w:t>IMpact MF in Relapsed/Refractory MF</w:t>
      </w:r>
    </w:p>
    <w:p>
      <w:pPr>
        <w:pStyle w:val="TextBody"/>
        <w:spacing w:before="0" w:after="0"/>
        <w:jc w:val="left"/>
        <w:rPr>
          <w:rFonts w:ascii="Times New Roman" w:hAnsi="Times New Roman"/>
          <w:sz w:val="20"/>
        </w:rPr>
      </w:pPr>
      <w:r>
        <w:rPr>
          <w:rFonts w:ascii="Times New Roman;serif" w:hAnsi="Times New Roman;serif"/>
          <w:b w:val="false"/>
          <w:sz w:val="20"/>
        </w:rPr>
        <w:t>As of March 31, 2023, 150 of 176 selected sites were open for patient enrollment. Additional site selection and site openings are ongoing. Several recruitment initiatives are being conducted, as well as more engagement with investigators through on site visits or interactions at medical meetings.</w:t>
      </w:r>
      <w:r>
        <w:rPr>
          <w:rFonts w:ascii="Times New Roman" w:hAnsi="Times New Roman"/>
          <w:sz w:val="20"/>
        </w:rPr>
        <w:t xml:space="preserve"> </w:t>
      </w:r>
    </w:p>
    <w:p>
      <w:pPr>
        <w:pStyle w:val="TextBody"/>
        <w:spacing w:before="360" w:after="0"/>
        <w:jc w:val="left"/>
        <w:rPr>
          <w:rFonts w:ascii="Times New Roman;serif" w:hAnsi="Times New Roman;serif"/>
          <w:b/>
          <w:sz w:val="20"/>
        </w:rPr>
      </w:pPr>
      <w:r>
        <w:rPr>
          <w:rFonts w:ascii="Times New Roman;serif" w:hAnsi="Times New Roman;serif"/>
          <w:b/>
          <w:sz w:val="20"/>
        </w:rPr>
        <w:t>Financial Overview</w:t>
      </w:r>
    </w:p>
    <w:p>
      <w:pPr>
        <w:pStyle w:val="TextBody"/>
        <w:spacing w:before="120" w:after="0"/>
        <w:jc w:val="left"/>
        <w:rPr>
          <w:rFonts w:ascii="Times New Roman" w:hAnsi="Times New Roman"/>
          <w:sz w:val="20"/>
        </w:rPr>
      </w:pPr>
      <w:r>
        <w:rPr>
          <w:rFonts w:ascii="Times New Roman;serif" w:hAnsi="Times New Roman;serif"/>
          <w:b w:val="false"/>
          <w:sz w:val="20"/>
        </w:rPr>
        <w:t>Since our inception, we have primarily financed our operations through the sale of equity securities, interest income on our marketable securities and payments we received under our collaborative and licensing arrangements. As of March 31, 2023, we had approximately $409.2 million in cash, cash equivalents, restricted cash and marketable securities and a long-term principal debt balance of $50.0 million.</w:t>
      </w:r>
      <w:r>
        <w:rPr>
          <w:rFonts w:ascii="Times New Roman" w:hAnsi="Times New Roman"/>
          <w:sz w:val="20"/>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Substantially all of our revenues to date have been payments under collaboration agreements, and milestones, royalties and other revenues from our licensing arrangements. We currently have no source of product revenue. While we reported a small profit for the year ended December 31, 2015 due to our recognition of revenue in connection with the upfront payment under a former imetelstat collaboration agreement, until 2015 we had never been profitable, and we have not reported any profit since. We have incurred significant net losses since our inception in 1990, resulting principally from costs incurred in connection with our research and development activities and from general and administrative costs associated with our operations. As of March 31, 2023, we had an accumulated deficit of approximately $1.5 billion.</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The significance of future losses, future revenues and any potential future profitability will depend primarily on the clinical and commercial success of imetelstat, our sole product candidate. In any event, imetelstat may require significant additional clinical testing prior to possible regulatory approval in the U.S. and other countries. We expect research and development expenses, general and administrative expenses, and losses to substantially increase in future periods as we continue to support the imetelstat development program, including the conduct and completion of IMpactMF, IMproveMF and IMpress, as well as the potential U.S. commercialization of imetelstat lower risk MDS.</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Based on our current operating plan and our expectations regarding the timing of the submission and potential acceptance and approval of our planned NDA by the FDA for imetelstat in lower risk MDS and the potential commercialization in the U.S. for the use of imetelstat in adult patients with lower risk MDS, we believe that our existing cash, cash equivalents, restricted cash and current and noncurrent marketable securities will be sufficient to fund our projected operating requirements through the end of the third quarter of 2025, which includes potential U.S. commercial launch of imetelstat in lower risk MDS in the first half of 2024. In the absence of potential proceeds from exercises of currently outstanding warrants and potential drawdowns under the Loan Agreement, we will require substantial additional funding to further advance the imetelstat program, including through the completion of IMpactMF, IMproveMF and IMpress, as well as conducting the clinical, regulatory and potential commercialization activities necessary to potentially bring imetelstat to market in relapsed/refractory MF and any other future indications, and our need for additional funds may arise sooner than planned. We cannot predict with any certainty whether and to what extent the outstanding warrants will be exercised for cash, or the timing or availability of additional funds under the Loan Agreement, if at all.</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If approved for marketing by regulatory authorities outside of the U.S., we may seek potential commercialization partners for such territories. Until the FDA or similar international regulatory authorities approve imetelstat for marketing in lower risk MDS, if at all, we cannot begin commercialization.</w:t>
      </w:r>
    </w:p>
    <w:p>
      <w:pPr>
        <w:pStyle w:val="TextBody"/>
        <w:spacing w:before="360" w:after="0"/>
        <w:jc w:val="left"/>
        <w:rPr>
          <w:rFonts w:ascii="Times New Roman;serif" w:hAnsi="Times New Roman;serif"/>
          <w:b/>
          <w:sz w:val="20"/>
        </w:rPr>
      </w:pPr>
      <w:r>
        <w:rPr>
          <w:rFonts w:ascii="Times New Roman;serif" w:hAnsi="Times New Roman;serif"/>
          <w:b/>
          <w:sz w:val="20"/>
        </w:rPr>
        <w:t>Note on the COVID-19 Pandemic and Military Conflict Between Ukraine and Russia</w:t>
      </w:r>
    </w:p>
    <w:p>
      <w:pPr>
        <w:pStyle w:val="TextBody"/>
        <w:spacing w:before="120" w:after="0"/>
        <w:jc w:val="left"/>
        <w:rPr>
          <w:rFonts w:ascii="Times New Roman" w:hAnsi="Times New Roman"/>
          <w:sz w:val="20"/>
        </w:rPr>
      </w:pPr>
      <w:r>
        <w:rPr>
          <w:rFonts w:ascii="Times New Roman;serif" w:hAnsi="Times New Roman;serif"/>
          <w:b w:val="false"/>
          <w:sz w:val="20"/>
        </w:rPr>
        <w:t>The ongoing COVID-19 pandemic is having widespread, continually evolving, and unpredictable impacts on global societies, economies, financial markets, and business practices. We are closely monitoring the impact of the pandemic, the identification of new variants of the COVID-19 virus and related developments, and our focus remains on promoting employee health and safety while</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23</w:t>
      </w:r>
    </w:p>
    <w:p>
      <w:pPr>
        <w:pStyle w:val="HorizontalLine"/>
        <w:rPr/>
      </w:pPr>
      <w:r>
        <w:rPr/>
      </w:r>
    </w:p>
    <w:p>
      <w:pPr>
        <w:pStyle w:val="TextBody"/>
        <w:spacing w:before="0" w:after="0"/>
        <w:jc w:val="left"/>
        <w:rPr/>
      </w:pPr>
      <w:r>
        <w:rPr/>
        <w: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continuing to advance the development of imetelstat. For a discussion regarding the effect of the ongoing COVID-19 pandemic and the military conflict between Ukraine and Russia on our business and financial results, see the section entitled “Risk Factors” in Part II, Item 1A and Note 5 on Contingencies and Uncertainties – Risks Related to Global Economic Conditions, COVID-19 and the Military Conflict Between Ukraine and Russia in Notes to Condensed Consolidated Financial Statements of this quarterly report on Form 10-Q.</w:t>
      </w:r>
    </w:p>
    <w:p>
      <w:pPr>
        <w:pStyle w:val="TextBody"/>
        <w:spacing w:before="360" w:after="0"/>
        <w:jc w:val="left"/>
        <w:rPr>
          <w:rFonts w:ascii="Times New Roman;serif" w:hAnsi="Times New Roman;serif"/>
          <w:b/>
          <w:sz w:val="20"/>
        </w:rPr>
      </w:pPr>
      <w:r>
        <w:rPr>
          <w:rFonts w:ascii="Times New Roman;serif" w:hAnsi="Times New Roman;serif"/>
          <w:b/>
          <w:sz w:val="20"/>
        </w:rPr>
        <w:t>CRITICAL ACCOUNTING POLICIES AND ESTIMATES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There have been no significant changes in our critical accounting policies and estimates during the three months ended March 31, 2023, as compared to the critical accounting policies and estimates disclosed in our 2022 Form 10-K.</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Our condensed consolidated financial statements have been prepared in accordance with U.S. generally accepted accounting principles for interim financial information. The preparation of these financial statements requires management to make estimates and assumptions that affect the reported assets and liabilities and disclosure of contingent assets and liabilities as of the date of the financial statements and the reported amounts of revenues and expenses during the reporting period. Note 1 on Summary of Significant Accounting Policies in Notes to Condensed Consolidated Financial Statements of this quarterly report on Form 10-Q describes the significant accounting policies used in the preparation of the condensed consolidated financial statements.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Estimates and assumptions about future events and their effects cannot be determined with certainty. We base our estimates on historical experience and on various other assumptions believed to be applicable and reasonable under the circumstances. These estimates may change as new events occur, as additional information is obtained and as our operating environment changes. These changes historically have been minor and have been included in the condensed consolidated financial statements as soon as they became known. Based on a critical assessment of our accounting policies and the underlying judgments and uncertainties affecting the application of those policies, management believes that our condensed consolidated financial statements are fairly stated in accordance with accounting principles generally accepted in the United States, and present a meaningful presentation of our financial condition and results of operations.</w:t>
      </w:r>
    </w:p>
    <w:p>
      <w:pPr>
        <w:pStyle w:val="TextBody"/>
        <w:spacing w:before="360" w:after="0"/>
        <w:jc w:val="left"/>
        <w:rPr>
          <w:rFonts w:ascii="Times New Roman;serif" w:hAnsi="Times New Roman;serif"/>
          <w:b/>
          <w:sz w:val="20"/>
        </w:rPr>
      </w:pPr>
      <w:r>
        <w:rPr>
          <w:rFonts w:ascii="Times New Roman;serif" w:hAnsi="Times New Roman;serif"/>
          <w:b/>
          <w:sz w:val="20"/>
        </w:rPr>
        <w:t>RESULTS OF OPERATIONS</w:t>
      </w:r>
    </w:p>
    <w:p>
      <w:pPr>
        <w:pStyle w:val="TextBody"/>
        <w:spacing w:before="120" w:after="0"/>
        <w:jc w:val="left"/>
        <w:rPr>
          <w:rFonts w:ascii="Times New Roman" w:hAnsi="Times New Roman"/>
          <w:sz w:val="20"/>
        </w:rPr>
      </w:pPr>
      <w:r>
        <w:rPr>
          <w:rFonts w:ascii="Times New Roman;serif" w:hAnsi="Times New Roman;serif"/>
          <w:b w:val="false"/>
          <w:sz w:val="20"/>
        </w:rPr>
        <w:t>Our results of operations have fluctuated from period to period and may continue to fluctuate in the future. Results of operations for any period may be unrelated to results of operations for any other period. Thus, historical results should not be viewed as indicative of future operating results.</w:t>
      </w:r>
      <w:r>
        <w:rPr>
          <w:rFonts w:ascii="Times New Roman" w:hAnsi="Times New Roman"/>
          <w:sz w:val="20"/>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We are subject to risks common to companies in our industry and at our stage of development, including, but not limited to, risks inherent in research and development efforts, including the development, manufacture, regulatory approval for and commercialization of, imetelstat; uncertainty of non-clinical and clinical trial results or regulatory approvals or clearances; the future development of imetelstat by us, including any future efficacy or safety results that may cause the benefit-risk profile of imetelstat to become unacceptable; the uncertain and unpredictable drug research and discovery process; overcoming disruptions and/or delays due to the COVID-19 pandemic or geopolitical events, such as the current military conflict between Ukraine and Russia; our need for substantial additional capital; enforcement of our patent and proprietary rights; reliance upon our CROs, contract manufacturing organizations, or CMOs, consultants, licensees, investigators and other third parties; and potential competition. In order for imetelstat to be commercialized, we must conduct non-clinical tests and clinical trials to demonstrate the safety and efficacy of imetelstat, obtain regulatory approvals or clearances and enter into manufacturing, distribution and marketing arrangements, as well as obtain market acceptance. We do not expect to receive revenue based on sales of imetelstat for several years, if at all.</w:t>
      </w:r>
    </w:p>
    <w:p>
      <w:pPr>
        <w:pStyle w:val="TextBody"/>
        <w:spacing w:before="360" w:after="0"/>
        <w:jc w:val="left"/>
        <w:rPr>
          <w:rFonts w:ascii="Times New Roman;serif" w:hAnsi="Times New Roman;serif"/>
          <w:b/>
          <w:sz w:val="20"/>
        </w:rPr>
      </w:pPr>
      <w:r>
        <w:rPr>
          <w:rFonts w:ascii="Times New Roman;serif" w:hAnsi="Times New Roman;serif"/>
          <w:b/>
          <w:sz w:val="20"/>
        </w:rPr>
        <w:t>Revenues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 connection with the divestiture of Geron’s human embryonic stem cell assets, including intellectual property and proprietary technology, to Lineage Cell Therapeutics, Inc., or Lineage, (formerly BioTime, Inc. which acquired Asterias Biotherapeutics, Inc.) in 2013, we are entitled to receive royalties on sales from certain research or commercial products utilizing Geron’s divested intellectual property.</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We recognized royalty revenues of $21,000 for the three months ended March 31, 2023, compared to $123,000 for the same period in 2022. Royalty revenues in 2023 and 2022 primarily reflect estimated royalties from sales of cell-based research products from our divested stem cell assets.</w:t>
      </w:r>
    </w:p>
    <w:p>
      <w:pPr>
        <w:pStyle w:val="TextBody"/>
        <w:spacing w:before="240" w:after="0"/>
        <w:jc w:val="left"/>
        <w:rPr>
          <w:rFonts w:ascii="Times New Roman" w:hAnsi="Times New Roman"/>
          <w:sz w:val="20"/>
        </w:rPr>
      </w:pPr>
      <w:r>
        <w:rPr>
          <w:rFonts w:ascii="Times New Roman;serif" w:hAnsi="Times New Roman;serif"/>
          <w:b w:val="false"/>
          <w:sz w:val="20"/>
        </w:rPr>
        <w:t>Future license fee and royalty revenues are dependent on additional agreements being signed, if any, our current license agreement with Lineage being maintained and the underlying patent rights for the license remaining active. Historical revenues may not be predictive of future revenues. We expect royalty revenues in 2023 to be comparable to 2022 from sales of cell-based research products from our divested stem cell assets.</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24</w:t>
      </w:r>
    </w:p>
    <w:p>
      <w:pPr>
        <w:pStyle w:val="HorizontalLine"/>
        <w:rPr/>
      </w:pPr>
      <w:r>
        <w:rPr/>
      </w:r>
    </w:p>
    <w:p>
      <w:pPr>
        <w:pStyle w:val="TextBody"/>
        <w:spacing w:before="0" w:after="0"/>
        <w:jc w:val="left"/>
        <w:rPr/>
      </w:pPr>
      <w:r>
        <w:rPr/>
        <w:t> </w:t>
      </w:r>
    </w:p>
    <w:p>
      <w:pPr>
        <w:pStyle w:val="TextBody"/>
        <w:spacing w:before="360" w:after="0"/>
        <w:jc w:val="left"/>
        <w:rPr>
          <w:rFonts w:ascii="Times New Roman" w:hAnsi="Times New Roman"/>
          <w:sz w:val="20"/>
        </w:rPr>
      </w:pPr>
      <w:r>
        <w:rPr>
          <w:rFonts w:ascii="Times New Roman;serif" w:hAnsi="Times New Roman;serif"/>
          <w:b/>
          <w:sz w:val="20"/>
        </w:rPr>
        <w:t>Research and Development Expenses</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During the three months ended March 31, 2023 and 2022, our imetelstat program and our research discovery program related to potential next generation telomerase inhibitors were the only research and development programs we supported. For these research and development programs, we incur direct external, personnel-related and other research and development costs. For the three months ended March 31, 2023 and 2022, direct external expenses included costs for our CROs, consultants and other clinical-related vendors, as well as expenses for contract manufacturing and quality activities. Personnel-related expenses primarily consist of salaries and wages, stock-based compensation, payroll taxes and benefits for our employees involved with ongoing research and development efforts. Other research and development expenses primarily consist of research-related overhead associated with allocated expenses for rent and maintenance of facilities and other supplies.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Research and development expenses for the three months ended March 31, 2023 and 2022 were as follows:</w:t>
      </w:r>
    </w:p>
    <w:tbl>
      <w:tblPr>
        <w:tblW w:w="6231" w:type="dxa"/>
        <w:jc w:val="left"/>
        <w:tblInd w:w="0" w:type="dxa"/>
        <w:tblCellMar>
          <w:top w:w="28" w:type="dxa"/>
          <w:left w:w="28" w:type="dxa"/>
          <w:bottom w:w="28" w:type="dxa"/>
          <w:right w:w="28" w:type="dxa"/>
        </w:tblCellMar>
      </w:tblPr>
      <w:tblGrid>
        <w:gridCol w:w="3496"/>
        <w:gridCol w:w="146"/>
        <w:gridCol w:w="245"/>
        <w:gridCol w:w="785"/>
        <w:gridCol w:w="169"/>
        <w:gridCol w:w="169"/>
        <w:gridCol w:w="245"/>
        <w:gridCol w:w="785"/>
        <w:gridCol w:w="191"/>
      </w:tblGrid>
      <w:tr>
        <w:trPr/>
        <w:tc>
          <w:tcPr>
            <w:tcW w:w="349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785"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785"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349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98"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4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(In thousands)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103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49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398" w:type="dxa"/>
            <w:gridSpan w:val="6"/>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(Unaudited)</w:t>
            </w:r>
          </w:p>
        </w:tc>
        <w:tc>
          <w:tcPr>
            <w:tcW w:w="191" w:type="dxa"/>
            <w:tcBorders/>
            <w:shd w:fill="auto" w:val="clear"/>
            <w:vAlign w:val="center"/>
          </w:tcPr>
          <w:p>
            <w:pPr>
              <w:pStyle w:val="TableContents"/>
              <w:spacing w:before="0" w:after="0"/>
              <w:ind w:left="0" w:right="0" w:hanging="0"/>
              <w:jc w:val="center"/>
              <w:rPr/>
            </w:pPr>
            <w:r>
              <w:rPr/>
              <w:t> </w:t>
            </w:r>
          </w:p>
        </w:tc>
      </w:tr>
      <w:tr>
        <w:trPr/>
        <w:tc>
          <w:tcPr>
            <w:tcW w:w="34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Direct external expenses</w:t>
            </w:r>
          </w:p>
        </w:tc>
        <w:tc>
          <w:tcPr>
            <w:tcW w:w="146" w:type="dxa"/>
            <w:tcBorders/>
            <w:shd w:fill="auto" w:val="clear"/>
            <w:vAlign w:val="center"/>
          </w:tcPr>
          <w:p>
            <w:pPr>
              <w:pStyle w:val="TableContents"/>
              <w:spacing w:before="0" w:after="0"/>
              <w:ind w:left="0" w:right="0" w:hanging="0"/>
              <w:jc w:val="left"/>
              <w:rPr/>
            </w:pPr>
            <w:r>
              <w:rPr/>
              <w:t> </w:t>
            </w:r>
          </w:p>
        </w:tc>
        <w:tc>
          <w:tcPr>
            <w:tcW w:w="24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17,764</w:t>
            </w:r>
          </w:p>
        </w:tc>
        <w:tc>
          <w:tcPr>
            <w:tcW w:w="169" w:type="dxa"/>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24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15,107</w:t>
            </w:r>
          </w:p>
        </w:tc>
        <w:tc>
          <w:tcPr>
            <w:tcW w:w="191" w:type="dxa"/>
            <w:tcBorders/>
            <w:shd w:fill="auto" w:val="clear"/>
            <w:vAlign w:val="center"/>
          </w:tcPr>
          <w:p>
            <w:pPr>
              <w:pStyle w:val="TableContents"/>
              <w:spacing w:before="0" w:after="0"/>
              <w:ind w:left="0" w:right="0" w:hanging="0"/>
              <w:jc w:val="left"/>
              <w:rPr/>
            </w:pPr>
            <w:r>
              <w:rPr/>
              <w:t> </w:t>
            </w:r>
          </w:p>
        </w:tc>
      </w:tr>
      <w:tr>
        <w:trPr/>
        <w:tc>
          <w:tcPr>
            <w:tcW w:w="34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Personnel-related expenses</w:t>
            </w:r>
          </w:p>
        </w:tc>
        <w:tc>
          <w:tcPr>
            <w:tcW w:w="146" w:type="dxa"/>
            <w:tcBorders/>
            <w:shd w:fill="auto" w:val="clear"/>
            <w:vAlign w:val="center"/>
          </w:tcPr>
          <w:p>
            <w:pPr>
              <w:pStyle w:val="TableContents"/>
              <w:spacing w:before="0" w:after="0"/>
              <w:ind w:left="0" w:right="0" w:hanging="0"/>
              <w:jc w:val="left"/>
              <w:rPr/>
            </w:pPr>
            <w:r>
              <w:rPr/>
              <w:t> </w:t>
            </w:r>
          </w:p>
        </w:tc>
        <w:tc>
          <w:tcPr>
            <w:tcW w:w="245" w:type="dxa"/>
            <w:tcBorders/>
            <w:shd w:fill="auto" w:val="clear"/>
            <w:vAlign w:val="center"/>
          </w:tcPr>
          <w:p>
            <w:pPr>
              <w:pStyle w:val="TableContents"/>
              <w:spacing w:before="0" w:after="0"/>
              <w:ind w:left="0" w:right="0" w:hanging="0"/>
              <w:jc w:val="left"/>
              <w:rPr/>
            </w:pPr>
            <w:r>
              <w:rPr/>
              <w:t> </w:t>
            </w:r>
          </w:p>
        </w:tc>
        <w:tc>
          <w:tcPr>
            <w:tcW w:w="7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7,699</w:t>
            </w:r>
          </w:p>
        </w:tc>
        <w:tc>
          <w:tcPr>
            <w:tcW w:w="169" w:type="dxa"/>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245" w:type="dxa"/>
            <w:tcBorders/>
            <w:shd w:fill="auto" w:val="clear"/>
            <w:vAlign w:val="center"/>
          </w:tcPr>
          <w:p>
            <w:pPr>
              <w:pStyle w:val="TableContents"/>
              <w:spacing w:before="0" w:after="0"/>
              <w:ind w:left="0" w:right="0" w:hanging="0"/>
              <w:jc w:val="left"/>
              <w:rPr/>
            </w:pPr>
            <w:r>
              <w:rPr/>
              <w:t> </w:t>
            </w:r>
          </w:p>
        </w:tc>
        <w:tc>
          <w:tcPr>
            <w:tcW w:w="7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5,821</w:t>
            </w:r>
          </w:p>
        </w:tc>
        <w:tc>
          <w:tcPr>
            <w:tcW w:w="191" w:type="dxa"/>
            <w:tcBorders/>
            <w:shd w:fill="auto" w:val="clear"/>
            <w:vAlign w:val="center"/>
          </w:tcPr>
          <w:p>
            <w:pPr>
              <w:pStyle w:val="TableContents"/>
              <w:spacing w:before="0" w:after="0"/>
              <w:ind w:left="0" w:right="0" w:hanging="0"/>
              <w:jc w:val="left"/>
              <w:rPr/>
            </w:pPr>
            <w:r>
              <w:rPr/>
              <w:t> </w:t>
            </w:r>
          </w:p>
        </w:tc>
      </w:tr>
      <w:tr>
        <w:trPr/>
        <w:tc>
          <w:tcPr>
            <w:tcW w:w="34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All other expenses</w:t>
            </w:r>
          </w:p>
        </w:tc>
        <w:tc>
          <w:tcPr>
            <w:tcW w:w="146" w:type="dxa"/>
            <w:tcBorders/>
            <w:shd w:fill="auto" w:val="clear"/>
            <w:vAlign w:val="center"/>
          </w:tcPr>
          <w:p>
            <w:pPr>
              <w:pStyle w:val="TableContents"/>
              <w:spacing w:before="0" w:after="0"/>
              <w:ind w:left="0" w:right="0" w:hanging="0"/>
              <w:jc w:val="left"/>
              <w:rPr/>
            </w:pPr>
            <w:r>
              <w:rPr/>
              <w:t> </w:t>
            </w:r>
          </w:p>
        </w:tc>
        <w:tc>
          <w:tcPr>
            <w:tcW w:w="24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1,756</w:t>
            </w:r>
          </w:p>
        </w:tc>
        <w:tc>
          <w:tcPr>
            <w:tcW w:w="1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24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1,171</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4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research and development expenses</w:t>
            </w:r>
          </w:p>
        </w:tc>
        <w:tc>
          <w:tcPr>
            <w:tcW w:w="146" w:type="dxa"/>
            <w:tcBorders/>
            <w:shd w:fill="auto" w:val="clear"/>
            <w:vAlign w:val="center"/>
          </w:tcPr>
          <w:p>
            <w:pPr>
              <w:pStyle w:val="TableContents"/>
              <w:spacing w:before="0" w:after="0"/>
              <w:ind w:left="0" w:right="0" w:hanging="0"/>
              <w:jc w:val="left"/>
              <w:rPr/>
            </w:pPr>
            <w:r>
              <w:rPr/>
              <w:t> </w:t>
            </w:r>
          </w:p>
        </w:tc>
        <w:tc>
          <w:tcPr>
            <w:tcW w:w="24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27,219</w:t>
            </w:r>
          </w:p>
        </w:tc>
        <w:tc>
          <w:tcPr>
            <w:tcW w:w="16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24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22,099</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240" w:after="0"/>
        <w:jc w:val="left"/>
        <w:rPr>
          <w:rFonts w:ascii="Times New Roman;serif" w:hAnsi="Times New Roman;serif"/>
          <w:b w:val="false"/>
          <w:sz w:val="20"/>
        </w:rPr>
      </w:pPr>
      <w:r>
        <w:rPr>
          <w:rFonts w:ascii="Times New Roman;serif" w:hAnsi="Times New Roman;serif"/>
          <w:b w:val="false"/>
          <w:sz w:val="20"/>
        </w:rPr>
        <w:t>The increase in research and development expenses for the three months ended March 31, 2023, compared to the same period in 2022, primarily reflects the net result of increased personnel-related expenses for additional headcount and higher clinical trial costs related to supporting IMerge Phase 3 and IMpactMF; partially offset by decreased manufacturing costs due to the timing of imetelstat manufacturing batches. We expect research and development expenses to increase in the future as we conduct and complete ongoing clinical trials of imetelstat. At this time, we cannot provide reliable estimates of how much time or investment will be necessary to advance imetelstat toward commercialization. For a more complete discussion of the risks and uncertainties associated with the development of imetelstat, see the sub</w:t>
        <w:noBreakHyphen/>
        <w:t>sections entitled “Risks Related to the Development of Imetelstat” and “Risks Related to Regulatory Compliance Matters and Commercialization of Imetelstat” in Part II, Item 1A entitled “Risk Factors” and elsewhere in this quarterly report on Form 10</w:t>
        <w:noBreakHyphen/>
        <w:t>Q.</w:t>
      </w:r>
    </w:p>
    <w:p>
      <w:pPr>
        <w:pStyle w:val="TextBody"/>
        <w:spacing w:before="360" w:after="0"/>
        <w:jc w:val="left"/>
        <w:rPr>
          <w:rFonts w:ascii="Times New Roman" w:hAnsi="Times New Roman"/>
          <w:sz w:val="20"/>
        </w:rPr>
      </w:pPr>
      <w:r>
        <w:rPr>
          <w:rFonts w:ascii="Times New Roman;serif" w:hAnsi="Times New Roman;serif"/>
          <w:b/>
          <w:sz w:val="20"/>
        </w:rPr>
        <w:t>General and Administrative Expenses</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General and administrative expenses were $12.9 million for the three months ended March 31, 2023, compared to $6.7 million for the same period in 2022. The increase in general and administrative expenses for the three months ended March 31, 2023, compared to the same period in 2022, primarily reflects new costs for commercial preparatory activities of approximately $1.7 million; and higher personnel-related expenses of approximately $3.5 million for additional headcount. We expect general and administrative expenses to increase in the future as the imetelstat program matures and potential stage-gated commercialization activities continue.</w:t>
      </w:r>
    </w:p>
    <w:p>
      <w:pPr>
        <w:pStyle w:val="TextBody"/>
        <w:spacing w:before="360" w:after="0"/>
        <w:jc w:val="left"/>
        <w:rPr>
          <w:rFonts w:ascii="Times New Roman;serif" w:hAnsi="Times New Roman;serif"/>
          <w:b/>
          <w:sz w:val="20"/>
        </w:rPr>
      </w:pPr>
      <w:r>
        <w:rPr>
          <w:rFonts w:ascii="Times New Roman;serif" w:hAnsi="Times New Roman;serif"/>
          <w:b/>
          <w:sz w:val="20"/>
        </w:rPr>
        <w:t>Interest Income</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Interest income was $3.9 million for the three months ended March 31, 2023, compared to $112,000 for the same period in 2022. The increase in interest income for the three months ended March 31, 2023, compared to the same period in 2022, primarily reflects a larger marketable securities portfolio with the receipt of net cash proceeds from the underwritten public offering completed in January 2023, as well as higher yields from recent marketable securities purchases. Interest earned in future periods will depend on the size of our marketable securities portfolio and prevailing interest rates. See Note 6 on Stockholders' Equity in Notes to Condensed Consolidated Financial Statements of this quarterly report on Form 10-Q for additional information about the underwritten public offering completed in January 2023.</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25</w:t>
      </w:r>
    </w:p>
    <w:p>
      <w:pPr>
        <w:pStyle w:val="HorizontalLine"/>
        <w:rPr/>
      </w:pPr>
      <w:r>
        <w:rPr/>
      </w:r>
    </w:p>
    <w:p>
      <w:pPr>
        <w:pStyle w:val="TextBody"/>
        <w:spacing w:before="0" w:after="0"/>
        <w:jc w:val="left"/>
        <w:rPr/>
      </w:pPr>
      <w:r>
        <w:rPr/>
        <w:t> </w:t>
      </w:r>
    </w:p>
    <w:p>
      <w:pPr>
        <w:pStyle w:val="TextBody"/>
        <w:spacing w:before="360" w:after="0"/>
        <w:jc w:val="left"/>
        <w:rPr>
          <w:rFonts w:ascii="Times New Roman;serif" w:hAnsi="Times New Roman;serif"/>
          <w:b/>
          <w:sz w:val="20"/>
        </w:rPr>
      </w:pPr>
      <w:r>
        <w:rPr>
          <w:rFonts w:ascii="Times New Roman;serif" w:hAnsi="Times New Roman;serif"/>
          <w:b/>
          <w:sz w:val="20"/>
        </w:rPr>
        <w:t>Interest Expense</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Interest expense was $1.9 million for the three months ended March 31, 2023, compared to $1.5 million for the same period in 2022. The increase in interest expense for the three months ended March 31, 2023, compared to the same period in 2022, primarily reflects rising interest rates. Currently, we have $50.0 million in principal debt outstanding. Interest expense reflects interest owed under the Loan Agreement, as well as amortization of associated debt issuance costs and debt discounts using the effective interest method and accrual for an end of term charge. See Note 4 on Debt in Notes to Condensed Consolidated Financial Statements of this quarterly report on Form 10-Q for additional information about the Loan Agreement.</w:t>
      </w:r>
    </w:p>
    <w:p>
      <w:pPr>
        <w:pStyle w:val="TextBody"/>
        <w:spacing w:before="360" w:after="0"/>
        <w:jc w:val="left"/>
        <w:rPr>
          <w:rFonts w:ascii="Times New Roman;serif" w:hAnsi="Times New Roman;serif"/>
          <w:b/>
          <w:sz w:val="20"/>
        </w:rPr>
      </w:pPr>
      <w:r>
        <w:rPr>
          <w:rFonts w:ascii="Times New Roman;serif" w:hAnsi="Times New Roman;serif"/>
          <w:b/>
          <w:sz w:val="20"/>
        </w:rPr>
        <w:t>Other Income and (Expense), Net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Net other income was $39,000 for the three months ended March 31, 2023 and net other expense was $56,000 for the three months ended March 31, 2022. Net other income and (expense) primarily reflects bank charges related to our cash operating accounts and marketable securities portfolio and foreign currency transaction adjustments.</w:t>
      </w:r>
    </w:p>
    <w:p>
      <w:pPr>
        <w:pStyle w:val="TextBody"/>
        <w:spacing w:before="360" w:after="0"/>
        <w:jc w:val="left"/>
        <w:rPr>
          <w:rFonts w:ascii="Times New Roman;serif" w:hAnsi="Times New Roman;serif"/>
          <w:b/>
          <w:sz w:val="20"/>
        </w:rPr>
      </w:pPr>
      <w:r>
        <w:rPr>
          <w:rFonts w:ascii="Times New Roman;serif" w:hAnsi="Times New Roman;serif"/>
          <w:b/>
          <w:sz w:val="20"/>
        </w:rPr>
        <w:t>LIQUIDITY AND CAPITAL RESOURCES</w:t>
      </w:r>
    </w:p>
    <w:p>
      <w:pPr>
        <w:pStyle w:val="TextBody"/>
        <w:spacing w:before="120" w:after="0"/>
        <w:jc w:val="left"/>
        <w:rPr>
          <w:rFonts w:ascii="Times New Roman" w:hAnsi="Times New Roman"/>
          <w:sz w:val="20"/>
        </w:rPr>
      </w:pPr>
      <w:r>
        <w:rPr>
          <w:rFonts w:ascii="Times New Roman;serif" w:hAnsi="Times New Roman;serif"/>
          <w:b w:val="false"/>
          <w:sz w:val="20"/>
        </w:rPr>
        <w:t>As of March 31, 2023, we had cash, restricted cash, cash equivalents, and marketable securities of $409.2 million, compared to $173.1 million at December 31, 2022. The increase in cash, restricted cash, cash equivalents and marketable securities during the three months ended March 31, 2023 was primarily the net result of the receipt of net cash proceeds of $213.3 million from our underwritten public offering completed in January 2023 and receipt of cash proceeds from exercise of outstanding warrants of $59.8 million, partially offset by cash being used for operations.</w:t>
      </w:r>
      <w:r>
        <w:rPr>
          <w:rFonts w:ascii="Times New Roman" w:hAnsi="Times New Roman"/>
          <w:sz w:val="20"/>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On January 10, 2023, we completed an underwritten public offering of 68,007,741 shares of our common stock and a pre-funded warrant to purchase 25,000,000 shares of our common stock, or the 2023 pre-funded warrant. The net cash proceeds from this offering are $213.3 million, after deducting the underwriting discount and other offering expenses paid by us, and excludes any future proceeds from the exercise of the 2023 pre-funded warrant, which has not been exercised. See Note 6 on Stockholders’ Equity in Notes to Condensed Consolidated Financial Statements of this quarterly report on Form 10-Q for additional information about the underwritten public offering completed in January 2023.</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From January 1, 2023 through March 31, 2023, we have received $46.7 million in cash proceeds from the exercise of the 2020 purchase warrants, representing 35,935,576 shares of our common stock. From January 1, 2023 through March 31, 2023, we have received $13.1 million in cash proceeds from the exercise of the 2022 purchase warrants, representing 9,047,617 shares of our common stock.</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As of March 31, 2023, we had a long-term principal debt balance of $50.0 million under the Loan Agreement with Hercules and SVB. In June 2022, we entered into a second amendment to the Loan Agreement with Hercules and SVB. Under the second amendment, the aggregate principal amount available to us increased from $75.0 million to $125.0 million. As of March 31, 2023, a total of $55.0 million is available to be drawn in a series of tranches under the Loan Agreement, subject to certain terms and conditions. Of this amount, $30.0 million is available subject to our achievement of certain clinical and regulatory milestones and satisfaction of certain capitalization and other requirements, and the remaining $25.0 million is available subject to approval by an investment committee comprised of Hercules and SVB (First-Citizens Bank &amp; Trust Company as of March 27, 2023). See Note 4 on Debt in Notes to Condensed Consolidated Financial Statements of this quarterly report on Form 10-Q for additional information on the second amendment.</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We have an investment policy to invest our cash in liquid, investment grade securities, such as interest-bearing money market funds, certificates of deposit, U.S. Treasury securities, municipal securities, government and agency securities, commercial paper and corporate notes. Our investment portfolio does not contain securities with exposure to sub-prime mortgages, collateralized debt obligations, asset-backed securities or auction rate securities and, to date, we have not recognized any impairment charges on our marketable securities or any significant changes in aggregate fair value that would impact our cash resources or liquidity. To date, we have not experienced lack of access to our invested cash and cash equivalents; however, access to our invested cash and cash equivalents may be impacted by adverse conditions in the financial and credit markets.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On September 4, 2020, we entered into an At Market Issuance Sales Agreement, or the 2020 Sales Agreement, with B. Riley Securities, Inc., or B. Riley Securities, pursuant to which we may elect to issue and sell shares of our common stock having an aggregate offering price of up to $100.0 million in such quantities and on such minimum price terms as we set from time to time through B. Riley Securities as our sales agent. We pay B. Riley Securities an aggregate commission rate equal to up to 3.0% of the gross proceeds of the sales price per share for common stock sold through B. Riley Securities under the 2020 Sales Agreement. We did not sell any shares of our common stock pursuant to the 2020 Sales Agreement during the three months ended March 31, 2023. Approximately $79.1 million of our common stock remained available for issuance under the 2020 Sales Agreement as of March 31, 2023. The 2020 Sales Agreement will expire upon the earlier of: (a) the sale of all common stock subject to the 2020 Sales Agreement, or (b) September 4, 2023.</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26</w:t>
      </w:r>
    </w:p>
    <w:p>
      <w:pPr>
        <w:pStyle w:val="HorizontalLine"/>
        <w:rPr/>
      </w:pPr>
      <w:r>
        <w:rPr/>
      </w:r>
    </w:p>
    <w:p>
      <w:pPr>
        <w:pStyle w:val="TextBody"/>
        <w:spacing w:before="0" w:after="0"/>
        <w:jc w:val="left"/>
        <w:rPr/>
      </w:pPr>
      <w:r>
        <w:rPr/>
        <w:t> </w:t>
      </w:r>
    </w:p>
    <w:p>
      <w:pPr>
        <w:pStyle w:val="TextBody"/>
        <w:spacing w:before="360" w:after="0"/>
        <w:jc w:val="left"/>
        <w:rPr>
          <w:rFonts w:ascii="Times New Roman" w:hAnsi="Times New Roman"/>
          <w:sz w:val="20"/>
        </w:rPr>
      </w:pPr>
      <w:r>
        <w:rPr>
          <w:rFonts w:ascii="Times New Roman;serif" w:hAnsi="Times New Roman;serif"/>
          <w:b/>
          <w:sz w:val="20"/>
        </w:rPr>
        <w:t>Financing Strategy</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may, from time to time, consider additional funding through a combination of new collaborative arrangements, strategic alliances, and additional equity and debt financings or from other sources. We will continue to manage our capital structure and consider all financing opportunities, whenever they may occur, that could strengthen our long-term liquidity profile. Any such capital transactions may or may not be similar to transactions in which we have engaged in the past. There can be no assurance that any such financing opportunities will be available on acceptable terms, if at all.</w:t>
      </w:r>
    </w:p>
    <w:p>
      <w:pPr>
        <w:pStyle w:val="TextBody"/>
        <w:spacing w:before="360" w:after="0"/>
        <w:jc w:val="left"/>
        <w:rPr>
          <w:rFonts w:ascii="Times New Roman;serif" w:hAnsi="Times New Roman;serif"/>
          <w:b/>
          <w:sz w:val="20"/>
        </w:rPr>
      </w:pPr>
      <w:r>
        <w:rPr>
          <w:rFonts w:ascii="Times New Roman;serif" w:hAnsi="Times New Roman;serif"/>
          <w:b/>
          <w:sz w:val="20"/>
        </w:rPr>
        <w:t>Future Funding Requirements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Based on our current operating plan and our expectations regarding the timing of the submission and potential acceptance and approval of our planned NDA by the FDA for imetelstat in lower risk MDS and the potential commercialization in the U.S. for the use of imetelstat in adult patients with lower risk MDS, we believe that our existing cash, cash equivalents, restricted cash and current and noncurrent marketable securities will be sufficient to fund our projected operating requirements through the end of the third quarter of 2025, which includes potential U.S. commercial launch of imetelstat in lower risk MDS in the first half of 2024. In the absence of potential proceeds from exercises of currently outstanding warrants and potential drawdowns under the Loan Agreement, we will require substantial additional funding to further advance the imetelstat program, including through the completion of IMpactMF, IMproveMF and IMpress, as well as conducting the clinical, regulatory and potential commercialization activities necessary to potentially bring imetelstat to market in relapsed/refractory MF and any other future indications, and our need for additional funds may arise sooner than planned. We cannot predict with any certainty whether and to what extent the outstanding warrants will be exercised for cash, or the timing or availability of additional funds under the Loan Agreement, if at all.</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In addition, our ability to commercialize imetelstat in the U.S., if regulatory approval is granted, depends on us being able to establish sales and marketing capabilities which we may be unable to do in a timely manner or at all.</w:t>
        <w:br/>
      </w:r>
      <w:r>
        <w:rPr>
          <w:rFonts w:ascii="Times New Roman" w:hAnsi="Times New Roman"/>
          <w:sz w:val="20"/>
        </w:rPr>
        <w:t> </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Because the outcome of any clinical activities and/or regulatory approval process is highly uncertain, we cannot reasonably estimate whether any development activities we may undertake will succeed, whether we will be able to commercialize imetelstat, and we may never recoup our investment in any imetelstat development, which would adversely affect our financial condition and our business and business prospects, and might cause us to cease operations. In addition, our plans and timing expectations could be further delayed or interrupted by macroeconomic conditions, such as if COVID-19 or pandemic conditions worsen, creating further limitations on our clinical trial or commercial preparatory activities, or if U.S. and/or international banking system fails to stabilize in light of recent and potential future bank failures, or could be disrupted by civil or political unrest or military conflicts around the world, such as the current military conflict between Ukraine and Russia. Further, our future capital requirements are difficult to forecast and will depend on many factors, including:</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accuracy of the assumptions underlying our estimates for our capital needs;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scope, progress, timing, magnitude and costs of clinical development, manufacturing and potential commercialization of imetelstat, including the number of indications being pursued, subject to clearances and approvals by the FDA and similar international regulatory authorities;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scope, progress, duration, results and costs of current clinical trials, including IMerge Phase 3, IMpactMF, IMproveMF and IMpress, and any potential future clinical trials of imetelstat, as well as non-clinical studies and assessments of imetelstat;</w:t>
      </w:r>
    </w:p>
    <w:p>
      <w:pPr>
        <w:pStyle w:val="TextBody"/>
        <w:spacing w:before="120" w:after="0"/>
        <w:jc w:val="left"/>
        <w:rPr/>
      </w:pPr>
      <w:r>
        <w:rPr/>
        <w:t>•</w:t>
      </w:r>
    </w:p>
    <w:p>
      <w:pPr>
        <w:pStyle w:val="TextBody"/>
        <w:spacing w:before="120" w:after="0"/>
        <w:jc w:val="left"/>
        <w:rPr/>
      </w:pPr>
      <w:r>
        <w:rPr>
          <w:rFonts w:ascii="Times New Roman;serif" w:hAnsi="Times New Roman;serif"/>
          <w:b w:val="false"/>
          <w:sz w:val="20"/>
        </w:rPr>
        <w:t>delays or disruptions in opening sites, screening and enrolling patients or treating and following patients,</w:t>
      </w:r>
      <w:r>
        <w:rPr/>
        <w:t xml:space="preserve"> </w:t>
      </w:r>
      <w:r>
        <w:rPr>
          <w:rFonts w:ascii="Times New Roman;serif" w:hAnsi="Times New Roman;serif"/>
          <w:b w:val="false"/>
          <w:sz w:val="20"/>
        </w:rPr>
        <w:t>in IMpactMF, IMproveMF, IMpress, or any potential future clinical trials of imetelstat, whether as a result of the effects of macroeconomic conditions like the COVID-19 pandemic, or civil or political unrest or military conflicts around the world, such as the military conflict between Ukraine and Russia;</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costs, timing and outcomes of regulatory reviews or other regulatory actions related to imetelstat, such as obtaining and maintaining regulatory clearances and approvals to continue clinical development of imetelstat in current and potential future clinical trials, as well as to commence potential commercialization of imetelstat in the U.S. and in other countries;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costs of preparing, filing and prosecuting patent applications and maintaining, enforcing and defending intellectual property-related claims;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costs of manufacturing imetelstat, including our ability to achieve any meaningful reduction in manufacturing costs;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costs of multiple third-party vendors and service providers, including our CROs and third-party manufacturers, to pursue the development, manufacturing and potential commercialization of imetelstat;</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our ability to establish, enforce and maintain collaborative or other strategic arrangements for research, development, clinical testing and manufacturing of imetelstat on favorable terms, if at all;</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27</w:t>
      </w:r>
    </w:p>
    <w:p>
      <w:pPr>
        <w:pStyle w:val="HorizontalLine"/>
        <w:rPr/>
      </w:pPr>
      <w:r>
        <w:rPr/>
      </w:r>
    </w:p>
    <w:p>
      <w:pPr>
        <w:pStyle w:val="TextBody"/>
        <w:spacing w:before="0" w:after="0"/>
        <w:jc w:val="left"/>
        <w:rPr/>
      </w:pPr>
      <w:r>
        <w:rPr/>
        <w:t>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efforts to enhance operational, financial and management processes and systems that will be required for future development and commercialization of imetelstat, and our ability to successfully recruit and retain additional key personnel to support the development and potential future commercialization of imetelstat;</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ability to successfully market and sell imetelstat, if imetelstat receives future regulatory approval or clearance, in the U.S. and other countries, and the associated costs;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costs and timing necessary to build a sales force in the U.S. and potentially other countries to market and sell imetelstat, should it receive regulatory approval, to the extent that such sales, marketing, manufacturing and distribution are not the responsibility of any collaborator;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sales price for imetelstat, if any;</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availability of coverage and adequate third-party reimbursement for imetelstat, if any;</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extent to which we acquire or in-license other drugs and technologies, or invest in businesses, products or technologies, although we currently have no commitments or agreements relating to any of these types of transactions, or to which we out-license imetelstat;</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extent to which we are able to enter into strategic partnerships, collaborations and alliances or licensing arrangements with third parties including for the commercialization and marketing of imetelstat in certain global regions;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success of any collaborations that we may enter into with third parties;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expenses associated with settlement of the pending securities class action lawsuits, and the ongoing derivative lawsuits, as well as any other potential litigation;</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extent and scope of our general and administrative expenses, including expenses associated with potential future litigation;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level of indebtedness and associated debt service obligations;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costs of maintaining and operating facilities in California and New Jersey, telecommunications and administrative oversight, as well as higher expenses for travel;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broader economic conditions, including inflation, rising interest rates, the prospects for a recession, and recent and potential future disruptions in access to bank deposits or lending commitments due to bank failure, that may reduce our ability to access debt capital or financing on preferable terms, which may adversely affect future capital requirements and forecasts;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costs of enabling our personnel to work remotely, including providing supplies, equipment and technology necessary for them to perform their responsibilities; and </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the amount of proceeds, if any, of cash exercises of our currently outstanding warrants.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Until we can generate a sufficient amount of revenue from imetelstat to finance our cash requirements, which we may never achieve, we expect to finance future cash needs through a combination of public or private equity offerings, debt financings, collaborations, strategic alliances, licensing arrangements and other marketing and distribution arrangements, which may not be possible. Availability of such financing sources may be negatively impacted by any further delays in reporting results from IMpactMF or investors’ perception of top-line results from IMerge Phase 3, despite our interpretation of such data being positive, as well as factors such as the global economic slowdown, inflation, rising interest rates and the prospects for a recession, as well as recent and potential future disruptions in access to bank deposits or lending commitments due to bank failure.</w:t>
      </w:r>
    </w:p>
    <w:p>
      <w:pPr>
        <w:pStyle w:val="TextBody"/>
        <w:spacing w:before="240" w:after="0"/>
        <w:jc w:val="left"/>
        <w:rPr>
          <w:rFonts w:ascii="Times New Roman" w:hAnsi="Times New Roman"/>
          <w:sz w:val="20"/>
        </w:rPr>
      </w:pPr>
      <w:r>
        <w:rPr>
          <w:rFonts w:ascii="Times New Roman;serif" w:hAnsi="Times New Roman;serif"/>
          <w:b w:val="false"/>
          <w:sz w:val="20"/>
        </w:rPr>
        <w:t>Additional financing through public or private debt or equity financings, including pursuant to the 2020 Sales Agreement with B. Riley Securities, Inc., or B. Riley, the remaining tranches of up to $55.0 million available under the Loan Agreement, which are subject to the achievement of certain clinical and regulatory milestones and satisfaction of certain capitalization and other requirements, as well as approval by an investment committee comprised of Hercules and SVB (First-Citizens Bank &amp; Trust Company as of March 27, 2023) for the final $25.0 million tranche; capital lease transactions or other financing sources, may not be available on acceptable terms, or at all. We may be unable to raise equity capital, or may be forced to do so at a stock price or on other terms that could result in substantial dilution of ownership for our stockholders. The receptivity of the public and private debt and equity markets to proposed financings has been substantially affected by uncertainty in the general economic, market and political climate due to the effects of macroeconomic conditions like the COVID-19 pandemic, civil or political unrest or military conflicts around the world, such as the military conflict between Ukraine and Russia, inflation, rising interest rates, prospects of a recession, or recent and potential future disruptions in access to bank deposits or lending commitments due to bank failure, and may in the future be affected by other factors which are unpredictable and over which we have no control. In this regard, the effects of the COVID-19 pandemic have increased market volatility and could result in a significant long-term disruption of global financial markets, which</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28</w:t>
      </w:r>
    </w:p>
    <w:p>
      <w:pPr>
        <w:pStyle w:val="HorizontalLine"/>
        <w:rPr/>
      </w:pPr>
      <w:r>
        <w:rPr/>
      </w:r>
    </w:p>
    <w:p>
      <w:pPr>
        <w:pStyle w:val="TextBody"/>
        <w:spacing w:before="0" w:after="0"/>
        <w:jc w:val="left"/>
        <w:rPr/>
      </w:pPr>
      <w:r>
        <w:rPr/>
        <w:t>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could reduce or eliminate our ability to raise additional funds through financings, and could negatively impact the terms upon which we may raise those funds. Similarly, these macroeconomic conditions have created extreme volatility and disruption in the capital markets and is expected to have further global economic consequences. If the equity and credit markets deteriorate, including as a result of macroeconomic conditions like the COVID-19 pandemic, civil or political unrest or military conflicts around the world, such as the military conflict between Ukraine and Russia, inflation, rising interest rates, prospects of a recession or recent and potential future disruptions in access to bank deposits or lending commitments due to bank failure, it may make any necessary debt or equity financing more difficult to obtain in a timely manner or on favorable terms, more costly or more dilutive. If we are unable to raise additional capital or establish alternative collaborative arrangements with third-party collaborative partners for imetelstat, the development and potential commercialization of imetelstat may be further delayed, altered or abandoned, which might cause us to cease operations.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In addition, we may seek additional capital due to market conditions or strategic considerations even if we believe we have sufficient funds for our current or future operating plans. Due to uncertainty in the general economic, market and political climate, we may determine that it is necessary or appropriate to raise additional funds proactively to meet longer-term anticipated operating plans. To the extent that we raise additional capital through the sale of equity or convertible debt securities, including pursuant to the 2020 Sales Agreement, your ownership interest as a stockholder may be diluted, and the terms may include liquidation or other preferences that materially and adversely affect your rights as a stockholder. In addition, we have borrowed, and in the future may borrow, additional capital from institutional and commercial banking sources to fund imetelstat development and our future growth, including pursuant to our Loan Agreement or potentially pursuant to new arrangements with different lenders. We may borrow funds on terms under agreements, such as the Loan Agreement, that include restrictive covenants, including covenants limiting or restricting our ability to take specific actions, such as incurring additional debt, making capital expenditures or declaring dividends. Moreover, if we raise additional funds through alliance, collaborative or licensing arrangements with third parties, we may have to relinquish valuable rights to imetelstat or our technologies or grant licenses on terms that are not favorable to us.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We cannot assure you that our existing capital resources, including net cash proceeds from our recent underwritten public offering in January 2023, future interest income, future proceeds from potential cash exercises of currently outstanding warrants and potential future sales of our common stock, including under the 2020 Sales Agreement with B. Riley or potential future drawdowns, if available, of the remaining up to $55.0 million under the Loan Agreement (which are subject to the achievement of certain clinical and regulatory milestones and satisfaction of certain capitalization and other requirements, as well as approval by an investment committee comprised of Hercules and SVB (First-Citizens Bank &amp; Trust Company as of March 27, 2023) for the final $25.0 million tranche), will be sufficient to fund our operating plans. While we did not hold cash deposits or securities at SVB, if other banks and financial institutions enter receivership, become insolvent or otherwise fail in the future in response to financial conditions affecting the banking system and financial markets or otherwise, our ability to access our existing cash, cash equivalents and marketable securities may be delayed or precluded, which could have a material adverse effect on our business, business prospects and financial position.</w:t>
      </w:r>
    </w:p>
    <w:p>
      <w:pPr>
        <w:pStyle w:val="TextBody"/>
        <w:spacing w:before="360" w:after="120"/>
        <w:jc w:val="left"/>
        <w:rPr>
          <w:rFonts w:ascii="Times New Roman;serif" w:hAnsi="Times New Roman;serif"/>
          <w:b/>
          <w:sz w:val="20"/>
        </w:rPr>
      </w:pPr>
      <w:r>
        <w:rPr>
          <w:rFonts w:ascii="Times New Roman;serif" w:hAnsi="Times New Roman;serif"/>
          <w:b/>
          <w:sz w:val="20"/>
        </w:rPr>
        <w:t>Cash Flows from Operating Activities</w:t>
      </w:r>
    </w:p>
    <w:p>
      <w:pPr>
        <w:pStyle w:val="TextBody"/>
        <w:spacing w:before="120" w:after="0"/>
        <w:jc w:val="left"/>
        <w:rPr>
          <w:rFonts w:ascii="Times New Roman" w:hAnsi="Times New Roman"/>
          <w:sz w:val="20"/>
        </w:rPr>
      </w:pPr>
      <w:r>
        <w:rPr>
          <w:rFonts w:ascii="Times New Roman;serif" w:hAnsi="Times New Roman;serif"/>
          <w:b w:val="false"/>
          <w:sz w:val="20"/>
        </w:rPr>
        <w:t>Net cash used in operations for the three months ended March 31, 2023 and 2022 was $46.4 million and $34.0 million, respectively. The increase in net cash used in operations for the three months ended March 31, 2023, compared to the same period in 2022, primarily reflects higher payments to support ongoing clinical trials of imetelstat, commercial preparatory activities, and increases in headcount to support pre-approval and commercialization efforts.</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sz w:val="20"/>
        </w:rPr>
        <w:t>Cash Flows from Investing Activities</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Net cash used in investing activities was $178.7 million for the three months ended March 31, 2023 and net cash provided by investing activities was $30.4 million for the three months ended March 31, 2022. The increase in net cash used in investing activities for the three months ended March 31, 2023, compared to the same period in 2022, primarily reflects a higher rate of purchases than maturities of marketable securities in 2023 from the investment of net cash proceeds received from the underwritten public offering completed in January 2023 and warrant exercises in the first quarter of 2023.</w:t>
      </w:r>
    </w:p>
    <w:p>
      <w:pPr>
        <w:pStyle w:val="TextBody"/>
        <w:spacing w:before="360" w:after="0"/>
        <w:jc w:val="left"/>
        <w:rPr>
          <w:rFonts w:ascii="Times New Roman" w:hAnsi="Times New Roman"/>
          <w:sz w:val="20"/>
        </w:rPr>
      </w:pPr>
      <w:r>
        <w:rPr>
          <w:rFonts w:ascii="Times New Roman;serif" w:hAnsi="Times New Roman;serif"/>
          <w:b/>
          <w:sz w:val="20"/>
        </w:rPr>
        <w:t>Cash Flows from Financing Activities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Net cash provided by financing activities for the three months ended March 31, 2023 and 2022 was $281.0 million and none, respectively. Financing activities in 2023 primarily reflect the receipt of net cash proceeds from the underwritten public offering completed in January 2023 and warrant exercises in the first quarter of 2023.</w:t>
      </w:r>
      <w:r>
        <w:rPr>
          <w:rFonts w:ascii="Times New Roman" w:hAnsi="Times New Roman"/>
          <w:sz w:val="20"/>
        </w:rPr>
        <w:t xml:space="preserve"> </w:t>
      </w:r>
    </w:p>
    <w:p>
      <w:pPr>
        <w:pStyle w:val="TextBody"/>
        <w:spacing w:before="360" w:after="0"/>
        <w:jc w:val="left"/>
        <w:rPr>
          <w:rFonts w:ascii="Times New Roman;serif" w:hAnsi="Times New Roman;serif"/>
          <w:b/>
          <w:sz w:val="20"/>
        </w:rPr>
      </w:pPr>
      <w:r>
        <w:rPr>
          <w:rFonts w:ascii="Times New Roman;serif" w:hAnsi="Times New Roman;serif"/>
          <w:b/>
          <w:sz w:val="20"/>
        </w:rPr>
        <w:t>Contractual Obligations</w:t>
      </w:r>
    </w:p>
    <w:p>
      <w:pPr>
        <w:pStyle w:val="TextBody"/>
        <w:spacing w:before="120" w:after="0"/>
        <w:jc w:val="left"/>
        <w:rPr>
          <w:rFonts w:ascii="Times New Roman" w:hAnsi="Times New Roman"/>
          <w:sz w:val="20"/>
        </w:rPr>
      </w:pPr>
      <w:r>
        <w:rPr>
          <w:rFonts w:ascii="Times New Roman;serif" w:hAnsi="Times New Roman;serif"/>
          <w:b w:val="false"/>
          <w:sz w:val="20"/>
        </w:rPr>
        <w:t>We have entered into arrangements that contractually obligate us to make payments that will affect our liquidity and cash flows in future periods. Our contractual obligations primarily consist of our current and noncurrent debt obligations under the Loan Agreement with Hercules and SVB (First-Citizens Bank &amp; Trust Company as of March 27, 2023), as described above and in Note 4 on Debt in Notes to Condensed Consolidated Financial Statements of this quarterly report on Form 10-Q, and obligations under</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29</w:t>
      </w:r>
    </w:p>
    <w:p>
      <w:pPr>
        <w:pStyle w:val="HorizontalLine"/>
        <w:rPr/>
      </w:pPr>
      <w:r>
        <w:rPr/>
      </w:r>
    </w:p>
    <w:p>
      <w:pPr>
        <w:pStyle w:val="TextBody"/>
        <w:spacing w:before="0" w:after="0"/>
        <w:jc w:val="left"/>
        <w:rPr/>
      </w:pPr>
      <w:r>
        <w:rPr/>
        <w: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non-cancellable operating leases. The aggregate amount of our future operating lease payments was reported in our 2022 Form 10-K and there have been no changes to the contractual terms of our operating leases during the three months ended March 31, 2023.</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In the normal course of business, we enter into agreements with CROs for clinical trials and third-party manufacturers for clinical supply manufacturing and with other vendors for non-clinical research studies, investigator-led trials and other services and products for operating purposes. We have not considered these payments to be contractual obligations since the contracts are generally cancellable at any time by us upon less than 180 days’ prior written notice. We also have certain in-license agreements that require us to pay milestones to such third parties upon achievement of certain development, regulatory or commercial milestones. Amounts related to contingent milestone payments are not considered contractual obligations as they are contingent on the successful achievement of certain development, regulatory approval and commercial milestones, which may not be achieved.</w:t>
      </w:r>
    </w:p>
    <w:p>
      <w:pPr>
        <w:pStyle w:val="TextBody"/>
        <w:spacing w:before="360" w:after="0"/>
        <w:jc w:val="left"/>
        <w:rPr>
          <w:rFonts w:ascii="Times New Roman;serif" w:hAnsi="Times New Roman;serif"/>
          <w:b/>
          <w:sz w:val="20"/>
        </w:rPr>
      </w:pPr>
      <w:bookmarkStart w:id="12" w:name="item3_quantitativeandqualitative_111536"/>
      <w:bookmarkEnd w:id="12"/>
      <w:r>
        <w:rPr>
          <w:rFonts w:ascii="Times New Roman;serif" w:hAnsi="Times New Roman;serif"/>
          <w:b/>
          <w:sz w:val="20"/>
        </w:rPr>
        <w:t>ITEM 3. QUANTITATIVE AND QUALITATIVE DISCLOSURES ABOUT MARKET RISK</w:t>
      </w:r>
    </w:p>
    <w:p>
      <w:pPr>
        <w:pStyle w:val="TextBody"/>
        <w:spacing w:before="120" w:after="0"/>
        <w:jc w:val="left"/>
        <w:rPr>
          <w:rFonts w:ascii="Times New Roman" w:hAnsi="Times New Roman"/>
          <w:sz w:val="20"/>
        </w:rPr>
      </w:pPr>
      <w:r>
        <w:rPr>
          <w:rFonts w:ascii="Times New Roman;serif" w:hAnsi="Times New Roman;serif"/>
          <w:b w:val="false"/>
          <w:sz w:val="20"/>
        </w:rPr>
        <w:t>We are a smaller reporting company as defined by Rule 12b-2 of the Exchange Act, and are not required to provide the information specified under this item.</w:t>
      </w:r>
      <w:r>
        <w:rPr>
          <w:rFonts w:ascii="Times New Roman" w:hAnsi="Times New Roman"/>
          <w:sz w:val="20"/>
        </w:rPr>
        <w:t xml:space="preserve"> </w:t>
      </w:r>
    </w:p>
    <w:p>
      <w:pPr>
        <w:pStyle w:val="TextBody"/>
        <w:spacing w:before="360" w:after="0"/>
        <w:jc w:val="left"/>
        <w:rPr>
          <w:rFonts w:ascii="Times New Roman;serif" w:hAnsi="Times New Roman;serif"/>
          <w:b/>
          <w:sz w:val="20"/>
        </w:rPr>
      </w:pPr>
      <w:bookmarkStart w:id="13" w:name="item4_controlsandprocedures_112118"/>
      <w:bookmarkEnd w:id="13"/>
      <w:r>
        <w:rPr>
          <w:rFonts w:ascii="Times New Roman;serif" w:hAnsi="Times New Roman;serif"/>
          <w:b/>
          <w:sz w:val="20"/>
        </w:rPr>
        <w:t>ITEM 4. CONTROLS AND PROCEDURES</w:t>
      </w:r>
    </w:p>
    <w:p>
      <w:pPr>
        <w:pStyle w:val="TextBody"/>
        <w:spacing w:before="120" w:after="0"/>
        <w:jc w:val="left"/>
        <w:rPr>
          <w:rFonts w:ascii="Times New Roman;serif" w:hAnsi="Times New Roman;serif"/>
          <w:b/>
          <w:sz w:val="20"/>
        </w:rPr>
      </w:pPr>
      <w:r>
        <w:rPr>
          <w:rFonts w:ascii="Times New Roman;serif" w:hAnsi="Times New Roman;serif"/>
          <w:b/>
          <w:sz w:val="20"/>
        </w:rPr>
        <w:t>Evaluation of Disclosure Controls and Procedures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management, with the participation of our Chief Executive Officer and our Chief Financial Officer, evaluated our disclosure controls and procedures as defined in Rules 13a-15(e) and 15d-15(e) under the Exchange Act, prior to the filing of this quarterly report. Based on that evaluation, our Chief Executive Officer and our Chief Financial Officer have concluded that, as of the end of the period covered by this quarterly report, our disclosure controls and procedures were effective at the reasonable assurance level.</w:t>
      </w:r>
    </w:p>
    <w:p>
      <w:pPr>
        <w:pStyle w:val="TextBody"/>
        <w:spacing w:before="360" w:after="0"/>
        <w:jc w:val="left"/>
        <w:rPr>
          <w:rFonts w:ascii="Times New Roman;serif" w:hAnsi="Times New Roman;serif"/>
          <w:b/>
          <w:sz w:val="20"/>
        </w:rPr>
      </w:pPr>
      <w:r>
        <w:rPr>
          <w:rFonts w:ascii="Times New Roman;serif" w:hAnsi="Times New Roman;serif"/>
          <w:b/>
          <w:sz w:val="20"/>
        </w:rPr>
        <w:t>Changes in Internal Control Over Financial Reporting</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There were no changes in our internal control over financial reporting during the quarter to which this report relates that have materially affected, or are reasonably likely to materially affect, our internal control over financial reporting.</w:t>
      </w:r>
    </w:p>
    <w:p>
      <w:pPr>
        <w:pStyle w:val="TextBody"/>
        <w:spacing w:before="360" w:after="0"/>
        <w:jc w:val="left"/>
        <w:rPr>
          <w:rFonts w:ascii="Times New Roman;serif" w:hAnsi="Times New Roman;serif"/>
          <w:b/>
          <w:sz w:val="20"/>
        </w:rPr>
      </w:pPr>
      <w:r>
        <w:rPr>
          <w:rFonts w:ascii="Times New Roman;serif" w:hAnsi="Times New Roman;serif"/>
          <w:b/>
          <w:sz w:val="20"/>
        </w:rPr>
        <w:t>Limitations on Effectiveness of Controls and Procedures</w:t>
      </w:r>
    </w:p>
    <w:p>
      <w:pPr>
        <w:pStyle w:val="TextBody"/>
        <w:spacing w:before="120" w:after="360"/>
        <w:jc w:val="left"/>
        <w:rPr>
          <w:rFonts w:ascii="Times New Roman;serif" w:hAnsi="Times New Roman;serif"/>
          <w:b w:val="false"/>
          <w:sz w:val="20"/>
        </w:rPr>
      </w:pPr>
      <w:r>
        <w:rPr>
          <w:rFonts w:ascii="Times New Roman;serif" w:hAnsi="Times New Roman;serif"/>
          <w:b w:val="false"/>
          <w:sz w:val="20"/>
        </w:rPr>
        <w:t>In designing and evaluating disclosure controls and procedures, our management recognizes that any system of controls, however well designed and operated, can provide only reasonable assurance, and not absolute assurance, that the desired control objectives of the system are met. In addition, the design of any control system is based in part upon certain assumptions about the likelihood of future events. Because of these and other inherent limitations of control systems, there can be no assurance that any design will succeed in achieving its stated goals in all future circumstances. Accordingly, our disclosure controls and procedures are designed to provide reasonable, not absolute, assurance that the objectives of our disclosure control system are met and, as set forth above, our Chief Executive Officer and our Chief Financial Officer have concluded, based on their evaluation as of the end of the period covered by this quarterly report, that our disclosure controls and procedures were effective to provide reasonable assurance that the objectives of our disclosure control system were met.</w:t>
      </w:r>
    </w:p>
    <w:p>
      <w:pPr>
        <w:pStyle w:val="TextBody"/>
        <w:spacing w:before="360" w:after="0"/>
        <w:jc w:val="center"/>
        <w:rPr>
          <w:rFonts w:ascii="Times New Roman" w:hAnsi="Times New Roman"/>
          <w:sz w:val="20"/>
        </w:rPr>
      </w:pPr>
      <w:bookmarkStart w:id="14" w:name="part_ii_or_information"/>
      <w:bookmarkEnd w:id="14"/>
      <w:r>
        <w:rPr>
          <w:rFonts w:ascii="Times New Roman;serif" w:hAnsi="Times New Roman;serif"/>
          <w:b/>
          <w:sz w:val="20"/>
        </w:rPr>
        <w:t>PART II. OTHER</w:t>
      </w:r>
      <w:r>
        <w:rPr>
          <w:rFonts w:ascii="Times New Roman" w:hAnsi="Times New Roman"/>
          <w:sz w:val="20"/>
        </w:rPr>
        <w:t xml:space="preserve"> </w:t>
      </w:r>
      <w:r>
        <w:rPr>
          <w:rFonts w:ascii="Times New Roman;serif" w:hAnsi="Times New Roman;serif"/>
          <w:b/>
          <w:sz w:val="20"/>
        </w:rPr>
        <w:t>INFORMATION</w:t>
      </w:r>
    </w:p>
    <w:p>
      <w:pPr>
        <w:pStyle w:val="TextBody"/>
        <w:spacing w:before="360" w:after="0"/>
        <w:jc w:val="left"/>
        <w:rPr>
          <w:rFonts w:ascii="Times New Roman" w:hAnsi="Times New Roman"/>
          <w:sz w:val="20"/>
        </w:rPr>
      </w:pPr>
      <w:bookmarkStart w:id="15" w:name="item_1_legal_proceedings"/>
      <w:bookmarkEnd w:id="15"/>
      <w:r>
        <w:rPr>
          <w:rFonts w:ascii="Times New Roman;serif" w:hAnsi="Times New Roman;serif"/>
          <w:b/>
          <w:sz w:val="20"/>
        </w:rPr>
        <w:t>ITEM 1. LEGAL</w:t>
      </w:r>
      <w:r>
        <w:rPr>
          <w:rFonts w:ascii="Times New Roman" w:hAnsi="Times New Roman"/>
          <w:sz w:val="20"/>
        </w:rPr>
        <w:t xml:space="preserve"> </w:t>
      </w:r>
      <w:r>
        <w:rPr>
          <w:rFonts w:ascii="Times New Roman;serif" w:hAnsi="Times New Roman;serif"/>
          <w:b/>
          <w:sz w:val="20"/>
        </w:rPr>
        <w:t>PROCEEDINGS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See Note 5 on Contingencies and Uncertainties in Notes to Condensed Consolidated Financial Statements of this quarterly report on Form 10-Q for information on legal proceedings.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30</w:t>
      </w:r>
    </w:p>
    <w:p>
      <w:pPr>
        <w:pStyle w:val="HorizontalLine"/>
        <w:rPr/>
      </w:pPr>
      <w:r>
        <w:rPr/>
      </w:r>
    </w:p>
    <w:p>
      <w:pPr>
        <w:pStyle w:val="TextBody"/>
        <w:spacing w:before="0" w:after="0"/>
        <w:jc w:val="left"/>
        <w:rPr/>
      </w:pPr>
      <w:r>
        <w:rPr/>
        <w:t> </w:t>
      </w:r>
    </w:p>
    <w:p>
      <w:pPr>
        <w:pStyle w:val="TextBody"/>
        <w:spacing w:before="360" w:after="0"/>
        <w:jc w:val="left"/>
        <w:rPr>
          <w:rFonts w:ascii="Times New Roman;serif" w:hAnsi="Times New Roman;serif"/>
          <w:b/>
          <w:sz w:val="20"/>
        </w:rPr>
      </w:pPr>
      <w:bookmarkStart w:id="16" w:name="item1a_risk_factors"/>
      <w:bookmarkEnd w:id="16"/>
      <w:r>
        <w:rPr>
          <w:rFonts w:ascii="Times New Roman;serif" w:hAnsi="Times New Roman;serif"/>
          <w:b/>
          <w:sz w:val="20"/>
        </w:rPr>
        <w:t>ITEM 1A. RISK FACTORS</w:t>
      </w:r>
    </w:p>
    <w:p>
      <w:pPr>
        <w:pStyle w:val="TextBody"/>
        <w:spacing w:before="120" w:after="0"/>
        <w:jc w:val="left"/>
        <w:rPr>
          <w:rFonts w:ascii="Times New Roman;serif" w:hAnsi="Times New Roman;serif"/>
          <w:b w:val="false"/>
          <w:i/>
          <w:sz w:val="20"/>
        </w:rPr>
      </w:pPr>
      <w:r>
        <w:rPr>
          <w:rFonts w:ascii="Times New Roman;serif" w:hAnsi="Times New Roman;serif"/>
          <w:b w:val="false"/>
          <w:i/>
          <w:sz w:val="20"/>
        </w:rPr>
        <w:t>Our business is subject to various risks and uncertainties that may have a material adverse effect on our business, financial condition or results of operations. You should carefully consider the risks and uncertainties described below, together with all of the other information included in this Quarterly Report on Form 10-Q and in our 2022 Form 10-K. Our business faces significant risks and uncertainties, and those described below may not be the only risks and uncertainties we face. Additional risks and uncertainties not presently known to us or that we currently believe are immaterial may also significantly impair our business, financial condition or results of operations. If any of these risks or uncertainties occur, our business, financial condition or results of operations could suffer, the market price of our common stock could decline and you could lose all or part of your investment in our common stock. We have marked with an asterisk (*) those risks described below that reflect substantive changes from, or additions to, the risks described under Part I, Item 1A, “Risk Factors” included in the 2022 Form 10-K.</w:t>
      </w:r>
    </w:p>
    <w:p>
      <w:pPr>
        <w:pStyle w:val="TextBody"/>
        <w:spacing w:before="0" w:after="0"/>
        <w:jc w:val="left"/>
        <w:rPr>
          <w:rFonts w:ascii="Times New Roman;serif" w:hAnsi="Times New Roman;serif"/>
          <w:b/>
          <w:sz w:val="20"/>
        </w:rPr>
      </w:pPr>
      <w:r>
        <w:rPr>
          <w:rFonts w:ascii="Times New Roman;serif" w:hAnsi="Times New Roman;serif"/>
          <w:b/>
          <w:sz w:val="20"/>
        </w:rPr>
        <w:t>Risk Factor Summary</w:t>
      </w:r>
    </w:p>
    <w:p>
      <w:pPr>
        <w:pStyle w:val="TextBody"/>
        <w:spacing w:before="0" w:after="0"/>
        <w:jc w:val="left"/>
        <w:rPr>
          <w:rFonts w:ascii="Times New Roman;serif" w:hAnsi="Times New Roman;serif"/>
          <w:b w:val="false"/>
          <w:sz w:val="20"/>
        </w:rPr>
      </w:pPr>
      <w:r>
        <w:rPr>
          <w:rFonts w:ascii="Times New Roman;serif" w:hAnsi="Times New Roman;serif"/>
          <w:b w:val="false"/>
          <w:sz w:val="20"/>
        </w:rPr>
        <w:t>Below is a summary of material factors that make an investment in our common stock speculative or risky. Importantly, this summary does not address all of the risks and uncertainties that we face. You should understand that it is not possible to predict or identify all such factors. Consequently, you should not consider this summary to be a complete discussion of all potential risks or uncertainties that may substantially impact our business. Additional discussion of the risks and uncertainties summarized in this risk factor summary, as well as other risks and uncertainties that we face, are described below, and this summary is qualified in its entirety by that description. Moreover, we operate in a competitive and rapidly changing environment. New factors emerge from time to time and it is not possible to predict the impact of all of these factors on our business, financial condition or results of operations. You should carefully consider the risks and uncertainties described below as part of your evaluation of an investment in our common stock.</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are wholly dependent on the success of our sole product candidate, imetelstat.</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future success depends solely on imetelstat, our only product candidate, and we cannot be certain that we will be able to continue to develop imetelstat or advance imetelstat to subsequent clinical trials, or that we will be able to receive regulatory approval for or to commercialize imetelstat, on a timely basis or at all.</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failure to obtain regulatory approval for imetelstat in the U.S. would have a material adverse effect on our business that would likely cause us to cease operations.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If imetelstat is approved for marketing and commercialization in lower risk MDS and we are unable to establish sales, marketing and distribution capabilities, or obtain coverage and adequate third-party payor reimbursement, we will be unable to successfully commercialize imetelstat.</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If we are not successful in commercializing imetelstat, we will not be able to achieve our projections for future revenue, if any.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Any suspension of or delays in IMpactMF, including due to the effects of macroeconomic conditions such the COVID-19 pandemic, civil or political unrest or military conflicts around the world, such as the military conflict between Ukraine and Russia, inflation, rising interest rates or prospects of a recession, could result in increased costs to us, delay or limit our ability to generate revenue and adversely affect our commercial prospects.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Any termination of IMpactMF would have a material adverse effect on our business, business prospects and the future of imetelstat.</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Imetelstat may continue to cause, or have attributed to it, undesirable or unintended side effects or other adverse events that could further delay or prevent the commencement and/or completion of clinical trials for imetelstat, further delay or prevent its regulatory approval, or limit its commercial potential.</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If IMpactMF fails to demonstrate safety and effectiveness to the satisfaction of the FDA or international regulatory authorities or does not otherwise produce positive results, we would incur additional costs, experience delays in completing or ultimately fail in completing the development and commercialization of imetelstat in patients with relapsed/refractory MF which would have a material adverse effect on our business, business prospects and the future of imetelstat.</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Clinical drug development involves a lengthy and expensive process with uncertain timelines and uncertain outcomes, and results of earlier stage clinical trials and non-clinical studies may not be predictive of future results.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rely on third parties to conduct our clinical trials and their failure to perform could have a material adverse effect on our business that might cause us to cease operations.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rely on third parties to manufacture and supply imetelstat, and may be unable to ensure that we have adequate quantities of imetelstat that meet specifications that may be approved or required by regulatory authorities, and timelines necessary for current and potential future clinical trials and potential commercial uses.</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Regulatory inspections of third-party manufacturers may identify deficiencies in manufacturing processes or facilities which could impact the ability of third-party manufacturers to produce and deliver products, including imetelstat.</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31</w:t>
      </w:r>
    </w:p>
    <w:p>
      <w:pPr>
        <w:pStyle w:val="HorizontalLine"/>
        <w:rPr/>
      </w:pPr>
      <w:r>
        <w:rPr/>
      </w:r>
    </w:p>
    <w:p>
      <w:pPr>
        <w:pStyle w:val="TextBody"/>
        <w:spacing w:before="0" w:after="0"/>
        <w:jc w:val="left"/>
        <w:rPr/>
      </w:pPr>
      <w:r>
        <w:rPr/>
        <w:t>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COVID-19 pandemic has affected and continues to affect our ability to conduct clinical trial activities, causing delays in IMpactMF, IMproveMF, and our investigator-led clinical trial, IMpress. Additionally, the COVID-19 pandemic may delay and disrupt regulatory activities and our manufacturing and supply chain and have other adverse effects on our business and operations.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If we are unable to obtain and maintain sufficient intellectual property protection for imetelstat for an adequate amount of time, or if the scope of the intellectual property protection is not sufficiently broad, our competitors could develop and commercialize products similar or identical to imetelstat, and our ability to successfully commercialize imetelstat may be adversely affected.</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If competitors develop products, product candidates or technologies that are superior to or more cost-effective than imetelstat, this would significantly impact the development and commercial viability of imetelstat; severely and adversely affect our financial results, business and business prospects and the future of imetelstat; and might cause us to cease operations.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failure to obtain additional capital would force us to further delay, reduce or eliminate development of imetelstat in current and any potential future clinical trials of imetelstat, and our potential future imetelstat commercialization efforts, any of which would severely and adversely affect our financial results, business and business prospects, and might cause us to cease operations.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have incurred significant losses and negative cash flows from operations since our inception and anticipate that we will continue to incur significant expenses and losses for the foreseeable future.</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level of indebtedness and debt service obligations could adversely affect our financial condition and may make it more difficult for us to fund our operations.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and certain of our officers have been named as defendants in pending securities class action lawsuits and shareholder derivative lawsuits. These lawsuits, and potential similar or related lawsuits, could result in substantial damages, divert management’s time and attention from our business, and have a material adverse effect on our results of operations. These lawsuits, and any other lawsuits to which we are subject, will be costly to defend or pursue and are uncertain in their outcome.</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We are subject to legal and contractual obligations related to privacy and information security. Our actual or perceived failure, or that of third parties upon which we rely, to comply with such obligations could harm our business.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Additionally, if our information technology systems or data, or those of third parties upon which we rely, are or were compromised, we could experience adverse consequences.</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Changes in and failures to comply with privacy and data protection obligations may adversely affect our business, operations and financial performance.</w:t>
      </w:r>
    </w:p>
    <w:p>
      <w:pPr>
        <w:pStyle w:val="TextBody"/>
        <w:spacing w:before="200" w:after="0"/>
        <w:jc w:val="center"/>
        <w:rPr/>
      </w:pPr>
      <w:r>
        <w:rPr/>
        <w:t> </w:t>
      </w:r>
    </w:p>
    <w:p>
      <w:pPr>
        <w:pStyle w:val="TextBody"/>
        <w:spacing w:before="0" w:after="0"/>
        <w:jc w:val="center"/>
        <w:rPr>
          <w:rFonts w:ascii="Times New Roman;serif" w:hAnsi="Times New Roman;serif"/>
          <w:b/>
          <w:sz w:val="20"/>
        </w:rPr>
      </w:pPr>
      <w:r>
        <w:rPr>
          <w:rFonts w:ascii="Times New Roman;serif" w:hAnsi="Times New Roman;serif"/>
          <w:b/>
          <w:sz w:val="20"/>
        </w:rPr>
        <w:t>RISKS RELATED TO THE DEVELOPMENT OF IMETELSTAT</w:t>
      </w:r>
    </w:p>
    <w:p>
      <w:pPr>
        <w:pStyle w:val="TextBody"/>
        <w:spacing w:before="0" w:after="0"/>
        <w:jc w:val="left"/>
        <w:rPr>
          <w:rFonts w:ascii="Times New Roman" w:hAnsi="Times New Roman"/>
          <w:sz w:val="20"/>
        </w:rPr>
      </w:pPr>
      <w:r>
        <w:rPr>
          <w:rFonts w:ascii="Times New Roman;serif" w:hAnsi="Times New Roman;serif"/>
          <w:b/>
          <w:i/>
          <w:sz w:val="20"/>
        </w:rPr>
        <w:t>Our future success depends solely on imetelstat, our only product candidate, and we cannot be certain that we will be able to continue to develop imetelstat or advance imetelstat to subsequent clinical trials, or that we will be able to receive regulatory approval for or to commercialize imetelstat, on a timely basis or at all.</w:t>
      </w:r>
      <w:r>
        <w:rPr>
          <w:rFonts w:ascii="Times New Roman" w:hAnsi="Times New Roman"/>
          <w:sz w:val="20"/>
        </w:rPr>
        <w:t xml:space="preserve">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Imetelstat is our sole product candidate, upon whose success we are wholly dependent. We do not currently have any other products or product candidates. Our ability to develop imetelstat and launch it commercially is subject to significant risks and uncertainties, including, obtaining regulatory approval from the FDA and EMA for commercializing imetelstat in lower risk MDS, as well as, among other things, our ability to:</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submit an NDA, to the FDA in the U.S., and a MAA to the EMA in the EU, in lower risk MDS that is accepted and/or validated for filing by the respective regulatory agency;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obtain from the FDA and EMA their respective determinations that the regulatory submissions are sufficient to support regulatory approval to commercialize imetelstat in lower risk MDS, without the requirement for additional pre-approval clinical trials or further testing or development commitments, if at all, any of which could result in increased costs to us, delay or limit our ability to generate revenue;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obtain sufficient safety and efficacy data from IMpactMF to support any application for regulatory approval in relapsed/refractory MF, without clinically meaningful safety issues, side effects or dose-limiting toxicities related to imetelstat that may negatively impact its benefit-risk profile;</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ascertain that the use of imetelstat does not result in significant systemic or organ toxicities, including hepatotoxicity, or other safety issues resulting in an unacceptable benefit-risk profile;</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32</w:t>
      </w:r>
    </w:p>
    <w:p>
      <w:pPr>
        <w:pStyle w:val="HorizontalLine"/>
        <w:rPr/>
      </w:pPr>
      <w:r>
        <w:rPr/>
      </w:r>
    </w:p>
    <w:p>
      <w:pPr>
        <w:pStyle w:val="TextBody"/>
        <w:spacing w:before="0" w:after="0"/>
        <w:jc w:val="left"/>
        <w:rPr/>
      </w:pPr>
      <w:r>
        <w:rPr/>
        <w:t>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obtain additional capital in order to enable us to further advance the imetelstat program, including through the completion of IMpactMF, IMproveMF and IMpress, as well as to conduct the regulatory and potential commercialization activities necessary to potentially bring imetelstat to market in relapsed/refractory MF and any other future indications;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develop clinical plans for, and successfully commence, conduct and complete potential future clinical trials of imetelstat;</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generate sufficient safety and efficacy data from ongoing and potential future clinical trials of imetelstat that provide a positive benefit-risk profile to support the continued and future development of imetelstat;</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obtain and maintain required regulatory clearances and approvals to enable continued clinical development, as well as potential commercialization, of imetelstat;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enter into and maintain arrangements with third parties to provide services needed to further research and develop imetelstat, including maintaining the agreements with our contract research organizations, or CROs, or to manufacture imetelstat, in each case at commercially reasonable costs;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recruit and retain sufficient qualified and experienced personnel to support the development and potential commercialization of imetelstat in the U.S., including to enroll, conduct and complete current and potential future clinical trials of imetelstat, and to provide internal capabilities for sales, marketing, distribution and other functions to support the potential commercialization of imetelstat in the U.S.;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enter into and maintain arrangements with third parties to provide services needed to support the potential commercialization of imetelstat for territories outside of the U.S. in compliance with applicable laws;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achieve acceptance of imetelstat, if approved, by patients and the relevant medical communities;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compete effectively with other approved treatments in lower risk MDS;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obtain appropriate coverage and reimbursement levels for the cost of imetelstat from governmental authorities, private health insurers and other third-party payors; and</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obtain, maintain and enforce adequate intellectual property and regulatory exclusivity for imetelstat both in the U.S. and globally.</w:t>
      </w:r>
    </w:p>
    <w:p>
      <w:pPr>
        <w:pStyle w:val="TextBody"/>
        <w:spacing w:before="0" w:after="0"/>
        <w:jc w:val="left"/>
        <w:rPr>
          <w:rFonts w:ascii="Times New Roman;serif" w:hAnsi="Times New Roman;serif"/>
          <w:b w:val="false"/>
          <w:sz w:val="20"/>
        </w:rPr>
      </w:pPr>
      <w:r>
        <w:rPr>
          <w:rFonts w:ascii="Times New Roman;serif" w:hAnsi="Times New Roman;serif"/>
          <w:b w:val="false"/>
          <w:sz w:val="20"/>
        </w:rPr>
        <w:t>If we are not able to successfully achieve the above-stated goals and overcome other challenges that we may encounter in the research, development, manufacturing and potential commercialization of imetelstat, we may be forced to abandon our development and/or commercialization of imetelstat, which would severely harm our business, prospects and our ability to raise additional capital, and might cause us to cease operations.</w:t>
      </w:r>
    </w:p>
    <w:p>
      <w:pPr>
        <w:pStyle w:val="TextBody"/>
        <w:spacing w:before="0" w:after="0"/>
        <w:jc w:val="left"/>
        <w:rPr>
          <w:rFonts w:ascii="Times New Roman;serif" w:hAnsi="Times New Roman;serif"/>
          <w:b/>
          <w:i/>
          <w:sz w:val="20"/>
        </w:rPr>
      </w:pPr>
      <w:r>
        <w:rPr>
          <w:rFonts w:ascii="Times New Roman;serif" w:hAnsi="Times New Roman;serif"/>
          <w:b/>
          <w:i/>
          <w:sz w:val="20"/>
        </w:rPr>
        <w:t>Our current and potential future clinical trials of imetelstat could be interrupted, delayed, terminated or abandoned for a variety of reasons, including due to the effects of macroeconomic conditions such as the COVID-19 pandemic, civil or political unrest or military conflicts around the world, such as the military conflict between Ukraine and Russia, inflation, rising interest rates or prospects of a recession, which could severely and adversely affect our financial results, business and business prospects, and the future of imetelstat.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Currently, the active clinical trials of imetelstat are IMpactMF and IMproveMF, and IMpress. In addition, we have extended IMerge Phase 3 to allow remaining patients to continue to receive treatment of either imetelstat or placebo, and such patients are also being followed for survival and disease progression, as well as safety. The conduct and completion of IMpactMF, IMproveMF and IMpress could be interrupted, delayed or abandoned for a variety of reasons, including due to the effects of macroeconomic conditions such as the COVID-19 pandemic, civil or political unrest or military conflicts around the world, such as the military conflict between Ukraine and Russia, inflation, rising interest rates or prospects of a recession. In particular, the fluidity and dynamic nature of the COVID-19 pandemic precludes any firm estimates as to the ultimate effect COVID-19 will have on our current and potential future clinical trials, our operations and our business, all of which depend on the continued worldwide progress toward managing this health crisis. The emergence of COVID-19 variants and subvariants, and the resurgence of COVID-19 cases in many parts of the world cause further uncertainty and unpredictability on clinical trial activities, including clinical site initiations, patient screening and enrollment, as well as constraints on available sites and site personnel. Based on assumptions for enrollment and event (death) rates in the trial, we expect the interim analysis for OS for IMpactMF may occur in 2024 and the final analysis may occur in 2025. Because these analyses are event-driven and it is uncertain whether actual rates for enrollment and events will reflect current planning assumptions, the results may be available at different times than currently expected. Such macroeconomic conditions have and may continue to cause delays and suspensions in clinical trial activities at clinical sites. In addition, we may also experience clinical trial failures or delays related to:</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overcoming patient recruitment and enrollment challenges and operational delays related to opening new clinical sites, and conducting and completing IMpactMF, IMproveMF and IMpress, while also competing with clinical trials for other investigational drugs in the same patient population; </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clinical sites electing to terminate their participation in any of our clinical trials, which would likely have a detrimental effect on patient enrollment;</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33</w:t>
      </w:r>
    </w:p>
    <w:p>
      <w:pPr>
        <w:pStyle w:val="HorizontalLine"/>
        <w:rPr/>
      </w:pPr>
      <w:r>
        <w:rPr/>
      </w:r>
    </w:p>
    <w:p>
      <w:pPr>
        <w:pStyle w:val="TextBody"/>
        <w:spacing w:before="0" w:after="0"/>
        <w:jc w:val="left"/>
        <w:rPr/>
      </w:pPr>
      <w:r>
        <w:rPr/>
        <w:t>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any inability to successfully retain patients in IMpactMF, including completing the planned interim analysis for IMpactMF;</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difficulties in patient recruitment and enrollment in IMproveMF;</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patient recruitment, enrollment, or retention, clinical site initiation, or retention problems associated with civil or political unrest or military conflicts around the world, including specifically the current military conflict between Ukraine and Russia;</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 higher number of patients being required for clinical trials, or higher than expected patient drop out rates;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obtaining and/or maintaining regulatory clearances in the U.S. or other countries to conduct clinical trials, such as obtaining or maintaining regulatory clearances to commence, conduct or modify current or potential future clinical trials of imetelstat, in a timely manner, or at all, which could, for example, prevent us from, or result in substantial delays in, conducting or completing IMpactMF, IMproveMF and IMpress, or commencing potential future clinical trials of imetelstat;</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maintaining the investigational new drug applications, or INDs, and equivalent submissions in other countries for imetelstat without such INDs and/or equivalent submissions in other countries being placed on full or partial clinical hold, suspended or subject to other requirements by the FDA or other similar international regulatory authorities;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contracting with a sufficient number of clinical trial sites to conduct current and potential future clinical trials, and ensuring that such contracts contain all necessary terms and conditions required by applicable laws, including providing for valid mechanisms to engage in cross-border data transfers, as well as identifying, recruiting and training suitable clinical investigators, especially other competing clinical trials in MF and other oncology indications;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obtaining or accessing necessary clinical data in accordance with appropriate clinical or quality practices and regulatory requirements, in a timely and accurate manner to ensure complete data sets;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responding to safety findings, recommendations or conclusions by the internal data safety review committees, independent data monitoring committees and/or hepatic expert committees of current and potential future clinical trials of imetelstat based on emerging data occurring during such clinical trials, such as significant systemic or organ toxicities, including severe cytopenias, hepatotoxicity, fatal bleeding with or without any associated thrombocytopenia, or reduced platelet count, patient injury or death, or other safety issues, resulting in an unacceptable benefit-risk profile;</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use of trial endpoints that inherently require prolonged periods of clinical observation or analysis of the resulting data to determine trial outcomes;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manufacturing sufficient quantities that meet our specifications and timelines of imetelstat, or other clinical trial materials, in a manner that meets the quality standards of the FDA and other similar international regulatory authorities, and responding to any disruptions to drug supply, clinical trial materials or quality issues that may arise, including as a result of temporary or permanent shut down of contract manufacturing facilities due to violations of good manufacturing practices, or GMP, regulations or other applicable requirements; infections or cross-contaminations of product candidates in the manufacturing process; or capacity limitations;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ensuring the ability to manufacture and supply imetelstat at acceptable costs for potential future clinical trials of imetelstat and potential commercial uses;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obtaining sufficient quantities of any study-related treatments, materials (including best available therapy, or BAT, comparator products, placebo or combination therapies) or ancillary supplies, including in light of challenges and delays that may arise from the effects of macroeconomic conditions like the COVID-19 pandemic, civil or political unrest or military conflicts around the world, such as the military conflict between Ukraine and Russia, inflation, rising interest rates or prospects of a recession;</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obtaining acceptance by regulatory authorities of any manufacturing changes for imetelstat, as well as successfully implementing any such manufacturing changes;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complying with current and future regulatory requirements, policies or guidelines, including domestic and international laws and regulations pertaining to fraud and abuse, transparency, and the privacy and security of health information;</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reaching agreement on acceptable terms and on a timely basis, if at all, with collaborators, physician investigators, vendors and other third parties located in the U.S. or jurisdictions in other countries, including our CROs, laboratory service providers and clinical trial sites, on all aspects of clinical development and collaborating with them successfully, including with respect to challenges and delays that have arisen and may continue to arise from the effects of the COVID-19 pandemic;</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third-party clinical investigators or our CROs losing the licenses or permits necessary to perform our clinical trials, not performing our clinical trials according to our anticipated schedule or consistent with the clinical trial protocol, good clinical practices, or GCP, or regulatory requirements, or not performing data collection or analyses in a timely or accurate manner;</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34</w:t>
      </w:r>
    </w:p>
    <w:p>
      <w:pPr>
        <w:pStyle w:val="HorizontalLine"/>
        <w:rPr/>
      </w:pPr>
      <w:r>
        <w:rPr/>
      </w:r>
    </w:p>
    <w:p>
      <w:pPr>
        <w:pStyle w:val="TextBody"/>
        <w:spacing w:before="0" w:after="0"/>
        <w:jc w:val="left"/>
        <w:rPr/>
      </w:pPr>
      <w:r>
        <w:rPr/>
        <w:t>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third-party contractors becoming debarred, disqualified or suspended or otherwise penalized by the FDA or other similar international regulatory authorities for violations of applicable regulatory requirements, in which case we may need to find a substitute contractor, and we may not be able to use some or all of the data produced by such contractors in support of any applications for regulatory approval;</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obtaining timely review and clearances by regulatory authorities for any clinical protocol amendments or modifications to our manufacturing process which may be sought for current and potential future clinical trials of imetelstat, including responding to questions or comments from these authorities in a timely and adequate manner, which could, for example, prevent us from conducting or completing IMpactMF, IMproveMF or IMpress, or commencing potential future clinical trials of imetelstat; and</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obtaining institutional review board or ethics committee approvals for clinical trial protocols or protocol amendments, including any future refinements to the trial designs we may seek for IMpactMF, IMproveMF or IMpress, or as a result of changes in regulatory requirements and policies, which could, for example, prevent us from conducting or completing IMpactMF, IMproveMF or IMpress, and commencing potential future clinical trials of imetelstat.</w:t>
      </w:r>
    </w:p>
    <w:p>
      <w:pPr>
        <w:pStyle w:val="TextBody"/>
        <w:spacing w:before="0" w:after="0"/>
        <w:jc w:val="left"/>
        <w:rPr>
          <w:rFonts w:ascii="Times New Roman" w:hAnsi="Times New Roman"/>
          <w:sz w:val="20"/>
        </w:rPr>
      </w:pPr>
      <w:r>
        <w:rPr>
          <w:rFonts w:ascii="Times New Roman;serif" w:hAnsi="Times New Roman;serif"/>
          <w:b w:val="false"/>
          <w:sz w:val="20"/>
        </w:rPr>
        <w:t>We could also encounter delays if a clinical trial is suspended or terminated. Clinical trials may be suspended or terminated due to a number of factors, including:</w:t>
      </w:r>
      <w:r>
        <w:rPr>
          <w:rFonts w:ascii="Times New Roman" w:hAnsi="Times New Roman"/>
          <w:sz w:val="20"/>
        </w:rPr>
        <w:t xml:space="preserve">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failure to conduct the clinical trial in accordance with regulatory requirements or our clinical protocols;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inspection of the clinical trial operations or trial site by the FDA or similar international regulatory authorities resulting in the imposition of a clinical hold;</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safety issues or adverse side effects;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failure to demonstrate a benefit from using a drug; or</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 xml:space="preserve">changes in governmental regulations or administrative actions.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Failures or delays with respect to any of the aforementioned events could adversely affect our ability to conduct or complete IMpactMF, IMproveMF or IMpress, or to commence, conduct and complete potential future clinical trials of imetelstat, which could increase development costs, or interrupt, further delay or halt our development or potential commercialization of imetelstat, any of which could severely and adversely affect our financial results, business and business prospects, and the future of imetelstat.</w:t>
      </w:r>
    </w:p>
    <w:p>
      <w:pPr>
        <w:pStyle w:val="TextBody"/>
        <w:spacing w:before="0" w:after="0"/>
        <w:jc w:val="left"/>
        <w:rPr>
          <w:rFonts w:ascii="Times New Roman;serif" w:hAnsi="Times New Roman;serif"/>
          <w:b/>
          <w:i/>
          <w:sz w:val="20"/>
        </w:rPr>
      </w:pPr>
      <w:r>
        <w:rPr>
          <w:rFonts w:ascii="Times New Roman;serif" w:hAnsi="Times New Roman;serif"/>
          <w:b/>
          <w:i/>
          <w:sz w:val="20"/>
        </w:rPr>
        <w:t>Further difficulties retaining patients in IMerge Phase 3 and enrolling or retaining patients in IMpactMF, IMproveMF and the investigator-led clinical trial IMpress, whether as a result of the effects of macroeconomic conditions like the COVID-19 pandemic, civil or political unrest or military conflicts around the world, such as the military conflict between Ukraine and Russia, inflation, rising interest rates or prospects of a recession, or for any other reasons, could further delay or otherwise adversely affect our clinical development and commercialization activities, which would cause our business and business prospects to be severely harmed.*</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The timely completion of a clinical trial in accordance with its protocol depends, among other things, on the ability to enroll a sufficient number of patients who remain in the trial until its conclusion. Further challenges in screening, enrolling and retaining patients in IMpactMF, IMproveMF and IMpress, as well as treating and following the remaining patients in IMerge Phase 3, whether as a result of the effects macroeconomic conditions like the COVID-19 pandemic, civil or political unrest or military conflicts around the world, such as the military conflict between Ukraine and Russia, inflation, rising interest rates or prospects of a recession, or for any other reasons, may further delay our conduct of such trials, or cause them to be discontinued. For example, we have clinical trial sites in Ukraine, Russia and nearby European countries, and have experienced, and may continue to experience, delays and suspensions in clinical trial activities at clinical sites in Ukraine and Russia due to the current civil or political unrest conditions, including delays in clinical site initiations, patient screening and enrollment, as well as constraints on available sites and site personnel.</w:t>
      </w:r>
    </w:p>
    <w:p>
      <w:pPr>
        <w:pStyle w:val="TextBody"/>
        <w:spacing w:before="0" w:after="0"/>
        <w:jc w:val="left"/>
        <w:rPr>
          <w:rFonts w:ascii="Times New Roman;serif" w:hAnsi="Times New Roman;serif"/>
          <w:b w:val="false"/>
          <w:sz w:val="20"/>
        </w:rPr>
      </w:pPr>
      <w:r>
        <w:rPr>
          <w:rFonts w:ascii="Times New Roman;serif" w:hAnsi="Times New Roman;serif"/>
          <w:b w:val="false"/>
          <w:sz w:val="20"/>
        </w:rPr>
        <w:t>Although we reported positive top-line results from IMerge Phase 3 in January 2023, the trial has been extended to allow remaining patients to continue to receive treatment of either imetelstat or placebo, which allows us to continue to assess the longer-term durability of transfusion independence, as well as survival, disease progression and safety. Such assessments would be precluded or adversely affected if we experience difficulties in retaining such patients, whether due to the effects of macroeconomic conditions like the COVID-19 pandemic, civil or political unrest or military conflicts around the world, such as the military conflict between Ukraine and Russia, inflation, rising interest rates or prospects of a recession, or for any other reasons. The retention of patients in IMerge Phase 3 and the enrollment and retention of patients in IMpactMF, IMproveMF and IMpress, depend on many factors, such as: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ability to identify and screen patients who meet the patient eligibility criteria specified in the protocol;</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the size of the patient population required for analysis of the trial’s primary endpoint;</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35</w:t>
      </w:r>
    </w:p>
    <w:p>
      <w:pPr>
        <w:pStyle w:val="HorizontalLine"/>
        <w:rPr/>
      </w:pPr>
      <w:r>
        <w:rPr/>
      </w:r>
    </w:p>
    <w:p>
      <w:pPr>
        <w:pStyle w:val="TextBody"/>
        <w:spacing w:before="0" w:after="0"/>
        <w:jc w:val="left"/>
        <w:rPr/>
      </w:pPr>
      <w:r>
        <w:rPr/>
        <w:t>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proximity of patients to trial sites, and patients’ willingness and ability to travel to trial sites for treatment or monitoring during the COVID-19 pandemic or civil or political unrest, such as the military conflict between Ukraine and Russia;</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design of the trial;</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ability to recruit and retain clinical trial investigators with the appropriate competencies and experience;</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clinicians’ and patients’ perceptions of the potential advantages of imetelstat, both in relation to other available therapies, including new drugs that have been approved or may be approved for the indications being investigated, and as a result of data reported from previous or current clinical trials of imetelstat, and their willingness to participate in clinical trials of imetelstat;</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monitoring patients adequately during and after treatment;</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ability to obtain and maintain patient consents;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risk that disease progression will result in death or clinical deterioration before the patient can enroll in a clinical trial of imetelstat, or before sufficient data has been collected from such patient, such that any data collected from the patient does not contribute in a meaningful way to the interpretation of the results of the clinical trial in which the patient is enrolled; and</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the risk that patients enrolled in any imetelstat clinical trial will drop out of the trial before completion, due to lack of efficacy, adverse side effects, investigator decision, progressive disease, site restrictions due to the effects of macroeconomic conditions like the COVID-19 pandemic, or civil or political unrest or military conflicts around the world, such as the military conflict between Ukraine and Russia, alternate treatments being approved for the indication, or personal issues.</w:t>
      </w:r>
    </w:p>
    <w:p>
      <w:pPr>
        <w:pStyle w:val="TextBody"/>
        <w:spacing w:before="0" w:after="0"/>
        <w:jc w:val="left"/>
        <w:rPr>
          <w:rFonts w:ascii="Times New Roman;serif" w:hAnsi="Times New Roman;serif"/>
          <w:b w:val="false"/>
          <w:sz w:val="20"/>
        </w:rPr>
      </w:pPr>
      <w:r>
        <w:rPr>
          <w:rFonts w:ascii="Times New Roman;serif" w:hAnsi="Times New Roman;serif"/>
          <w:b w:val="false"/>
          <w:sz w:val="20"/>
        </w:rPr>
        <w:t>In addition, IMpactMF has competed and will continue to compete with, and earlier stage clinical trials of imetelstat, such as IMproveMF and IMpress, will compete with, other clinical trials for product candidates that are in the same therapeutic areas with imetelstat, and such trials may also be conducted at the same clinical sites. This competition is reducing the number of clinical sites and hospital staff available to participate in IMpactMF, IMproveMF and IMpress, as well as the number and type of patients available to enroll or remain in current and potential future imetelstat clinical trials. Moreover, because imetelstat represents a departure from more commonly used methods for cancer treatment, potential patients and their doctors may be inclined to use conventional therapies, rather than enroll patients into imetelstat clinical trials, or may decide not to enroll, or may not recommend enrollment, in IMpactMF, IMproveMF or IMpress, based on efficacy and safety results reported to date and that may be reported in the future.</w:t>
      </w:r>
    </w:p>
    <w:p>
      <w:pPr>
        <w:pStyle w:val="TextBody"/>
        <w:spacing w:before="0" w:after="0"/>
        <w:jc w:val="left"/>
        <w:rPr>
          <w:rFonts w:ascii="Times New Roman;serif" w:hAnsi="Times New Roman;serif"/>
          <w:b w:val="false"/>
          <w:sz w:val="20"/>
        </w:rPr>
      </w:pPr>
      <w:r>
        <w:rPr>
          <w:rFonts w:ascii="Times New Roman;serif" w:hAnsi="Times New Roman;serif"/>
          <w:b w:val="false"/>
          <w:sz w:val="20"/>
        </w:rPr>
        <w:t>Furthermore, if imetelstat is approved for commercialization, we will need to complete substantial preparations to be ready for any potential future commercialization of imetelstat. The development of an in-house marketing and sales force or entering into an arrangement with a third party for the commercialization of imetelstat outside of the U.S. will require significant capital expenditures, management resources and time, and may have an adverse effect on the timely completion of IMpactMF, IMproveMF and IMpress.</w:t>
      </w:r>
    </w:p>
    <w:p>
      <w:pPr>
        <w:pStyle w:val="TextBody"/>
        <w:spacing w:before="0" w:after="0"/>
        <w:jc w:val="left"/>
        <w:rPr>
          <w:rFonts w:ascii="Times New Roman;serif" w:hAnsi="Times New Roman;serif"/>
          <w:b w:val="false"/>
          <w:sz w:val="20"/>
        </w:rPr>
      </w:pPr>
      <w:r>
        <w:rPr>
          <w:rFonts w:ascii="Times New Roman;serif" w:hAnsi="Times New Roman;serif"/>
          <w:b w:val="false"/>
          <w:sz w:val="20"/>
        </w:rPr>
        <w:t>Delays caused by the effects of macroeconomic effects, like the COVID-19 pandemic or civil or political unrest or military conflicts around the world, such as the current military conflict between Ukraine and Russia, or other factors in patient enrollment, or the inability to retain or treat patients, have resulted in and may in the future result in further increased costs due to extended timelines and other factors, and may lead to incomplete data sets, or adversely affect the timing or outcome of current and potential future clinical trials of imetelstat which could delay or prevent the commencement, conduct or completion of these trials and adversely affect the clinical development, as well as the timing or outcome of the potential commercialization of imetelstat. Such occurrences would severely and adversely affect our financial results, business and business prospects, and the future of imetelstat.</w:t>
      </w:r>
    </w:p>
    <w:p>
      <w:pPr>
        <w:pStyle w:val="TextBody"/>
        <w:spacing w:before="0" w:after="0"/>
        <w:jc w:val="left"/>
        <w:rPr>
          <w:rFonts w:ascii="Times New Roman;serif" w:hAnsi="Times New Roman;serif"/>
          <w:b/>
          <w:i/>
          <w:sz w:val="20"/>
        </w:rPr>
      </w:pPr>
      <w:r>
        <w:rPr>
          <w:rFonts w:ascii="Times New Roman;serif" w:hAnsi="Times New Roman;serif"/>
          <w:b/>
          <w:i/>
          <w:sz w:val="20"/>
        </w:rPr>
        <w:t>Imetelstat may continue to cause, or have attributed to it, undesirable or unintended side effects or other adverse events that could further delay or prevent the commencement and/or completion of clinical trials for imetelstat, further delay or prevent its regulatory approval, or limit its commercial potential.</w:t>
      </w:r>
    </w:p>
    <w:p>
      <w:pPr>
        <w:pStyle w:val="TextBody"/>
        <w:spacing w:before="0" w:after="0"/>
        <w:jc w:val="left"/>
        <w:rPr>
          <w:rFonts w:ascii="Times New Roman;serif" w:hAnsi="Times New Roman;serif"/>
          <w:b w:val="false"/>
          <w:sz w:val="20"/>
        </w:rPr>
      </w:pPr>
      <w:r>
        <w:rPr>
          <w:rFonts w:ascii="Times New Roman;serif" w:hAnsi="Times New Roman;serif"/>
          <w:b w:val="false"/>
          <w:sz w:val="20"/>
        </w:rPr>
        <w:t>Imetelstat may continue to cause, or have attributed to it, undesirable or unintended side effects or other adverse events affecting its safety or efficacy that could interrupt, further delay or halt current or potential future clinical trials of imetelstat, such as IMerge Phase 3, IMpactMF, IMproveMF and IMpress. In this regard, adverse events and dose-limiting toxicities observed in previous and ongoing clinical trials of imetelstat include:</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hematologic toxicities, such as profound and/or prolonged thrombocytopenia or neutropenia, including one case of febrile neutropenia after prolonged myelosuppression with intracranial hemorrhage resulting in patient death, which the investigator assessed as possibly related to imetelstat, as well as reversible Grade 4 febrile neutropenia;</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bleeding events, with or without thrombocytopenia, including reversible Grade 3/4 bleeding events;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hepatotoxicity and liver function test abnormalities, as well as hepatic failure;</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gastrointestinal events;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36</w:t>
      </w:r>
    </w:p>
    <w:p>
      <w:pPr>
        <w:pStyle w:val="HorizontalLine"/>
        <w:rPr/>
      </w:pPr>
      <w:r>
        <w:rPr/>
      </w:r>
    </w:p>
    <w:p>
      <w:pPr>
        <w:pStyle w:val="TextBody"/>
        <w:spacing w:before="0" w:after="0"/>
        <w:jc w:val="left"/>
        <w:rPr/>
      </w:pPr>
      <w:r>
        <w:rPr/>
        <w:t>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infections;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muscular and joint pain;</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fatigue;</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headache; and</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infusion-related reactions.</w:t>
      </w:r>
    </w:p>
    <w:p>
      <w:pPr>
        <w:pStyle w:val="TextBody"/>
        <w:spacing w:before="0" w:after="0"/>
        <w:jc w:val="left"/>
        <w:rPr>
          <w:rFonts w:ascii="Times New Roman;serif" w:hAnsi="Times New Roman;serif"/>
          <w:b w:val="false"/>
          <w:sz w:val="20"/>
        </w:rPr>
      </w:pPr>
      <w:r>
        <w:rPr>
          <w:rFonts w:ascii="Times New Roman;serif" w:hAnsi="Times New Roman;serif"/>
          <w:b w:val="false"/>
          <w:sz w:val="20"/>
        </w:rPr>
        <w:t>If patients in any clinical trials of imetelstat, including IMerge Phase 3, IMpactMF, IMproveMF, IMpress or any potential future clinical trials of imetelstat, experience similar or more severe adverse events, or new or unusual adverse events, or if the FDA or other similar international regulatory authorities determine that efficacy and safety data in current or potential future clinical trials of imetelstat do not support an adequate benefit-risk profile to justify continued treatment of patients, then the FDA or other similar international regulatory authorities may again place one or more of the INDs for imetelstat on clinical hold, as occurred in March 2014. If this were to occur, there would be a significant delay in, or possible termination of, such clinical trial or all the imetelstat clinical trials and any potential commercialization efforts, which might cause us to cease operations. For example, we are aware of a case in our IMpactMF clinical trial of a patient with myelofibrosis associated with underlying progressive bone marrow failure, who died from febrile neutropenia, pulmonary hemorrhage and bilateral pneumonia, which, at the time of reporting, the investigator related to imetelstat. If such toxicities or other safety issues in any clinical trial of imetelstat are determined by us, the FDA or similar international regulatory authorities to result in an unacceptable benefit-risk profile, then:</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additional information supporting the benefit-risk profile of imetelstat may be requested by the FDA or similar international regulatory authorities and if any such information supplied by us, or by our former collaboration partner, is not deemed acceptable, current clinical trials of imetelstat could be suspended, terminated, or placed on clinical hold by the FDA or similar international regulatory authorities;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ability to retain enrolled patients in current clinical trials may be negatively affected, resulting in incomplete data sets and the inability to adequately assess the benefit-risk profile of imetelstat in a specific patient population; or</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additional, unexpected clinical trials or non-clinical studies may be required to be conducted.</w:t>
      </w:r>
    </w:p>
    <w:p>
      <w:pPr>
        <w:pStyle w:val="TextBody"/>
        <w:spacing w:before="0" w:after="0"/>
        <w:jc w:val="left"/>
        <w:rPr>
          <w:rFonts w:ascii="Times New Roman;serif" w:hAnsi="Times New Roman;serif"/>
          <w:b w:val="false"/>
          <w:sz w:val="20"/>
        </w:rPr>
      </w:pPr>
      <w:r>
        <w:rPr>
          <w:rFonts w:ascii="Times New Roman;serif" w:hAnsi="Times New Roman;serif"/>
          <w:b w:val="false"/>
          <w:sz w:val="20"/>
        </w:rPr>
        <w:t>Further, clinical trials by their nature examine the effect of a potential therapy in a sample of the potential future patient population. As such, clinical trials conducted with imetelstat, to date and in the future, may not uncover all possible adverse events that patients treated with imetelstat may experience. Because remaining patients in IMerge Phase 3, IMpactMF and IMproveMF continue to receive imetelstat treatment, additional or more severe toxicities or safety issues, including additional non-serious or serious adverse events and dose-limiting toxicities, may be observed as patient treatment continues and more data become available. In addition, because additional data are being generated from these trials, the benefit-risk profile of imetelstat will continue to be assessed, including the risk of hepatotoxicity, severe cytopenias, fatal bleeding with or without any associated thrombocytopenia, patient injury or death, and any other severe adverse effects that may be associated with life-threatening clinical outcomes.</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The occurrence of any of the aforementioned events could interrupt, further delay, or halt, any development, and as a result, impact or preclude the potential commercialization of imetelstat, as well as increase costs to develop imetelstat, which would have a severe adverse effect on our results of operations, financial condition and ability to raise additional capital, business prospects and the future of imetelstat, any of which might cause us to cease operations.</w:t>
      </w:r>
    </w:p>
    <w:p>
      <w:pPr>
        <w:pStyle w:val="TextBody"/>
        <w:spacing w:before="0" w:after="0"/>
        <w:jc w:val="left"/>
        <w:rPr>
          <w:rFonts w:ascii="Times New Roman;serif" w:hAnsi="Times New Roman;serif"/>
          <w:b/>
          <w:i/>
          <w:sz w:val="20"/>
        </w:rPr>
      </w:pPr>
      <w:r>
        <w:rPr>
          <w:rFonts w:ascii="Times New Roman;serif" w:hAnsi="Times New Roman;serif"/>
          <w:b/>
          <w:i/>
          <w:sz w:val="20"/>
        </w:rPr>
        <w:t>The design of a clinical trial can determine whether its results will support regulatory approval of a product, and flaws in the trial design may not become apparent until the clinical trial is well advanced or during the approval process after the trial is completed.</w:t>
      </w:r>
    </w:p>
    <w:p>
      <w:pPr>
        <w:pStyle w:val="TextBody"/>
        <w:spacing w:before="0" w:after="0"/>
        <w:jc w:val="left"/>
        <w:rPr>
          <w:rFonts w:ascii="Times New Roman" w:hAnsi="Times New Roman"/>
          <w:sz w:val="20"/>
        </w:rPr>
      </w:pPr>
      <w:r>
        <w:rPr>
          <w:rFonts w:ascii="Times New Roman;serif" w:hAnsi="Times New Roman;serif"/>
          <w:b w:val="false"/>
          <w:sz w:val="20"/>
        </w:rPr>
        <w:t>A trial design that is considered appropriate for regulatory approval includes a sufficiently large sample size with appropriate statistical power, as well as proper control of bias, to allow a meaningful interpretation of the results. The preliminary results of imetelstat clinical trials with smaller sample sizes can be disproportionately influenced by the impact the treatment had on a few individuals, which limits the ability to generalize the results across a broader community, making the trial results of clinical trials with smaller sample sizes less reliable than trials with a larger number of patients. As a result, there may be less certainty that imetelstat will achieve a statistically significant effect in any future clinical trials.</w:t>
      </w:r>
      <w:r>
        <w:rPr>
          <w:rFonts w:ascii="Times New Roman" w:hAnsi="Times New Roman"/>
          <w:sz w:val="20"/>
        </w:rPr>
        <w:t xml:space="preserve"> </w:t>
      </w:r>
    </w:p>
    <w:p>
      <w:pPr>
        <w:pStyle w:val="TextBody"/>
        <w:spacing w:before="0" w:after="0"/>
        <w:jc w:val="left"/>
        <w:rPr>
          <w:rFonts w:ascii="Times New Roman" w:hAnsi="Times New Roman"/>
          <w:sz w:val="20"/>
        </w:rPr>
      </w:pPr>
      <w:r>
        <w:rPr>
          <w:rFonts w:ascii="Times New Roman;serif" w:hAnsi="Times New Roman;serif"/>
          <w:b w:val="false"/>
          <w:sz w:val="20"/>
        </w:rPr>
        <w:t>For example, we shortened the follow-up period after the last patient has been enrolled from 15 months to 12 months to enable an earlier clinical cut-off date for the primary analysis in IMerge Phase 3. Although we reported positive top-line results from IMerge Phase 3 in January 2023, our decision to shorten the follow-up period after the last patient has been enrolled may result in further clinical responses that may have occurred after the 12-month clinical cut-off date being excluded from the primary analysis. The exclusion of this additional data from the primary analysis could reduce the overall efficacy results of the trial, including durability of transfusion independence, which could limit or prevent marketing approval of imetelstat in lower risk MDS by the FDA or similar international regulatory authorities, cause them not to approve imetelstat at all or require additional clinical trials or further testing prior to granting any regulatory approval to market imetelstat in lower risk MDS.</w:t>
      </w:r>
      <w:r>
        <w:rPr>
          <w:rFonts w:ascii="Times New Roman" w:hAnsi="Times New Roman"/>
          <w:sz w:val="20"/>
        </w:rPr>
        <w:t xml:space="preserve"> </w:t>
      </w:r>
    </w:p>
    <w:p>
      <w:pPr>
        <w:pStyle w:val="TextBody"/>
        <w:spacing w:before="0" w:after="0"/>
        <w:jc w:val="left"/>
        <w:rPr>
          <w:rFonts w:ascii="Times New Roman" w:hAnsi="Times New Roman"/>
          <w:sz w:val="20"/>
        </w:rPr>
      </w:pPr>
      <w:r>
        <w:rPr>
          <w:rFonts w:ascii="Times New Roman;serif" w:hAnsi="Times New Roman;serif"/>
          <w:b w:val="false"/>
          <w:sz w:val="20"/>
        </w:rPr>
        <w:t>Moreover, with respect to the trial design for IMpactMF, the FDA urged us to consider adding a third dosing arm to the trial to assess a lower dose and/or a more frequent dosing schedule that might improve the trial’s chance of success by identifying a less toxic</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37</w:t>
      </w:r>
    </w:p>
    <w:p>
      <w:pPr>
        <w:pStyle w:val="HorizontalLine"/>
        <w:rPr/>
      </w:pPr>
      <w:r>
        <w:rPr/>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regimen and/or more effective spleen response, one of the trial’s secondary endpoints. Based on data from IMbark, our Phase 2 clinical trial in relapsed/refractory MF, we believe that testing a lower dose regimen would likely result in a lower median OS, which is the trial’s primary endpoint, in the imetelstat treatment arm. Existing data also suggest that lowering the dose would not result in a clinically meaningful reduction in toxicity, and for these reasons we therefore determined not to add a third dosing arm to the trial design, and the FDA did not object to our proposed imetelstat dose and schedule of 9.4 mg/kg every three weeks. Our belief may ultimately be incorrect. Therefore, our failure to add a third dosing arm could result in a failure to maintain regulatory clearance from the FDA and similar international regulatory authorities, could result in the trial’s failure, or could otherwise delay, limit or prevent marketing approval of imetelstat in relapsed/refractory MF by the FDA or similar international regulatory authorities.</w:t>
      </w:r>
    </w:p>
    <w:p>
      <w:pPr>
        <w:pStyle w:val="TextBody"/>
        <w:spacing w:before="0" w:after="0"/>
        <w:jc w:val="left"/>
        <w:rPr>
          <w:rFonts w:ascii="Times New Roman;serif" w:hAnsi="Times New Roman;serif"/>
          <w:b/>
          <w:i/>
          <w:sz w:val="20"/>
        </w:rPr>
      </w:pPr>
      <w:r>
        <w:rPr>
          <w:rFonts w:ascii="Times New Roman;serif" w:hAnsi="Times New Roman;serif"/>
          <w:b/>
          <w:i/>
          <w:sz w:val="20"/>
        </w:rPr>
        <w:t>Results and data we disclosed from prior non-clinical studies and clinical trials may not predict success in later clinical trials, and we cannot assure you that any ongoing or future clinical trials of imetelstat will lead to similar results and data that could potentially enable us to obtain any regulatory approvals.</w:t>
      </w:r>
    </w:p>
    <w:p>
      <w:pPr>
        <w:pStyle w:val="TextBody"/>
        <w:spacing w:before="0" w:after="0"/>
        <w:jc w:val="left"/>
        <w:rPr>
          <w:rFonts w:ascii="Times New Roman;serif" w:hAnsi="Times New Roman;serif"/>
          <w:b w:val="false"/>
          <w:sz w:val="20"/>
        </w:rPr>
      </w:pPr>
      <w:r>
        <w:rPr>
          <w:rFonts w:ascii="Times New Roman;serif" w:hAnsi="Times New Roman;serif"/>
          <w:b w:val="false"/>
          <w:sz w:val="20"/>
        </w:rPr>
        <w:t>Success in non-clinical testing and early clinical trials, including Phase 2 clinical trials, such as IMbark, does not ensure that later clinical trials will be successful, nor does it predict final clinical trial results. In addition, even though we reported positive top-line results from IMerge Phase 3 in January 2023, this does not ensure that any other clinical trials of imetelstat, including IMpactMF, IMproveMF and IMpress, will be successful. We cannot be certain that any of the prior, current or potential future clinical trials of imetelstat will generate sufficient, consistent or adequate efficacy and safety data demonstrating a positive benefit-risk profile, which would be necessary to obtain regulatory approval to market imetelstat in any indication. Imetelstat in later stages of clinical trials may fail to show the desired benefit-risk profile despite having progressed through non-clinical studies and initial clinical trials. Many companies in the biopharmaceutical industry have frequently suffered significant setbacks in later clinical trials, even after achieving promising results in earlier non-clinical studies or clinical trials.</w:t>
      </w:r>
    </w:p>
    <w:p>
      <w:pPr>
        <w:pStyle w:val="TextBody"/>
        <w:spacing w:before="0" w:after="0"/>
        <w:jc w:val="left"/>
        <w:rPr>
          <w:rFonts w:ascii="Times New Roman;serif" w:hAnsi="Times New Roman;serif"/>
          <w:b w:val="false"/>
          <w:sz w:val="20"/>
        </w:rPr>
      </w:pPr>
      <w:r>
        <w:rPr>
          <w:rFonts w:ascii="Times New Roman;serif" w:hAnsi="Times New Roman;serif"/>
          <w:b w:val="false"/>
          <w:sz w:val="20"/>
        </w:rPr>
        <w:t>In IMbark, we reported a median overall survival of 19.9 months and 28.1 months for the 4.7 mg/kg and 9.4 mg/kg dosing arms, respectively, in relapsed/refractory MF patients. In general, Phase 3 clinical trials with larger numbers of patients or longer durations of therapy may fail to replicate efficacy and safety results observed in earlier clinical trials, such as IMbark, and if this were to occur with IMpactMF, this would adversely affect future development prospects of imetelstat, and as a result, impact the potential commercialization of imetelstat, which would substantially impair our ability to raise additional capital.</w:t>
      </w:r>
    </w:p>
    <w:p>
      <w:pPr>
        <w:pStyle w:val="TextBody"/>
        <w:spacing w:before="0" w:after="0"/>
        <w:jc w:val="left"/>
        <w:rPr>
          <w:rFonts w:ascii="Times New Roman;serif" w:hAnsi="Times New Roman;serif"/>
          <w:b w:val="false"/>
          <w:sz w:val="20"/>
        </w:rPr>
      </w:pPr>
      <w:r>
        <w:rPr>
          <w:rFonts w:ascii="Times New Roman;serif" w:hAnsi="Times New Roman;serif"/>
          <w:b w:val="false"/>
          <w:sz w:val="20"/>
        </w:rPr>
        <w:t>Furthermore, non-clinical and clinical data are often susceptible to varying interpretations and analyses. In some instances, there can be significant variability between different clinical trials of imetelstat due to numerous factors, including changes in trial procedures set forth in trial protocols, differences in the size and type of patient populations, and changes in and adherence to the dosing regimens. For example, complete and partial remissions were observed in an investigator-sponsored pilot study of imetelstat conducted at Mayo Clinic in MF patients, or the Pilot Study. However, similar activity was not observed in the MF patients enrolled in IMbark, as shown by the one partial remission observed in the IMbark primary analysis. We believe that differences in the IMbark study design when compared to the Pilot Study design, such as more restrictive patient enrollment criteria requiring either documented objective lack of response to a JAK inhibitor or evidence of progressive disease while on treatment with a JAK inhibitor, may have contributed to the data observed in IMbark differing significantly from data reported from the Pilot Study, but we cannot assure you that any future clinical trials of imetelstat in relapsed/refractory MF will yield results comparable to IMbark or the Pilot Study. In addition, the potential improvement in survival observed in the 9.4 mg/kg dosing arm in IMbark will need to be further assessed in IMpactMF, and similar results, including potential improvement in survival, if any, with respect to any patient population or patient population subgroup, may not be observed in IMpactMF. Likewise, although the statistical analyses comparing IMbark data to closely matched real world data, or RWD, published in the September 2021 issue of the Annals of Hematology, suggest potentially favorable OS in relapsed/refractory MF patients treated with imetelstat, compared to BAT using closely matched patients’ RWD, such comparative analyses between RWD and our clinical trial data have several limitations. For instance, the analyses create a balance between treatment groups with respect to commonly available covariates, but do not take into account the unmeasured and unknown covariates that may affect the outcomes of the analyses. Potential biases are introduced by factors which include, for example, the selection of the patients included in the analyses, misclassification in the matching process, the small sample size, and estimates that may not represent the outcomes for the true treated patient population. For these and other reasons, such comparative analyses and any conclusions from such analyses should be considered carefully and with caution, and should not be relied upon as demonstrative or otherwise predictive or indicative of any current or potential future clinical trial results of imetelstat in relapsed/refractory MF, including IMpactMF.</w:t>
      </w:r>
    </w:p>
    <w:p>
      <w:pPr>
        <w:pStyle w:val="TextBody"/>
        <w:spacing w:before="0" w:after="0"/>
        <w:jc w:val="left"/>
        <w:rPr>
          <w:rFonts w:ascii="Times New Roman;serif" w:hAnsi="Times New Roman;serif"/>
          <w:b w:val="false"/>
          <w:sz w:val="20"/>
        </w:rPr>
      </w:pPr>
      <w:r>
        <w:rPr>
          <w:rFonts w:ascii="Times New Roman;serif" w:hAnsi="Times New Roman;serif"/>
          <w:b w:val="false"/>
          <w:sz w:val="20"/>
        </w:rPr>
        <w:t>Failure to achieve results supporting a positive benefit-risk profile in current or potential future imetelstat clinical trials would interrupt, further delay, or halt, any development, and as a result, potential commercialization of imetelstat, which would have a severe adverse effect on our results of operations, financial condition and ability to raise additional capital, business prospects and the future of imetelstat.</w:t>
      </w:r>
    </w:p>
    <w:p>
      <w:pPr>
        <w:pStyle w:val="TextBody"/>
        <w:spacing w:before="0" w:after="0"/>
        <w:jc w:val="left"/>
        <w:rPr>
          <w:rFonts w:ascii="Times New Roman" w:hAnsi="Times New Roman"/>
          <w:sz w:val="20"/>
        </w:rPr>
      </w:pPr>
      <w:r>
        <w:rPr>
          <w:rFonts w:ascii="Times New Roman;serif" w:hAnsi="Times New Roman;serif"/>
          <w:b/>
          <w:i/>
          <w:sz w:val="20"/>
        </w:rPr>
        <w:t>Interim, “snapshot,” “top-line,” and preliminary data or statistical analyses from clinical trials that we announce or publish from time-to-time may change as more patient data become available, may be more positive than the final data, and are subject to audit and verification procedures that could result in material changes in the final data. Thus, such preliminary data should be considered carefully and with caution and not relied upon as indicative of future clinical results.</w:t>
      </w:r>
      <w:r>
        <w:rPr>
          <w:rFonts w:ascii="Times New Roman" w:hAnsi="Times New Roman"/>
          <w:sz w:val="20"/>
        </w:rPr>
        <w:t xml:space="preserve"> </w:t>
      </w:r>
    </w:p>
    <w:p>
      <w:pPr>
        <w:pStyle w:val="TextBody"/>
        <w:spacing w:before="0" w:after="0"/>
        <w:jc w:val="left"/>
        <w:rPr>
          <w:rFonts w:ascii="Times New Roman" w:hAnsi="Times New Roman"/>
          <w:sz w:val="20"/>
        </w:rPr>
      </w:pPr>
      <w:r>
        <w:rPr>
          <w:rFonts w:ascii="Times New Roman;serif" w:hAnsi="Times New Roman;serif"/>
          <w:b w:val="false"/>
          <w:sz w:val="20"/>
        </w:rPr>
        <w:t>From time-to-time, preliminary or interim safety and efficacy data from previous and current imetelstat clinical trials have been reported or announced by us, clinical investigators or our former collaboration partner. Preliminary data is based on a preliminary</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38</w:t>
      </w:r>
    </w:p>
    <w:p>
      <w:pPr>
        <w:pStyle w:val="HorizontalLine"/>
        <w:rPr/>
      </w:pPr>
      <w:r>
        <w:rPr/>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analysis of then 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such, preliminary or interim results may not be reproduced in any current or potential future clinical trials of imetelstat, and thus should be considered carefully and with caution, and not relied upon as indicative of future clinical results. Additional or updated safety and efficacy data from current or potential future clinical trials of imetelstat may result in a benefit-risk profile that does not justify the continued development of imetelstat in a particular patient population, or at all. Any data reported from IMpactMF may materially differ from and be less positive than data previously reported from IMbark. Thus, reported data should be considered carefully and with caution, and not relied upon as indicative of future clinical results. Such additional data could result in a lower benefit-risk profile than initially expected, which could hinder the potential success of IMpactMF, IMproveMF or IMpress, or cause us to abandon further development of imetelstat entirely.</w:t>
      </w:r>
      <w:r>
        <w:rPr>
          <w:rFonts w:ascii="Times New Roman" w:hAnsi="Times New Roman"/>
          <w:sz w:val="20"/>
        </w:rPr>
        <w:t xml:space="preserve">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In January 2023, we announced positive top-line results from IMerge Phase 3. Such top-line results may differ from future results of the same study, or different conclusions or considerations may qualify such results, once additional data have been received and fully evaluated. As a result, top-line results, including from IMerge Phase 3, should be viewed with caution. Moreover, as remaining patients in IMerge Phase 3 continue to be treated and followed under the extension phase of the trial and longer-term outcomes are assessed, these additional and more mature data may alter the benefit-risk profile of imetelstat. Material adverse differences in future results, compared to preliminary, interim or top-line data, could severely and adversely affect our financial results, business and business prospects, and the future of imetelstat, including the potential commercialization of imetelstat, and might cause us to cease operations.</w:t>
      </w:r>
    </w:p>
    <w:p>
      <w:pPr>
        <w:pStyle w:val="TextBody"/>
        <w:spacing w:before="0" w:after="0"/>
        <w:jc w:val="left"/>
        <w:rPr>
          <w:rFonts w:ascii="Times New Roman;serif" w:hAnsi="Times New Roman;serif"/>
          <w:b/>
          <w:i/>
          <w:sz w:val="20"/>
        </w:rPr>
      </w:pPr>
      <w:r>
        <w:rPr>
          <w:rFonts w:ascii="Times New Roman;serif" w:hAnsi="Times New Roman;serif"/>
          <w:b/>
          <w:i/>
          <w:sz w:val="20"/>
        </w:rPr>
        <w:t>The research and development of imetelstat is subject to numerous risks and uncertainties.</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The science and technology of telomere biology, telomerase and our proprietary oligonucleotide chemistry are relatively new. There is no precedent for the successful commercialization of a therapeutic product candidate based on these technologies. Significant research and development activities will be necessary to further develop imetelstat, our sole product candidate, and may take years to accomplish, if at all.</w:t>
      </w:r>
    </w:p>
    <w:p>
      <w:pPr>
        <w:pStyle w:val="TextBody"/>
        <w:spacing w:before="0" w:after="0"/>
        <w:jc w:val="left"/>
        <w:rPr>
          <w:rFonts w:ascii="Times New Roman;serif" w:hAnsi="Times New Roman;serif"/>
          <w:b w:val="false"/>
          <w:sz w:val="20"/>
        </w:rPr>
      </w:pPr>
      <w:r>
        <w:rPr>
          <w:rFonts w:ascii="Times New Roman;serif" w:hAnsi="Times New Roman;serif"/>
          <w:b w:val="false"/>
          <w:sz w:val="20"/>
        </w:rPr>
        <w:t>Because of the significant scientific, regulatory and commercial challenges that must be overcome to successfully research, develop and commercialize imetelstat, the development of imetelstat in myeloid hematologic malignancies, including MDS and MF, may be further delayed or abandoned, even after significant resources have been expended on it. Examples of such situations include:</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 September 2012, the discontinuation of our Phase 2 clinical trial of imetelstat in metastatic breast cancer;</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 April 2013, the discontinuation of our development of imetelstat in solid tumors with short telomeres;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in March 2014, the full clinical hold placed by the FDA on imetelstat clinical trials;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 the third quarter of 2016, closure of the 4.7 mg/kg dosing arm in IMbark to new patient enrollment and suspension of enrollment in the 9.4 mg/kg dosing arm in IMbark because an insufficient number of patients in the 9.4 mg/kg dosing arm met the protocol defined interim efficacy criteria at 12 weeks;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 the third quarter of 2017, expansion of IMerge Phase 2 to enroll additional lower risk MDS patients in a target patient population; and</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in September 2018, our former collaboration partner’s decision to terminate its imetelstat collaboration agreement with us.</w:t>
      </w:r>
    </w:p>
    <w:p>
      <w:pPr>
        <w:pStyle w:val="TextBody"/>
        <w:spacing w:before="0" w:after="0"/>
        <w:jc w:val="left"/>
        <w:rPr>
          <w:rFonts w:ascii="Times New Roman;serif" w:hAnsi="Times New Roman;serif"/>
          <w:b w:val="false"/>
          <w:sz w:val="20"/>
        </w:rPr>
      </w:pPr>
      <w:r>
        <w:rPr>
          <w:rFonts w:ascii="Times New Roman;serif" w:hAnsi="Times New Roman;serif"/>
          <w:b w:val="false"/>
          <w:sz w:val="20"/>
        </w:rPr>
        <w:t>Further delay, suspension or abandonment of our development of imetelstat in myeloid hematologic malignancies, including with respect to our IMpactMF, IMproveMF and IMpress clinical trials, could have a material adverse effect on the future of imetelstat and our business prospects, including the potential commercialization of imetelstat in indications other than lower risk MDS.</w:t>
      </w:r>
    </w:p>
    <w:p>
      <w:pPr>
        <w:pStyle w:val="TextBody"/>
        <w:spacing w:before="0" w:after="0"/>
        <w:jc w:val="left"/>
        <w:rPr>
          <w:rFonts w:ascii="Times New Roman;serif" w:hAnsi="Times New Roman;serif"/>
          <w:b/>
          <w:i/>
          <w:sz w:val="20"/>
        </w:rPr>
      </w:pPr>
      <w:r>
        <w:rPr>
          <w:rFonts w:ascii="Times New Roman;serif" w:hAnsi="Times New Roman;serif"/>
          <w:b/>
          <w:i/>
          <w:sz w:val="20"/>
        </w:rPr>
        <w:t>We rely on third parties to conduct our current and potential future clinical trials of imetelstat. If these third parties do not successfully carry out their contractual duties or meet expected deadlines, we may be unable to continue the development of, obtain regulatory approval for, or commercialize imetelstat.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We do not have the ability to independently conduct clinical trials. Therefore, we rely on medical institutions, clinical investigators, contract laboratories and other third parties, such as CROs, service providers, vendors, suppliers and consultants, to conduct clinical trials of imetelstat. The third parties we contract with for execution of our current and potential future clinical trials of imetelstat play a critical role in the conduct of these trials and the subsequent collection and analysis of data. However, these third parties are not our employees, and except for contractual duties and obligations, we have limited ability to control their performance, or the amount or timing of resources that they devote to imetelstat. For example, we have retained CROs to support our imetelstat clinical development activities, and any failure by our CROs to perform their contractual obligations, or disputes with our CROs about the quality of their performance or other matters, could further delay or halt our imetelstat clinical development activities, including current or future imetelstat clinical trials. These third parties may also have relationships with other commercial entities, some of which may compete with us. Under certain circumstances, these third parties may terminate their agreements with us without cause and upon immediate written notice.</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39</w:t>
      </w:r>
    </w:p>
    <w:p>
      <w:pPr>
        <w:pStyle w:val="HorizontalLine"/>
        <w:rPr/>
      </w:pPr>
      <w:r>
        <w:rPr/>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Although we rely on third parties to conduct our imetelstat clinical trials, including IMerge Phase 3, IMpactMF and IMproveMF, we remain responsible for ensuring that each clinical trial is conducted in accordance with its investigational plan and protocol, and applicable laws. Moreover, the FDA and similar international regulatory authorities require us to comply with GCP regulations and standards for conducting, monitoring, recording and reporting the results of clinical trials to ensure that the data and results are scientifically credible and accurate, and that the rights, integrity and confidentiality of patients participating in clinical trials are protected, including being adequately informed of the potential risks. Regulatory authorities enforce these GCP requirements through periodic inspections of trial sponsors, principal investigators and trial sites. If we or any of our CROs fail to comply with applicable GCP requirements, the clinical data generated in our clinical trials may be deemed unreliable and the FDA, or similar international regulatory authorities, may require us to perform additional clinical trials before approving any application for approval. We cannot assure you that upon inspection by a given regulatory authority, such regulatory authority will determine that any of our clinical trials comply with GCP or other applicable regulations. In addition, our clinical trials must be conducted with imetelstat produced under applicable GMP regulations. Our failure to comply with these regulations may require us to repeat clinical trials, which would further delay the process for any regulatory approval. Our ability to comply with these regulations and standards may be contingent upon activities conducted by third parties, and if they fail to perform in accordance with contractual obligations and legal requirements, our development of imetelstat may be interrupted, further delayed or halted. Any failures by us or third parties noted above would have a severe adverse effect on our results of operations, financial condition and ability to raise additional capital, business prospects and the future of imetelstat, including the potential commercialization of imetelstat, any of which might cause us to cease operations.</w:t>
      </w:r>
    </w:p>
    <w:p>
      <w:pPr>
        <w:pStyle w:val="TextBody"/>
        <w:spacing w:before="0" w:after="0"/>
        <w:jc w:val="left"/>
        <w:rPr>
          <w:rFonts w:ascii="Times New Roman;serif" w:hAnsi="Times New Roman;serif"/>
          <w:b w:val="false"/>
          <w:sz w:val="20"/>
        </w:rPr>
      </w:pPr>
      <w:r>
        <w:rPr>
          <w:rFonts w:ascii="Times New Roman;serif" w:hAnsi="Times New Roman;serif"/>
          <w:b w:val="false"/>
          <w:sz w:val="20"/>
        </w:rPr>
        <w:t>We also are required to register imetelstat clinical trials that we sponsor and post the results of certain completed clinical trials on certain government-sponsored databases, such as ClinicalTrials.gov, within certain timeframes. Failure to do so can result in fines, adverse publicity and civil and criminal sanctions.</w:t>
      </w:r>
    </w:p>
    <w:p>
      <w:pPr>
        <w:pStyle w:val="TextBody"/>
        <w:spacing w:before="0" w:after="0"/>
        <w:jc w:val="left"/>
        <w:rPr>
          <w:rFonts w:ascii="Times New Roman;serif" w:hAnsi="Times New Roman;serif"/>
          <w:b w:val="false"/>
          <w:sz w:val="20"/>
        </w:rPr>
      </w:pPr>
      <w:r>
        <w:rPr>
          <w:rFonts w:ascii="Times New Roman;serif" w:hAnsi="Times New Roman;serif"/>
          <w:b w:val="false"/>
          <w:sz w:val="20"/>
        </w:rPr>
        <w:t>Furthermore, the execution of clinical trials and the subsequent compilation and analysis of the data produced, including the interim and final analyses for IMpactMF, requires coordination among various parties. In order for these functions to be carried out effectively and efficiently, it is imperative that these parties communicate and coordinate with one another. If the quality or accuracy of the clinical data obtained, compiled or analyzed by third parties is compromised due to their failure to adhere to our clinical trial protocols, GCP or GMP requirements, or for any other reason, we may need to enter into new arrangements with alternative third parties, which would cause delay, and could be difficult, costly or impossible. If third parties conducting our clinical trials do not perform their contractual duties or obligations, experience work stoppages, do not meet expected deadlines, terminate their agreements with us or need to be replaced, our clinical trials may be extended, delayed or terminated, or may be unsuccessful or need to be repeated, which could have a material adverse effect on our business, including the potential commercialization of imetelstat, and might cause us to cease operations.</w:t>
      </w:r>
    </w:p>
    <w:p>
      <w:pPr>
        <w:pStyle w:val="TextBody"/>
        <w:spacing w:before="0" w:after="0"/>
        <w:jc w:val="left"/>
        <w:rPr>
          <w:rFonts w:ascii="Times New Roman;serif" w:hAnsi="Times New Roman;serif"/>
          <w:b w:val="false"/>
          <w:sz w:val="20"/>
        </w:rPr>
      </w:pPr>
      <w:r>
        <w:rPr>
          <w:rFonts w:ascii="Times New Roman;serif" w:hAnsi="Times New Roman;serif"/>
          <w:b w:val="false"/>
          <w:sz w:val="20"/>
        </w:rPr>
        <w:t>If any of our relationships with these third parties terminate, we may not be able to enter into arrangements with alternative third parties or do so on commercially reasonable terms. Switching or adding CROs, investigators and other third parties involves additional costs and delays because of the time it takes to finalize a contract with a new CRO and for their commencement of work. As a result, delays can occur, which could materially impact our ability to meet our desired clinical development timelines. Although we carefully manage our relationships with our CROs, investigators and other third parties, we and any of these third parties may nonetheless encounter challenges or delays in the future, which could have a material and adverse impact on our business, business prospects and the future of imetelstat.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In addition, certain principal investigators for our clinical trials serve as scientific advisors or consultants to us from time to time and receive compensation in connection with such services. Under certain circumstances, we may be required to report some of these relationships to the FDA. The FDA may conclude that a financial relationship between us and a principal investigator has created a conflict of interest or otherwise affected conduct of the trial. The FDA may therefore question the integrity of the data generated at the applicable clinical trial site and the utility of the clinical trial itself may be jeopardized. This could result in a delay in approval, or rejection, of any applications for approval by the FDA and may ultimately lead to the denial of approval of imetelstat.</w:t>
      </w:r>
    </w:p>
    <w:p>
      <w:pPr>
        <w:pStyle w:val="TextBody"/>
        <w:spacing w:before="0" w:after="0"/>
        <w:jc w:val="left"/>
        <w:rPr>
          <w:rFonts w:ascii="Times New Roman;serif" w:hAnsi="Times New Roman;serif"/>
          <w:b/>
          <w:i/>
          <w:sz w:val="20"/>
        </w:rPr>
      </w:pPr>
      <w:r>
        <w:rPr>
          <w:rFonts w:ascii="Times New Roman;serif" w:hAnsi="Times New Roman;serif"/>
          <w:b/>
          <w:i/>
          <w:sz w:val="20"/>
        </w:rPr>
        <w:t>We will not control the conduct of current or any potential future investigator-led clinical trials, and data from such trials could show marginal efficacy and/or clinically relevant safety concerns related to imetelstat resulting in an unfavorable benefit-to-risk assessment that could impact our ongoing clinical trials or development program for imetelstat.</w:t>
      </w:r>
    </w:p>
    <w:p>
      <w:pPr>
        <w:pStyle w:val="TextBody"/>
        <w:spacing w:before="0" w:after="0"/>
        <w:jc w:val="left"/>
        <w:rPr>
          <w:rFonts w:ascii="Times New Roman" w:hAnsi="Times New Roman"/>
          <w:sz w:val="20"/>
        </w:rPr>
      </w:pPr>
      <w:r>
        <w:rPr>
          <w:rFonts w:ascii="Times New Roman;serif" w:hAnsi="Times New Roman;serif"/>
          <w:b w:val="false"/>
          <w:sz w:val="20"/>
        </w:rPr>
        <w:t>We will not control the design or administration of the investigator-led clinical trial, IMpress, or any potential future investigator-led trials, nor the submission, approval or maintenance of any IND or international equivalent filings required to conduct these clinical trials. In addition, we will not have control over the timing and reporting of the data from any such investigator-led clinical trials. A delay in the timely completion of or reporting of data from any potential future investigator-led clinical trial could have a material adverse effect on our ability to further develop imetelstat or to advance imetelstat to subsequent clinical trials.</w:t>
      </w:r>
      <w:r>
        <w:rPr>
          <w:rFonts w:ascii="Times New Roman" w:hAnsi="Times New Roman"/>
          <w:sz w:val="20"/>
        </w:rPr>
        <w:t xml:space="preserve"> </w:t>
      </w:r>
    </w:p>
    <w:p>
      <w:pPr>
        <w:pStyle w:val="TextBody"/>
        <w:spacing w:before="0" w:after="0"/>
        <w:jc w:val="left"/>
        <w:rPr>
          <w:rFonts w:ascii="Times New Roman" w:hAnsi="Times New Roman"/>
          <w:sz w:val="20"/>
        </w:rPr>
      </w:pPr>
      <w:r>
        <w:rPr>
          <w:rFonts w:ascii="Times New Roman;serif" w:hAnsi="Times New Roman;serif"/>
          <w:b w:val="false"/>
          <w:sz w:val="20"/>
        </w:rPr>
        <w:t>Investigator-led clinical trials may be conducted under less rigorous clinical standards than those used in company-sponsored clinical trials. Accordingly, regulatory authorities may closely scrutinize the data collected from these investigator-led clinical trials. In addition, any investigator-led clinical trials could show marginal efficacy and/or clinically relevant safety concerns that could delay the further clinical development or marketing approval of imetelstat for any indication. To the extent that the results of any investigator-led clinical trials raise safety or other concerns regarding imetelstat, regulatory authorities may question the results of such investigator-led clinical trials, or question the results of company-sponsored trials, IMerge Phase 3, IMpactMF, and IMproveMF.</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40</w:t>
      </w:r>
    </w:p>
    <w:p>
      <w:pPr>
        <w:pStyle w:val="HorizontalLine"/>
        <w:rPr/>
      </w:pPr>
      <w:r>
        <w:rPr/>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Safety concerns arising from future investigator-led clinical trials could result in partial or full clinical holds being placed on the imetelstat INDs by the FDA or other similar international regulatory authorities, as occurred in March 2014, which would further delay or prevent us from advancing imetelstat into further clinical development and cause us to discontinue our development of imetelstat, which would severely harm our business and prospects, including the potential commercialization of imetelstat, and could potentially cause us to cease operations.</w:t>
      </w:r>
    </w:p>
    <w:p>
      <w:pPr>
        <w:pStyle w:val="TextBody"/>
        <w:spacing w:before="0" w:after="0"/>
        <w:jc w:val="left"/>
        <w:rPr/>
      </w:pPr>
      <w:r>
        <w:rPr/>
        <w:t> </w:t>
      </w:r>
    </w:p>
    <w:p>
      <w:pPr>
        <w:pStyle w:val="TextBody"/>
        <w:spacing w:before="0" w:after="0"/>
        <w:jc w:val="center"/>
        <w:rPr>
          <w:rFonts w:ascii="Times New Roman;serif" w:hAnsi="Times New Roman;serif"/>
          <w:b/>
          <w:caps/>
          <w:sz w:val="20"/>
        </w:rPr>
      </w:pPr>
      <w:r>
        <w:rPr>
          <w:rFonts w:ascii="Times New Roman;serif" w:hAnsi="Times New Roman;serif"/>
          <w:b/>
          <w:caps/>
          <w:sz w:val="20"/>
        </w:rPr>
        <w:t>Risks Related to Regulatory APPROVAL and Commercialization of Imetelstat</w:t>
      </w:r>
    </w:p>
    <w:p>
      <w:pPr>
        <w:pStyle w:val="TextBody"/>
        <w:spacing w:before="0" w:after="0"/>
        <w:jc w:val="left"/>
        <w:rPr>
          <w:rFonts w:ascii="Times New Roman;serif" w:hAnsi="Times New Roman;serif"/>
          <w:b/>
          <w:i/>
          <w:sz w:val="20"/>
        </w:rPr>
      </w:pPr>
      <w:r>
        <w:rPr>
          <w:rFonts w:ascii="Times New Roman;serif" w:hAnsi="Times New Roman;serif"/>
          <w:b/>
          <w:i/>
          <w:sz w:val="20"/>
        </w:rPr>
        <w:t>Our inability to obtain and maintain regulatory clearances and approvals to continue the clinical development of, and to potentially commercialize, imetelstat, would severely and adversely affect imetelstat’s future value, and our business and business prospects, and might cause us to cease operations.</w:t>
      </w:r>
    </w:p>
    <w:p>
      <w:pPr>
        <w:pStyle w:val="TextBody"/>
        <w:spacing w:before="0" w:after="0"/>
        <w:jc w:val="left"/>
        <w:rPr>
          <w:rFonts w:ascii="Times New Roman;serif" w:hAnsi="Times New Roman;serif"/>
          <w:b w:val="false"/>
          <w:sz w:val="20"/>
        </w:rPr>
      </w:pPr>
      <w:r>
        <w:rPr>
          <w:rFonts w:ascii="Times New Roman;serif" w:hAnsi="Times New Roman;serif"/>
          <w:b w:val="false"/>
          <w:sz w:val="20"/>
        </w:rPr>
        <w:t>Federal, state and local governments in the U.S. and governments in other countries have significant regulations in place that govern drug research and development and may prevent us from successfully conducting development efforts or potentially commercializing imetelstat. Delays in obtaining or failure to maintain regulatory clearances and approvals, or limitations in the scope of such clearances or approvals, could:</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impede or halt our activities and plans for clinical development and commercialization;</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significantly harm the commercial potential of imetelstat;</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impose additional development costs;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diminish any competitive advantages that may have been available to us; or</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further delay or preclude any revenue we may receive from the future commercialization of imetelstat, if any.</w:t>
      </w:r>
    </w:p>
    <w:p>
      <w:pPr>
        <w:pStyle w:val="TextBody"/>
        <w:spacing w:before="0" w:after="0"/>
        <w:jc w:val="left"/>
        <w:rPr>
          <w:rFonts w:ascii="Times New Roman" w:hAnsi="Times New Roman"/>
          <w:sz w:val="20"/>
        </w:rPr>
      </w:pPr>
      <w:r>
        <w:rPr>
          <w:rFonts w:ascii="Times New Roman;serif" w:hAnsi="Times New Roman;serif"/>
          <w:b w:val="false"/>
          <w:sz w:val="20"/>
        </w:rPr>
        <w:t>In addition, with respect to the trial design for IMpactMF, the FDA urged us to consider adding a third dosing arm to the trial to assess a lower dose and/or a more frequent dosing schedule that might improve the trial’s chance of success by identifying a less toxic regimen and/or more effective spleen response, one of the trial’s secondary endpoints. Based on data from IMbark, we believe that testing a lower dose regimen would likely result in a lower median OS, which is the trial’s primary endpoint, in the imetelstat treatment arm. Existing data also suggest that lowering the dose would not result in a clinically meaningful reduction in toxicity, and for these reasons we therefore determined not to add a third dosing arm to the trial design and the FDA did not object to our proposed imetelstat dose and schedule of 9.4 mg/kg every three weeks. Our belief may ultimately be incorrect. Therefore, our failure to add a third dosing arm could result in a failure to maintain regulatory clearance from the FDA and similar international regulatory authorities, could result in the trial’s failure, or could otherwise delay, limit or prevent marketing approval of imetelstat for relapsed/refractory MF by the FDA or similar international regulatory authorities.</w:t>
      </w:r>
      <w:r>
        <w:rPr>
          <w:rFonts w:ascii="Times New Roman" w:hAnsi="Times New Roman"/>
          <w:sz w:val="20"/>
        </w:rPr>
        <w:t xml:space="preserve">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Furthermore, in IMerge Phase 3 we shortened the follow-up period after the last patient has been enrolled from 15 months to 12 months to enable an earlier clinical cut-off date for the primary analysis. Although we reported positive top-line results from IMerge Phase 3 in January 2023, our decision to shorten the follow-up period after the last patient has been enrolled may result in further clinical responses that may have occurred after the 12-month clinical cut-off date being excluded from the primary analysis. The exclusion of this future data from the primary analysis could reduce the overall efficacy results, including durability of transfusion independence, which could otherwise delay, limit or prevent marketing approval of imetelstat in lower risk MDS by the FDA or similar international regulatory authorities or require additional clinical trials and further testing prior to granting any regulatory approval to market imetelstat in lower risk MDS.</w:t>
      </w:r>
    </w:p>
    <w:p>
      <w:pPr>
        <w:pStyle w:val="TextBody"/>
        <w:spacing w:before="0" w:after="0"/>
        <w:jc w:val="left"/>
        <w:rPr>
          <w:rFonts w:ascii="Times New Roman;serif" w:hAnsi="Times New Roman;serif"/>
          <w:b w:val="false"/>
          <w:sz w:val="20"/>
        </w:rPr>
      </w:pPr>
      <w:r>
        <w:rPr>
          <w:rFonts w:ascii="Times New Roman;serif" w:hAnsi="Times New Roman;serif"/>
          <w:b w:val="false"/>
          <w:sz w:val="20"/>
        </w:rPr>
        <w:t>Even though we reported positive top-line results from IMerge Phase 3 in January 2023, those results are not necessarily predictive of imetelstat activity in other indications and for other pivotal trials that may be needed to support any application to the FDA or similar international regulatory authorities for such other indications, such as from IMpactMF. We may therefore fail to further develop or commercialize imetelstat, which would severely and adversely affect our business and business prospects, and might cause us to cease operations.</w:t>
      </w:r>
    </w:p>
    <w:p>
      <w:pPr>
        <w:pStyle w:val="TextBody"/>
        <w:spacing w:before="0" w:after="0"/>
        <w:jc w:val="left"/>
        <w:rPr>
          <w:rFonts w:ascii="Times New Roman;serif" w:hAnsi="Times New Roman;serif"/>
          <w:b/>
          <w:i/>
          <w:sz w:val="20"/>
        </w:rPr>
      </w:pPr>
      <w:r>
        <w:rPr>
          <w:rFonts w:ascii="Times New Roman;serif" w:hAnsi="Times New Roman;serif"/>
          <w:b/>
          <w:i/>
          <w:sz w:val="20"/>
        </w:rPr>
        <w:t>If we are unable to prepare and timely submit the planned NDA for imetelstat in lower risk MDS, and to successfully obtain regulatory approval for and commercialize imetelstat, or experience significant delays in doing so, our business will be materially harmed.</w:t>
      </w:r>
    </w:p>
    <w:p>
      <w:pPr>
        <w:pStyle w:val="TextBody"/>
        <w:spacing w:before="0" w:after="0"/>
        <w:jc w:val="left"/>
        <w:rPr>
          <w:rFonts w:ascii="Times New Roman" w:hAnsi="Times New Roman"/>
          <w:sz w:val="20"/>
        </w:rPr>
      </w:pPr>
      <w:r>
        <w:rPr>
          <w:rFonts w:ascii="Times New Roman;serif" w:hAnsi="Times New Roman;serif"/>
          <w:b w:val="false"/>
          <w:sz w:val="20"/>
        </w:rPr>
        <w:t>The process of obtaining marketing approvals, both in the U.S. and in other countries, is lengthy, expensive and uncertain. It may take many years to obtain approval, if approval is obtained at all, and can vary substantially based upon a variety of factors, including the type, complexity and novelty of the product candidates involved. Of the large number of drugs in development, only a small percentage complete the regulatory approval process and are successfully commercialized. In addition, the lengthy review process as well as the unpredictability of future clinical trial results may result in a delay in obtaining, or our failure to obtain, regulatory approval for imetelstat in lower risk MDS, relapsed/refractory MF, or any other indication, which would significantly harm our business, business prospects, including the potential commercialization of imetelstat, and the future value of imetelstat and might cause us to cease operations.</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41</w:t>
      </w:r>
    </w:p>
    <w:p>
      <w:pPr>
        <w:pStyle w:val="HorizontalLine"/>
        <w:rPr/>
      </w:pPr>
      <w:r>
        <w:rPr/>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Securing marketing approval requires the submission of extensive non-clinical and clinical data and supporting information to regulatory authorities for each therapeutic indication to establish the product candidate’s safety and efficacy, as well as information about the product manufacturing process and any inspections of manufacturing facilities conducted by regulatory authorities through the filing of an NDA in the U.S. and an MAA in Europe. As a company, we have not previously submitted an NDA to the FDA or similar applications to comparable international regulatory authorities for imetelstat. The preparation of an NDA requires a great deal of effort and expertise, and if we do not secure the necessary resources and retain personnel having the requisite expertise to prepare and submit an NDA, the filing of any NDA would be delayed. Further, if we submit an NDA, there can be no assurance that it will be accepted by the FDA. If the FDA determines after an initial review of the NDA that the data included in the application is insufficient and not ready for formal consideration, we could receive a “refuse to file” notice. The FDA also has substantial discretion in the approval process.</w:t>
      </w:r>
    </w:p>
    <w:p>
      <w:pPr>
        <w:pStyle w:val="TextBody"/>
        <w:spacing w:before="0" w:after="0"/>
        <w:jc w:val="left"/>
        <w:rPr>
          <w:rFonts w:ascii="Times New Roman;serif" w:hAnsi="Times New Roman;serif"/>
          <w:b w:val="false"/>
          <w:sz w:val="20"/>
        </w:rPr>
      </w:pPr>
      <w:r>
        <w:rPr>
          <w:rFonts w:ascii="Times New Roman;serif" w:hAnsi="Times New Roman;serif"/>
          <w:b w:val="false"/>
          <w:sz w:val="20"/>
        </w:rPr>
        <w:t>While we reported positive top-line results from IMerge Phase 3 in lower risk MDS, and while we believe that these results and our assessment of the positive benefit-risk profile of imetelstat, combined with data from our Phase 2 clinical trials, are supportive of planned regulatory submissions in the U.S. and in the EU for imetelstat in lower risk MDS, regulatory authorities in those jurisdictions may disagree with our interpretation of the data and may require additional clinical testing before we can seek regulatory approval and begin commercialization of imetelstat, if at all, any of which could result in increased costs to us, delay or limit our ability to generate revenue and adversely affect our commercial prospects. There is no guarantee that we will obtain regulatory approval or be able to commence commercialization on the timeline we are planning or at all.</w:t>
      </w:r>
    </w:p>
    <w:p>
      <w:pPr>
        <w:pStyle w:val="TextBody"/>
        <w:spacing w:before="0" w:after="0"/>
        <w:jc w:val="left"/>
        <w:rPr>
          <w:rFonts w:ascii="Times New Roman;serif" w:hAnsi="Times New Roman;serif"/>
          <w:b w:val="false"/>
          <w:sz w:val="20"/>
        </w:rPr>
      </w:pPr>
      <w:r>
        <w:rPr>
          <w:rFonts w:ascii="Times New Roman;serif" w:hAnsi="Times New Roman;serif"/>
          <w:b w:val="false"/>
          <w:sz w:val="20"/>
        </w:rPr>
        <w:t>Imetelstat must receive all relevant regulatory approvals before it may be marketed in the U.S. or other countries. Regulatory authorities have substantial discretion in the approval process and can delay, limit or deny approval of imetelstat or require us to conduct additional non-clinical or clinical testing or abandon a program for many reasons, including:</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disagreement with the design or implementation of our clinical trials, including our statistical analysis of trial results;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failure to demonstrate to the FDA or similar international regulatory authorities that imetelstat’s efficacy results provide sufficient evidence of overall clinical benefit;</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unfavorable benefit-to-risk assessment, in the case of marginal efficacy and/or clinically relevant safety concerns, for any proposed indication;</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serious and unexpected drug-related side effects experienced by participants in our clinical trials or by individuals using drugs similar to imetelstat;</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disagreement with our interpretation of data from non-clinical studies or clinical trials, including disagreement from any advisory committee convened in connection with the NDA review;</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failure to collect data from clinical trials of imetelstat meeting the level of integrity or statistical or clinical significance required by the FDA or similar international regulatory authorities, or a determination such data is not sufficient to support the submission of an NDA, MAA, or other submission, or to obtain regulatory approval in the U.S., the EU or elsewhere;</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deficiencies in our clinical trial operations or the clinical trial operations of trial sites, including as a result of FDA or EMA bioresearch monitoring inspections in conjunction with NDA or MAA review;</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identification of critical issues as a result of a pre-approval health authority inspection that could negatively impact the integrity of data in an NDA or MAA and lead to a rejection by the FDA and similar international health authorities;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errors or deficiencies in the conduct of the imetelstat program prior to its transition to us by our former collaborator, and/or in the transition of the imetelstat program to us by our former collaborator;</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unwillingness or inability by our former collaborator to provide information requested by the FDA or similar international regulatory authorities regarding the time period when our former collaborator was responsible for the imetelstat program;</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 determination by the FDA or similar international regulatory authorities that the appropriate indication for commercial use of imetelstat is narrower or more restrictive than anticipated;</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failure to satisfy the requirement to develop a risk evaluation and mitigation strategy, or REMS, for the U.S. and a risk management plan for the EU including post-marketing studies, as a potential condition to approval;</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disagreement regarding the formulation, labeling and/or the specifications for imetelstat;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 determination by the FDA or similar international regulatory authorities that the manufacturing processes, test procedures and specifications applicable to the manufacture of imetelstat, or the facilities of the third-party manufacturers with which we contract for clinical and commercial supplies of imetelstat are inadequate, or failure by such third-party manufacturers to maintain compliance with the regulatory and other requirements established by the FDA or similar international regulatory authorities, including as a result of preapproval inspections conducted in conjunction with NDA or MAA review;</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the failure of the quality or stability of imetelstat to meet acceptable regulatory standards;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42</w:t>
      </w:r>
    </w:p>
    <w:p>
      <w:pPr>
        <w:pStyle w:val="HorizontalLine"/>
        <w:rPr/>
      </w:pPr>
      <w:r>
        <w:rPr/>
      </w:r>
    </w:p>
    <w:p>
      <w:pPr>
        <w:pStyle w:val="TextBody"/>
        <w:spacing w:before="0" w:after="0"/>
        <w:jc w:val="left"/>
        <w:rPr/>
      </w:pPr>
      <w:r>
        <w:rPr/>
        <w:t>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FDA or similar international regulatory authorities may lack resources or be delayed in conducting pre-approval inspections due to reasons related to COVID-19 or otherwise;</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or any third-party service providers may be unable to demonstrate compliance with GMP, and/or GCP, to the satisfaction of the FDA or similar international regulatory authorities;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changes in regulatory policies or approval processes, or potential reduction of unmet medical need with the entry of competitive therapies to the market, could render our clinical efficacy or safety data insufficient for approval; or</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political factors surrounding the approval process, such as government shutdowns, political instability or global pandemics, such as COVID-19.</w:t>
      </w:r>
    </w:p>
    <w:p>
      <w:pPr>
        <w:pStyle w:val="TextBody"/>
        <w:spacing w:before="0" w:after="0"/>
        <w:jc w:val="left"/>
        <w:rPr>
          <w:rFonts w:ascii="Times New Roman;serif" w:hAnsi="Times New Roman;serif"/>
          <w:b w:val="false"/>
          <w:sz w:val="20"/>
        </w:rPr>
      </w:pPr>
      <w:r>
        <w:rPr>
          <w:rFonts w:ascii="Times New Roman;serif" w:hAnsi="Times New Roman;serif"/>
          <w:b w:val="false"/>
          <w:sz w:val="20"/>
        </w:rPr>
        <w:t>Furthermore, in recent years, there has been increased public and political scrutiny on the FDA and similar international regulatory authorities with respect to the approval process for new drugs, and as a result regulatory authorities may apply more stringent regulatory standards, especially regarding drug safety, when reviewing regulatory submissions for new drugs.</w:t>
      </w:r>
    </w:p>
    <w:p>
      <w:pPr>
        <w:pStyle w:val="TextBody"/>
        <w:spacing w:before="0" w:after="0"/>
        <w:jc w:val="left"/>
        <w:rPr>
          <w:rFonts w:ascii="Times New Roman;serif" w:hAnsi="Times New Roman;serif"/>
          <w:b w:val="false"/>
          <w:sz w:val="20"/>
        </w:rPr>
      </w:pPr>
      <w:r>
        <w:rPr>
          <w:rFonts w:ascii="Times New Roman;serif" w:hAnsi="Times New Roman;serif"/>
          <w:b w:val="false"/>
          <w:sz w:val="20"/>
        </w:rPr>
        <w:t>Even if we believe we have complied with all of the regulatory requirements to receive marketing approval for imetelstat, we may not obtain marketing approval for reasons that we do not currently predict. If we fail to obtain regulatory approval for imetelstat, we will have no commercialized products and correspondingly no revenue.</w:t>
      </w:r>
    </w:p>
    <w:p>
      <w:pPr>
        <w:pStyle w:val="TextBody"/>
        <w:spacing w:before="0" w:after="0"/>
        <w:jc w:val="left"/>
        <w:rPr>
          <w:rFonts w:ascii="Times New Roman;serif" w:hAnsi="Times New Roman;serif"/>
          <w:b w:val="false"/>
          <w:sz w:val="20"/>
        </w:rPr>
      </w:pPr>
      <w:r>
        <w:rPr>
          <w:rFonts w:ascii="Times New Roman;serif" w:hAnsi="Times New Roman;serif"/>
          <w:b w:val="false"/>
          <w:sz w:val="20"/>
        </w:rPr>
        <w:t>Any marketing approval we ultimately obtain may be limited or subject to restrictions or post-approval commitments that render imetelstat not commercially viable, which would harm imetelstat’s future value and our business and business prospects. In addition, obtaining regulatory approval is a lengthy, expensive and uncertain process. For example, following the result of a referendum in 2016, the United Kingdom, or U.K., left the EU on January 31, 2020, commonly referred to as Brexit, and its withdrawal from the EU was completed on December 31, 2020. The withdrawal of the U.K. from the EU has resulted in uncertainty in relation to the regulatory process in the U.K., and for Europe could potentially result in a delay in the review of regulatory submissions which could also lead to less efficient, more expensive, and potentially lengthier regulatory review processes for companies like us, who may seek to obtain regulatory approval for drug products in the EU or the U.K. Such regulatory changes in the U.K. or elsewhere could adversely affect and/or delay our ability to obtain approval of, and market and sell, imetelstat in the U.S. or other countries.</w:t>
      </w:r>
    </w:p>
    <w:p>
      <w:pPr>
        <w:pStyle w:val="TextBody"/>
        <w:spacing w:before="0" w:after="0"/>
        <w:jc w:val="left"/>
        <w:rPr>
          <w:rFonts w:ascii="Times New Roman;serif" w:hAnsi="Times New Roman;serif"/>
          <w:b w:val="false"/>
          <w:sz w:val="20"/>
        </w:rPr>
      </w:pPr>
      <w:r>
        <w:rPr>
          <w:rFonts w:ascii="Times New Roman;serif" w:hAnsi="Times New Roman;serif"/>
          <w:b w:val="false"/>
          <w:sz w:val="20"/>
        </w:rPr>
        <w:t>Regulatory authorities may also not approve the labeling claims that are necessary or desirable for the successful commercialization of a drug, such as imetelstat. For example, future regulatory clearances, if any, that we might obtain for imetelstat may be limited to fewer or narrower indications than we might request, or may be granted subject to the performance of post-marketing studies, which may impose further requirements or restrictions on the distribution or use of imetelstat, such as limiting prescribing to certain physicians or medical centers that have undergone specialized training, limiting treatment to patients who meet certain safe-use criteria, and requiring treated patients to enroll in a registry. These limitations and restrictions may limit the size of the market for imetelstat and affect reimbursement by third-party payors. Future regulatory clearances, if any, may be limited to a smaller patient population, or may require a different drug formulation or a different manufacturing process, than we might in the future decide to seek.</w:t>
      </w:r>
    </w:p>
    <w:p>
      <w:pPr>
        <w:pStyle w:val="TextBody"/>
        <w:spacing w:before="0" w:after="0"/>
        <w:jc w:val="left"/>
        <w:rPr>
          <w:rFonts w:ascii="Times New Roman;serif" w:hAnsi="Times New Roman;serif"/>
          <w:b w:val="false"/>
          <w:sz w:val="20"/>
        </w:rPr>
      </w:pPr>
      <w:r>
        <w:rPr>
          <w:rFonts w:ascii="Times New Roman;serif" w:hAnsi="Times New Roman;serif"/>
          <w:b w:val="false"/>
          <w:sz w:val="20"/>
        </w:rPr>
        <w:t>In addition, failure by our former collaborator to comply with applicable regulatory guidelines prior to our assumption of sponsorship of the imetelstat program could result in administrative or judicially imposed sanctions on us, including warning letters, civil and criminal penalties, injunctions, product seizures or detention, product recalls, total or partial suspension of manufacturing activities, and the potential refusal to approve any NDAs.</w:t>
      </w:r>
    </w:p>
    <w:p>
      <w:pPr>
        <w:pStyle w:val="TextBody"/>
        <w:spacing w:before="0" w:after="0"/>
        <w:jc w:val="left"/>
        <w:rPr>
          <w:rFonts w:ascii="Times New Roman;serif" w:hAnsi="Times New Roman;serif"/>
          <w:b w:val="false"/>
          <w:sz w:val="20"/>
        </w:rPr>
      </w:pPr>
      <w:r>
        <w:rPr>
          <w:rFonts w:ascii="Times New Roman;serif" w:hAnsi="Times New Roman;serif"/>
          <w:b w:val="false"/>
          <w:sz w:val="20"/>
        </w:rPr>
        <w:t>Any delay in obtaining or failure to obtain required approvals of imetelstat, or limitations on any regulatory approval that we might receive in the future, if any, could reduce the potential commercial use of imetelstat, and potential market demand for imetelstat and therefore result in decreased revenue for us from any commercialization of imetelstat, any of which would severely and adversely affect our financial results and ability to raise additional capital, the price of our common stock, our business and business prospects, including the potential commercialization of imetelstat, and the future of imetelstat, and might cause us to cease operations.</w:t>
      </w:r>
    </w:p>
    <w:p>
      <w:pPr>
        <w:pStyle w:val="TextBody"/>
        <w:spacing w:before="0" w:after="0"/>
        <w:jc w:val="left"/>
        <w:rPr>
          <w:rFonts w:ascii="Times New Roman" w:hAnsi="Times New Roman"/>
          <w:sz w:val="20"/>
        </w:rPr>
      </w:pPr>
      <w:r>
        <w:rPr>
          <w:rFonts w:ascii="Times New Roman;serif" w:hAnsi="Times New Roman;serif"/>
          <w:b/>
          <w:i/>
          <w:sz w:val="20"/>
        </w:rPr>
        <w:t>If imetelstat is approved for commercialization and we are unable to establish sales, marketing and distribution capabilities or enter into agreements with third parties to commercialize imetelstat, we will be unable to successfully commercialize imetelstat if and when it is approved.</w:t>
      </w:r>
      <w:r>
        <w:rPr>
          <w:rFonts w:ascii="Times New Roman" w:hAnsi="Times New Roman"/>
          <w:sz w:val="20"/>
        </w:rPr>
        <w:t xml:space="preserve">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We will need to complete substantial preparations to be ready for any potential future commercialization of imetelstat, and currently we are in the process of establishing sales, marketing or distribution capabilities. As a company, we have no experience in selling and marketing products. To advance imetelstat to potential marketing approval, we will be required to complete our commercialization preparatory activities, and continue to incur related expenses, before we obtain any marketing approval. These activities will include, among other things, the development of an in-house marketing and sales force, which will require significant capital expenditures, management resources and time. We will have to compete with other companies to recruit, hire, train and retain qualified marketing and sales personnel. If we are unable to adequately prepare for the potential future commercialization of imetelstat, we may not be able to generate product revenue if marketing authorization is obtained.</w:t>
      </w:r>
    </w:p>
    <w:p>
      <w:pPr>
        <w:pStyle w:val="TextBody"/>
        <w:spacing w:before="0" w:after="0"/>
        <w:jc w:val="left"/>
        <w:rPr>
          <w:rFonts w:ascii="Times New Roman" w:hAnsi="Times New Roman"/>
          <w:sz w:val="20"/>
        </w:rPr>
      </w:pPr>
      <w:r>
        <w:rPr>
          <w:rFonts w:ascii="Times New Roman;serif" w:hAnsi="Times New Roman;serif"/>
          <w:b w:val="false"/>
          <w:sz w:val="20"/>
        </w:rPr>
        <w:t>There are risks involved with both establishing our own sales, marketing and distribution capabilities and entering into arrangements with third parties to perform these services. For example, recruiting and training a sales force is expensive and time</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43</w:t>
      </w:r>
    </w:p>
    <w:p>
      <w:pPr>
        <w:pStyle w:val="HorizontalLine"/>
        <w:rPr/>
      </w:pPr>
      <w:r>
        <w:rPr/>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consuming and could delay any product launch. If the commercial launch of imetelstat for which we recruit a sales and marketing force and establish distribution capabilities is delayed or does not occur for any reason, we would have prematurely or unnecessarily incurred these commercialization expenses, which would be costly. Even if imetelstat is approved in lower risk MDS and we are able to establish our own sales and marketing capabilities, imetelstat will be a newly-marketed drug. As a result, we will be required to expend significant time and resources to train sales personnel in commercializing imetelstat. If we are unable to effectively train sales personnel and equip them with compliant and effective materials, our efforts to successfully commercialize imetelstat could be adversely affected, which would negatively impact our business, business prospects and the future value of imetelstat.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Factors that may inhibit our efforts to commercialize imetelstat on our own include:</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inability to recruit, train and retain adequate numbers of effective sales, marketing, distribution, coverage or reimbursement, customer service, medical affairs and other support personnel;</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inability to equip sales personnel with compliant and effective materials, including medical and sales literature to help them educate physicians regarding the indications we are targeting and imetelstat, if approved;</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inability of sales personnel to obtain access to physicians or persuade adequate numbers of physicians to prescribe imetelstat;</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inability of reimbursement professionals to negotiate arrangements for formulary access, reimbursement and other acceptance by payors;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lack of complementary medicines to be offered by sales personnel, which may put us at a competitive disadvantage relative to companies with more extensive product lines;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inability to price imetelstat at a sufficient price point to ensure an adequate and attractive level of profitability;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unforeseen costs and expenses associated with creating an independent sales and marketing organization;</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our inability to maintain existing supply arrangements, or to establish new supply arrangements with third-party suppliers and contract manufacturers to ensure sufficient commercial supplies;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inability to obtain and maintain patent protection, trade secret protection and regulatory exclusivity, both in the U.S. and in other countries;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lack of an acceptable safety profile following any regulatory approval; and</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our inability to compete effectively with other therapies.</w:t>
      </w:r>
    </w:p>
    <w:p>
      <w:pPr>
        <w:pStyle w:val="TextBody"/>
        <w:spacing w:before="0" w:after="0"/>
        <w:jc w:val="left"/>
        <w:rPr>
          <w:rFonts w:ascii="Times New Roman" w:hAnsi="Times New Roman"/>
          <w:sz w:val="20"/>
        </w:rPr>
      </w:pPr>
      <w:r>
        <w:rPr>
          <w:rFonts w:ascii="Times New Roman;serif" w:hAnsi="Times New Roman;serif"/>
          <w:b w:val="false"/>
          <w:sz w:val="20"/>
        </w:rPr>
        <w:t>If we enter into arrangements with third parties to perform commercialization services like sales, marketing and distribution, we will be reliant on the efforts of such third parties, and our sales revenue from sales of imetelstat or the profitability from such sales to us are likely to be lower than if we were to market and sell imetelstat ourselves. In addition, we may not be successful in entering into arrangements with third parties to commercialize imetelstat or may be unable to do so on terms that are favorable to us. In entering into third-party commercialization arrangements, any revenue we receive will depend upon the efforts of the third parties, and we cannot assure you that such third parties will establish adequate commercialization capabilities or devote the necessary resources and attention to commercialize imetelstat effectively. We also face competition in our search for third parties to assist us with the commercialization efforts of imetelstat.</w:t>
      </w:r>
      <w:r>
        <w:rPr>
          <w:rFonts w:ascii="Times New Roman" w:hAnsi="Times New Roman"/>
          <w:sz w:val="20"/>
        </w:rPr>
        <w:t xml:space="preserve">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Our inability to successfully establish commercialization capabilities for imetelstat, if we receive regulatory approval to do so, would severely and adversely affect our financial results, business and business prospects, including the potential commercialization of imetelstat, and the future of imetelstat.</w:t>
      </w:r>
    </w:p>
    <w:p>
      <w:pPr>
        <w:pStyle w:val="TextBody"/>
        <w:spacing w:before="0" w:after="0"/>
        <w:jc w:val="left"/>
        <w:rPr>
          <w:rFonts w:ascii="Times New Roman;serif" w:hAnsi="Times New Roman;serif"/>
          <w:b/>
          <w:i/>
          <w:sz w:val="20"/>
        </w:rPr>
      </w:pPr>
      <w:r>
        <w:rPr>
          <w:rFonts w:ascii="Times New Roman;serif" w:hAnsi="Times New Roman;serif"/>
          <w:b/>
          <w:i/>
          <w:sz w:val="20"/>
        </w:rPr>
        <w:t>If acceptable prices or adequate reimbursement for imetelstat is not obtained, the use of imetelstat could be severely limited.</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The ability to successfully commercialize imetelstat, if approved, will depend significantly on obtaining acceptable prices and the availability of coverage and adequate reimbursement to the patient from third-party payors. Government payors, such as the Medicare and Medicaid programs, and other third-party payors, such as private health insurers and health maintenance organizations, determine which medications they will cover and the reimbursement levels. Assuming we obtain coverage for imetelstat by a third-party payor, the resulting reimbursement payment rates may not be adequate or may require co-payments that patients find unacceptably high. If imetelstat is approved for commercial sale, patients are unlikely to use it unless coverage is provided, and reimbursement is adequate to cover all or a significant portion of its cost. Therefore, coverage and adequate reimbursement will be critical to new product acceptance.</w:t>
      </w:r>
    </w:p>
    <w:p>
      <w:pPr>
        <w:pStyle w:val="TextBody"/>
        <w:spacing w:before="0" w:after="0"/>
        <w:jc w:val="left"/>
        <w:rPr>
          <w:rFonts w:ascii="Times New Roman" w:hAnsi="Times New Roman"/>
          <w:sz w:val="20"/>
        </w:rPr>
      </w:pPr>
      <w:r>
        <w:rPr>
          <w:rFonts w:ascii="Times New Roman;serif" w:hAnsi="Times New Roman;serif"/>
          <w:b w:val="false"/>
          <w:sz w:val="20"/>
        </w:rPr>
        <w:t>Government authorities and other third-party payors are developing increasingly sophisticated methods of controlling healthcare costs, such as by limiting coverage and the amount of reimbursement for particular medications. Increasingly, third-party payors are requiring that drug companies provide them with predetermined discounts from list prices as a condition of coverage, are using restrictive formularies and preferred drug lists to leverage greater discounts in competitive classes, and are challenging the prices charged for medical products. Further, no uniform policy requirement for coverage and reimbursement for drug products exists among third-party payors in the U.S. Therefore, coverage and reimbursement for drug products can differ significantly from payor to payor.</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44</w:t>
      </w:r>
    </w:p>
    <w:p>
      <w:pPr>
        <w:pStyle w:val="HorizontalLine"/>
        <w:rPr/>
      </w:pPr>
      <w:r>
        <w:rPr/>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As a result, the coverage determination process is often a time-consuming and costly process that will require us to provide scientific and clinical support for the use of imetelstat to each payor separately, with no assurance that coverage and adequate reimbursement will be applied consistently or obtained in the first instance.</w:t>
      </w:r>
    </w:p>
    <w:p>
      <w:pPr>
        <w:pStyle w:val="TextBody"/>
        <w:spacing w:before="0" w:after="0"/>
        <w:jc w:val="left"/>
        <w:rPr>
          <w:rFonts w:ascii="Times New Roman;serif" w:hAnsi="Times New Roman;serif"/>
          <w:b w:val="false"/>
          <w:sz w:val="20"/>
        </w:rPr>
      </w:pPr>
      <w:r>
        <w:rPr>
          <w:rFonts w:ascii="Times New Roman;serif" w:hAnsi="Times New Roman;serif"/>
          <w:b w:val="false"/>
          <w:sz w:val="20"/>
        </w:rPr>
        <w:t>We cannot be sure that coverage and reimbursement will be available for imetelstat, if approved for commercial sale, and, if reimbursement is available, what the level of reimbursement will be. There may also be significant delays in obtaining coverage and reimbursement for newly approved drugs, and coverage may be more limited than the purposes for which the drug is approved by the FDA or similar international regulatory authorities. Coverage and reimbursement may impact the demand for, or the price of imetelstat, if marketing approval is obtained. If coverage and reimbursement are not available or reimbursement is available only to limited levels, we may not successfully commercialize imetelstat, even if marketing approval is obtained, which would negatively impact our business and business prospects.</w:t>
      </w:r>
    </w:p>
    <w:p>
      <w:pPr>
        <w:pStyle w:val="TextBody"/>
        <w:spacing w:before="0" w:after="0"/>
        <w:jc w:val="left"/>
        <w:rPr>
          <w:rFonts w:ascii="Times New Roman;serif" w:hAnsi="Times New Roman;serif"/>
          <w:b/>
          <w:i/>
          <w:sz w:val="20"/>
        </w:rPr>
      </w:pPr>
      <w:r>
        <w:rPr>
          <w:rFonts w:ascii="Times New Roman;serif" w:hAnsi="Times New Roman;serif"/>
          <w:b/>
          <w:i/>
          <w:sz w:val="20"/>
        </w:rPr>
        <w:t>Although orphan drug designation has been granted to imetelstat for the treatment of MF and MDS in the U.S. and in the EU, these designations may not be maintained, which would eliminate the benefits associated with orphan drug designation, including the potential for market exclusivity, which would likely result in decreased sales revenue from commercialization of imetelstat, if any, and would likely harm our business and business prospects.</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The FDA granted orphan drug designation to imetelstat in June 2015 for the treatment of MF and for the treatment of MDS in December 2015, and the EMA granted orphan drug designation in December 2015 to imetelstat for the treatment of MF and in July 2020 for the treatment of MDS. The designation of imetelstat as an orphan drug does not guarantee that any regulatory authority will accelerate regulatory review of, or ultimately approve, imetelstat, nor does it limit the ability of any regulatory authority to grant orphan drug designation to product candidates of other companies that treat the same indications as imetelstat prior to imetelstat receiving any exclusive marketing approval.</w:t>
      </w:r>
    </w:p>
    <w:p>
      <w:pPr>
        <w:pStyle w:val="TextBody"/>
        <w:spacing w:before="0" w:after="0"/>
        <w:jc w:val="left"/>
        <w:rPr>
          <w:rFonts w:ascii="Times New Roman;serif" w:hAnsi="Times New Roman;serif"/>
          <w:b w:val="false"/>
          <w:sz w:val="20"/>
        </w:rPr>
      </w:pPr>
      <w:r>
        <w:rPr>
          <w:rFonts w:ascii="Times New Roman;serif" w:hAnsi="Times New Roman;serif"/>
          <w:b w:val="false"/>
          <w:sz w:val="20"/>
        </w:rPr>
        <w:t>We may lose orphan drug exclusivity for certain reasons, including if the FDA or EMA determines that the request for orphan drug designation was materially defective or if we cannot ensure sufficient quantities of imetelstat to meet the needs of patients with MF or MDS. Failure to maintain orphan designation status in the EU at the time of submitting the MAA, or failure to complete the agreed pediatric plan, would lead to the loss of the additional two-year exclusivity period.</w:t>
      </w:r>
    </w:p>
    <w:p>
      <w:pPr>
        <w:pStyle w:val="TextBody"/>
        <w:spacing w:before="0" w:after="0"/>
        <w:jc w:val="left"/>
        <w:rPr>
          <w:rFonts w:ascii="Times New Roman;serif" w:hAnsi="Times New Roman;serif"/>
          <w:b w:val="false"/>
          <w:sz w:val="20"/>
        </w:rPr>
      </w:pPr>
      <w:r>
        <w:rPr>
          <w:rFonts w:ascii="Times New Roman;serif" w:hAnsi="Times New Roman;serif"/>
          <w:b w:val="false"/>
          <w:sz w:val="20"/>
        </w:rPr>
        <w:t>Even if we maintain orphan drug exclusivity for imetelstat, the exclusivity may not effectively protect imetelstat from all competition because different drugs with different active moieties can be approved for the same condition. Even after an orphan drug product is approved, the FDA or EMA can subsequently approve a different drug with the same active moiety for the same condition, if the FDA or EMA concludes that the later drug is safer, more effective, or makes a major contribution to patient care. The occurrence of any of these events could result in decreased sales of imetelstat, should it ever receive marketing approval, and may harm our business and business prospects. In addition, orphan drug designation will neither shorten the development time nor regulatory review time for imetelstat, and it does not give imetelstat any advantage in the regulatory review or approval process.</w:t>
      </w:r>
    </w:p>
    <w:p>
      <w:pPr>
        <w:pStyle w:val="TextBody"/>
        <w:spacing w:before="0" w:after="0"/>
        <w:jc w:val="left"/>
        <w:rPr>
          <w:rFonts w:ascii="Times New Roman;serif" w:hAnsi="Times New Roman;serif"/>
          <w:b/>
          <w:i/>
          <w:sz w:val="20"/>
        </w:rPr>
      </w:pPr>
      <w:r>
        <w:rPr>
          <w:rFonts w:ascii="Times New Roman;serif" w:hAnsi="Times New Roman;serif"/>
          <w:b/>
          <w:i/>
          <w:sz w:val="20"/>
        </w:rPr>
        <w:t>A Fast Track designation by the FDA, such as the Fast Track designations received for imetelstat for MDS and MF, does not guarantee marketing approval and may not lead to a faster development, regulatory review or approval process.</w:t>
      </w:r>
    </w:p>
    <w:p>
      <w:pPr>
        <w:pStyle w:val="TextBody"/>
        <w:spacing w:before="0" w:after="0"/>
        <w:jc w:val="left"/>
        <w:rPr>
          <w:rFonts w:ascii="Times New Roman;serif" w:hAnsi="Times New Roman;serif"/>
          <w:b w:val="false"/>
          <w:sz w:val="20"/>
        </w:rPr>
      </w:pPr>
      <w:r>
        <w:rPr>
          <w:rFonts w:ascii="Times New Roman;serif" w:hAnsi="Times New Roman;serif"/>
          <w:b w:val="false"/>
          <w:sz w:val="20"/>
        </w:rPr>
        <w:t>In October 2017, the FDA granted Fast Track designation to imetelstat for the treatment of adult patients with transfusion-dependent low red blood cell counts, or anemia, due to non-del(5q) lower risk MDS and who are refractory or resistant to treatment with an ESA. In September 2019, the FDA granted Fast Track designation to imetelstat for the treatment of adult patients with relapsed/refractory MF.</w:t>
      </w:r>
    </w:p>
    <w:p>
      <w:pPr>
        <w:pStyle w:val="TextBody"/>
        <w:spacing w:before="0" w:after="0"/>
        <w:jc w:val="left"/>
        <w:rPr>
          <w:rFonts w:ascii="Times New Roman;serif" w:hAnsi="Times New Roman;serif"/>
          <w:b w:val="false"/>
          <w:sz w:val="20"/>
        </w:rPr>
      </w:pPr>
      <w:r>
        <w:rPr>
          <w:rFonts w:ascii="Times New Roman;serif" w:hAnsi="Times New Roman;serif"/>
          <w:b w:val="false"/>
          <w:sz w:val="20"/>
        </w:rPr>
        <w:t>Fast Track designation provides opportunities for frequent interactions with FDA review staff, as well as eligibility for priority review, if relevant criteria are met, and rolling review of the sponsor’s NDA. Fast Track designation is intended to facilitate and expedite development and review of an NDA to address unmet medical needs in the treatment of serious or life-threatening conditions. However, Fast Track designation does not accelerate conduct of clinical trials or mean that the regulatory requirements are less stringent, nor does it ensure that any imetelstat NDA will be approved or that any approval will be granted within any particular timeframe. In addition, the FDA may withdraw Fast Track designation for any indication if it believes that the designation is no longer supported by data emerging from the imetelstat clinical development program.</w:t>
      </w:r>
    </w:p>
    <w:p>
      <w:pPr>
        <w:pStyle w:val="TextBody"/>
        <w:spacing w:before="0" w:after="0"/>
        <w:jc w:val="left"/>
        <w:rPr>
          <w:rFonts w:ascii="Times New Roman" w:hAnsi="Times New Roman"/>
          <w:sz w:val="20"/>
        </w:rPr>
      </w:pPr>
      <w:r>
        <w:rPr>
          <w:rFonts w:ascii="Times New Roman;serif" w:hAnsi="Times New Roman;serif"/>
          <w:b/>
          <w:i/>
          <w:sz w:val="20"/>
        </w:rPr>
        <w:t>The Innovation Passport designation from the United Kingdom regulatory authorities does not guarantee marketing approval and may not lead to a faster development, regulatory review or approval process.</w:t>
      </w:r>
      <w:r>
        <w:rPr>
          <w:rFonts w:ascii="Times New Roman" w:hAnsi="Times New Roman"/>
          <w:sz w:val="20"/>
        </w:rPr>
        <w:t xml:space="preserve">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In October 2021, we gained access to the Innovative Licensing and Access Pathway, or ILAP, through the receipt of an Innovation Passport for imetelstat to treat lower risk MDS. The ILAP is a new program sponsored by the Medicines and Healthcare products Regulatory Agency, or MHRA, in the U.K., post-Brexit. The objective of this new licensing and access pathway is to reduce the time to market and enable earlier patient access for innovative medicines. The Innovation Passport is the first prescribed entry point in the ILAP process. Key benefits of being within ILAP include a potential 150-day accelerated assessment and rolling review of an MAA, as well as opportunities for frequent interactions with the review staff at the MHRA and its partner agencies to discuss imetelstat’s development, regulatory and reimbursement plans.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45</w:t>
      </w:r>
    </w:p>
    <w:p>
      <w:pPr>
        <w:pStyle w:val="HorizontalLine"/>
        <w:rPr/>
      </w:pPr>
      <w:r>
        <w:rPr/>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Although the goal of ILAP and the Innovation Passport is to reduce the time to market and enable earlier patient access, it does not accelerate conduct of clinical trials or mean that the regulatory requirements are less stringent, nor does it ensure that any imetelstat MAA will be approved or that any approval will be granted within any particular timeframe. Despite receiving Innovation Passport designation, we may decide to delay or forego the commercialization of imetelstat in the U.K.</w:t>
      </w:r>
    </w:p>
    <w:p>
      <w:pPr>
        <w:pStyle w:val="TextBody"/>
        <w:spacing w:before="0" w:after="0"/>
        <w:jc w:val="left"/>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Failure to achieve continued compliance with government regulations could delay or halt potential commercialization of imetelstat.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Approved products and their manufacturers are subject to continual review, and discovery of previously unknown problems with a product or its manufacturer may result in restrictions on the product or manufacturer, including import restrictions, seizure and withdrawal of the product from the market. If approved for commercial sale, future sales of imetelstat will be subject to government regulation related to numerous matters, including the processes of:</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manufacturing;</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advertising and promoting;</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selling and marketing;</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medical information;</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labeling; and</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distribution.</w:t>
      </w:r>
    </w:p>
    <w:p>
      <w:pPr>
        <w:pStyle w:val="TextBody"/>
        <w:spacing w:before="0" w:after="0"/>
        <w:jc w:val="left"/>
        <w:rPr>
          <w:rFonts w:ascii="Times New Roman;serif" w:hAnsi="Times New Roman;serif"/>
          <w:b w:val="false"/>
          <w:sz w:val="20"/>
        </w:rPr>
      </w:pPr>
      <w:r>
        <w:rPr>
          <w:rFonts w:ascii="Times New Roman;serif" w:hAnsi="Times New Roman;serif"/>
          <w:b w:val="false"/>
          <w:sz w:val="20"/>
        </w:rPr>
        <w:t>If, and to the extent that, we are unable to comply with these regulations, our ability to earn potential revenue from the commercialization of imetelstat, if any, would be materially and adversely impacted.</w:t>
      </w:r>
    </w:p>
    <w:p>
      <w:pPr>
        <w:pStyle w:val="TextBody"/>
        <w:spacing w:before="0" w:after="0"/>
        <w:jc w:val="left"/>
        <w:rPr>
          <w:rFonts w:ascii="Times New Roman;serif" w:hAnsi="Times New Roman;serif"/>
          <w:b w:val="false"/>
          <w:sz w:val="20"/>
        </w:rPr>
      </w:pPr>
      <w:r>
        <w:rPr>
          <w:rFonts w:ascii="Times New Roman;serif" w:hAnsi="Times New Roman;serif"/>
          <w:b w:val="false"/>
          <w:sz w:val="20"/>
        </w:rPr>
        <w:t>In addition, if imetelstat causes serious or unexpected side effects or is associated with other safety risks after receiving marketing approval, a number of potential significant negative consequences could result, including, but not limited to:</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regulatory authorities may withdraw their approval of imetelstat;</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may be required to recall imetelstat, seek to change the way it is administered, conduct additional clinical trials or change the labeling of the product;</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regulatory authorities may require revisions to the labeling of imetelstat, including limitations on approved uses or the addition of further warnings, contraindications or other safety information, or may impose restrictions on distribution in the form of REMS in connection with approval, if any;</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may experience manufacturing delays and supply disruptions if regulatory inspectors identify regulatory noncompliance by third party manufacturers requiring remediation;</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imetelstat may be rendered less competitive and sales may decrease;</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reputation may suffer generally both among clinicians and patients;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may be exposed to potential lawsuits and associated legal expenses, including costs of resolving claims;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FDA or similar international regulatory authorities may refuse to approve pending applications or supplements to approved applications filed by us, or may suspend or revoke license approvals; or</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we may be required to change or stop ongoing clinical trials of imetelstat, which would negatively impact the development of imetelstat for other potential indications.</w:t>
      </w:r>
    </w:p>
    <w:p>
      <w:pPr>
        <w:pStyle w:val="TextBody"/>
        <w:spacing w:before="0" w:after="0"/>
        <w:jc w:val="left"/>
        <w:rPr>
          <w:rFonts w:ascii="Times New Roman;serif" w:hAnsi="Times New Roman;serif"/>
          <w:b w:val="false"/>
          <w:sz w:val="20"/>
        </w:rPr>
      </w:pPr>
      <w:r>
        <w:rPr>
          <w:rFonts w:ascii="Times New Roman;serif" w:hAnsi="Times New Roman;serif"/>
          <w:b w:val="false"/>
          <w:sz w:val="20"/>
        </w:rPr>
        <w:t>Any of these events could prevent us from achieving or maintaining market acceptance for imetelstat or could substantially increase the costs and expenses of commercializing imetelstat, which in turn could delay or prevent us from generating any revenues from the sale of the imetelstat.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Moreover, the FDA strictly regulates the promotional claims that may be made about drug products. In particular, a product may not be promoted for uses that are not approved by the FDA as reflected in the product’s approved labeling. The FDA and other agencies actively enforce regulations prohibiting the promotion of any drug product for off-label uses. If we were found to have improperly promoted off-label use of imetelstat, we would be subject to significant civil, criminal and administrative penalties, which would inhibit our ability to commercialize imetelstat and generate revenue, require us to expend significant time and resources in response, and generate negative publicity. Enforcement actions include, among others: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adverse regulatory inspection findings;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fines, warning letters, or untitled letters;</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voluntary or mandatory product recalls or public notification or medical product safety alerts to healthcare professionals;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46</w:t>
      </w:r>
    </w:p>
    <w:p>
      <w:pPr>
        <w:pStyle w:val="HorizontalLine"/>
        <w:rPr/>
      </w:pPr>
      <w:r>
        <w:rPr/>
      </w:r>
    </w:p>
    <w:p>
      <w:pPr>
        <w:pStyle w:val="TextBody"/>
        <w:spacing w:before="0" w:after="0"/>
        <w:jc w:val="left"/>
        <w:rPr/>
      </w:pPr>
      <w:r>
        <w:rPr/>
        <w:t>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restrictions on, or prohibitions against, marketing imetelstat;</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restrictions on, or prohibitions against, importation or exportation of imetelstat;</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suspension of review or refusal to approve pending applications or supplements to approved applications;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exclusion from participation in government-funded healthcare programs;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exclusion from eligibility for the award of government contracts for imetelstat;</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suspension or withdrawal of product approvals;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product seizures;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injunctions; and</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civil and criminal penalties and fines.</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The imposition of any of these penalties or other commercial limitations would severely and adversely affect our financial results, business and business prospects, including the potential commercialization of imetelstat, and the future of imetelstat, and might cause us to cease operations.</w:t>
      </w:r>
    </w:p>
    <w:p>
      <w:pPr>
        <w:pStyle w:val="TextBody"/>
        <w:spacing w:before="0" w:after="0"/>
        <w:jc w:val="left"/>
        <w:rPr>
          <w:rFonts w:ascii="Times New Roman;serif" w:hAnsi="Times New Roman;serif"/>
          <w:b/>
          <w:i/>
          <w:sz w:val="20"/>
        </w:rPr>
      </w:pPr>
      <w:r>
        <w:rPr>
          <w:rFonts w:ascii="Times New Roman;serif" w:hAnsi="Times New Roman;serif"/>
          <w:b/>
          <w:i/>
          <w:sz w:val="20"/>
        </w:rPr>
        <w:t>If, in the future, we seek regulatory approval to market imetelstat internationally, we may experience a variety of risks that would materially adversely affect our business.</w:t>
      </w:r>
    </w:p>
    <w:p>
      <w:pPr>
        <w:pStyle w:val="TextBody"/>
        <w:spacing w:before="0" w:after="0"/>
        <w:jc w:val="left"/>
        <w:rPr>
          <w:rFonts w:ascii="Times New Roman;serif" w:hAnsi="Times New Roman;serif"/>
          <w:b w:val="false"/>
          <w:sz w:val="20"/>
        </w:rPr>
      </w:pPr>
      <w:r>
        <w:rPr>
          <w:rFonts w:ascii="Times New Roman;serif" w:hAnsi="Times New Roman;serif"/>
          <w:b w:val="false"/>
          <w:sz w:val="20"/>
        </w:rPr>
        <w:t>If, in the future, we seek regulatory approval of imetelstat outside of the U.S., and if the necessary approvals are obtained, we will be subject to additional risks related to operating in countries outside of the U.S., including:</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foreign regulatory approvals, if any, may take longer and be more costly to obtain than approvals in the U.S., due to differing regulatory requirements in foreign countries, such as the lack of pathways for accelerated drug approval;</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regulatory authorities outside of the U.S. may disagree with the design, implementation or results of our clinical trials or our interpretation of data from nonclinical studies or clinical trials;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approval policies or regulations of regulatory authorities outside of the U.S. may significantly change in a manner rendering our clinical data insufficient for potential approval;</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COVID-19 pandemic may negatively impact our ability to produce imetelstat and conduct clinical trials in countries outside of the U.S.;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may experience unexpected changes in tariffs, trade barriers, price and exchange controls and other regulatory requirements;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general economic weakness, including inflation, rising interest rates, the prospect of a recession or civil or political instability in particular economies and markets outside of the U.S., including as a result of the conflict between Russia and Ukraine;</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risks of potential noncompliance with legal requirements applicable to privacy, data protection, information security and other matters;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risks of potential noncompliance with tax, employment, immigration and labor laws for employees living or traveling abroad;</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increased taxes outside of the U.S., including withholding of payroll taxes;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significant foreign currency fluctuations, which could result in increased operating expenses and reduced revenue, and other obligations incident to doing business in another country;</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difficulties staffing and managing operations outside of the U.S.;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complexities associated with managing multiple payor reimbursement regimes and government payors in foreign countries;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workforce uncertainty in countries where labor unrest is more common than in the U.S.;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potential liability under the Foreign Corrupt Practices Act of 1977 or comparable regulations outside of the U.S.;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challenges enforcing our contractual and intellectual property rights, especially in those countries outside of the U.S. that do not respect and protect intellectual property rights to the same extent as the U.S.;</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production shortages resulting from any events affecting raw material supply or manufacturing capabilities abroad; and</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47</w:t>
      </w:r>
    </w:p>
    <w:p>
      <w:pPr>
        <w:pStyle w:val="HorizontalLine"/>
        <w:rPr/>
      </w:pPr>
      <w:r>
        <w:rPr/>
      </w:r>
    </w:p>
    <w:p>
      <w:pPr>
        <w:pStyle w:val="TextBody"/>
        <w:spacing w:before="0" w:after="0"/>
        <w:jc w:val="left"/>
        <w:rPr/>
      </w:pPr>
      <w:r>
        <w:rPr/>
        <w:t> </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business interruptions resulting from geopolitical actions, including war and terrorism including the conflict between Russia and Ukraine.</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These and other risks associated with international operations may materially adversely affect our ability to attain or maintain profitable operations.</w:t>
      </w:r>
    </w:p>
    <w:p>
      <w:pPr>
        <w:pStyle w:val="TextBody"/>
        <w:spacing w:before="0" w:after="0"/>
        <w:jc w:val="left"/>
        <w:rPr>
          <w:rFonts w:ascii="Times New Roman;serif" w:hAnsi="Times New Roman;serif"/>
          <w:b w:val="false"/>
          <w:sz w:val="20"/>
        </w:rPr>
      </w:pPr>
      <w:r>
        <w:rPr>
          <w:rFonts w:ascii="Times New Roman;serif" w:hAnsi="Times New Roman;serif"/>
          <w:b w:val="false"/>
          <w:sz w:val="20"/>
        </w:rPr>
        <w:t>We are also subject to numerous regulatory requirements outside of the U.S. governing, among other things, the conduct of clinical trials, manufacturing and marketing authorization, pricing and third-party reimbursement. The regulatory approval process varies among countries and may include all of the risks associated with FDA approval described above as well as risks attributable to the satisfaction of local regulations in jurisdictions outside of the U.S. Moreover, the time required to obtain approval may differ from that required to obtain FDA approval. Approval by the FDA does not ensure approval by regulatory authorities outside the U.S. and vice versa.</w:t>
      </w:r>
    </w:p>
    <w:p>
      <w:pPr>
        <w:pStyle w:val="TextBody"/>
        <w:spacing w:before="0" w:after="0"/>
        <w:jc w:val="left"/>
        <w:rPr>
          <w:rFonts w:ascii="Times New Roman;serif" w:hAnsi="Times New Roman;serif"/>
          <w:b w:val="false"/>
          <w:sz w:val="20"/>
        </w:rPr>
      </w:pPr>
      <w:r>
        <w:rPr>
          <w:rFonts w:ascii="Times New Roman;serif" w:hAnsi="Times New Roman;serif"/>
          <w:b w:val="false"/>
          <w:sz w:val="20"/>
        </w:rPr>
        <w:t>In Europe, the Clinical Trials Regulation, which came into effect in January 2022, introduced substantial changes in how clinical trials are authorized in the European Economic Area, or EEA, enabling sponsors to submit a single application to run a clinical trial in several European countries. The objectives of the new regulation include consistent rules for conducting trials throughout the EU, consistent data standards and adverse events listing, and consistent information on the authorization status. Information on the conduct and results of each clinical trial carried out in the EU will be made publicly available. Commencing in January 2023, clinical trial sponsors will need to use the Clinical Trials Information System, or CTIS, to apply to start a new clinical trial in the EEA; and from January 2025, clinical trials in the EEA will need to comply with the Clinical Trials Regulation.</w:t>
      </w:r>
    </w:p>
    <w:p>
      <w:pPr>
        <w:pStyle w:val="TextBody"/>
        <w:spacing w:before="0" w:after="0"/>
        <w:jc w:val="left"/>
        <w:rPr>
          <w:rFonts w:ascii="Times New Roman;serif" w:hAnsi="Times New Roman;serif"/>
          <w:b w:val="false"/>
          <w:sz w:val="20"/>
        </w:rPr>
      </w:pPr>
      <w:r>
        <w:rPr>
          <w:rFonts w:ascii="Times New Roman;serif" w:hAnsi="Times New Roman;serif"/>
          <w:b w:val="false"/>
          <w:sz w:val="20"/>
        </w:rPr>
        <w:t>In addition, a new pan-European clinical trial data information database has been created that will be complementary to the database established for pharmacovigilance (Regulation (EC) No 726/2004 with respect to centrally authorized medicinal products). In addition, Commission Implementing Regulation (EU) No 520/2012 outlines the practical implications for marketing authorization holders, national competent authorities, and the EMA. Also, Commission Delegated Regulation (EU) No 357/2014 on post-authorization efficacy studies specifies the situations in which such studies may be required. Post-authorization efficacy studies may be required where concerns relating to some aspects of efficacy of the medicinal product are identified and can be resolved only after the medicinal product has been marketed, or where the understanding of the disease, the clinical methodology or the use of the medicinal product under real-life conditions indicate that previous efficacy evaluations might have to be revised significantly.</w:t>
      </w:r>
    </w:p>
    <w:p>
      <w:pPr>
        <w:pStyle w:val="TextBody"/>
        <w:spacing w:before="0" w:after="0"/>
        <w:jc w:val="left"/>
        <w:rPr>
          <w:rFonts w:ascii="Times New Roman;serif" w:hAnsi="Times New Roman;serif"/>
          <w:b w:val="false"/>
          <w:sz w:val="20"/>
        </w:rPr>
      </w:pPr>
      <w:r>
        <w:rPr>
          <w:rFonts w:ascii="Times New Roman;serif" w:hAnsi="Times New Roman;serif"/>
          <w:b w:val="false"/>
          <w:sz w:val="20"/>
        </w:rPr>
        <w:t>Brexit is also expected to disrupt the operation of pre- and post-authorization clinical trial infrastructure. The rules around GMP and pharmacovigilance in the U.K. currently remain similar to the EU requirements. However, the Falsified Medicines Directive will not apply in Great Britain though it is likely that the U.K. will implement a procedure to minimize the risk of falsified medicines.</w:t>
      </w:r>
    </w:p>
    <w:p>
      <w:pPr>
        <w:pStyle w:val="TextBody"/>
        <w:spacing w:before="0" w:after="0"/>
        <w:jc w:val="left"/>
        <w:rPr>
          <w:rFonts w:ascii="Times New Roman;serif" w:hAnsi="Times New Roman;serif"/>
          <w:b w:val="false"/>
          <w:sz w:val="20"/>
        </w:rPr>
      </w:pPr>
      <w:r>
        <w:rPr>
          <w:rFonts w:ascii="Times New Roman;serif" w:hAnsi="Times New Roman;serif"/>
          <w:b w:val="false"/>
          <w:sz w:val="20"/>
        </w:rPr>
        <w:t>Uncertainty in the regulatory framework and future legislation could lead to disruption in the execution of international multi-center clinical trials, the monitoring of adverse events through pharmacovigilance programs, the evaluation of the benefit-risk profiles of new medicinal products, and determination of marketing authorization across different jurisdictions. Changes to existing regulations may add considerably to the time from clinical development to marketing authorization and commercialization of products in the EU and increase our costs. We cannot predict the impact of such changes and future regulation on our business or the results of our operations.</w:t>
      </w:r>
    </w:p>
    <w:p>
      <w:pPr>
        <w:pStyle w:val="TextBody"/>
        <w:spacing w:before="0" w:after="0"/>
        <w:jc w:val="left"/>
        <w:rPr>
          <w:rFonts w:ascii="Times New Roman;serif" w:hAnsi="Times New Roman;serif"/>
          <w:b/>
          <w:i/>
          <w:sz w:val="20"/>
        </w:rPr>
      </w:pPr>
      <w:r>
        <w:rPr>
          <w:rFonts w:ascii="Times New Roman;serif" w:hAnsi="Times New Roman;serif"/>
          <w:b/>
          <w:i/>
          <w:sz w:val="20"/>
        </w:rPr>
        <w:t>We may be subject to requests for access to imetelstat. Demand for compassionate use of imetelstat could strain our resources, delay our drug development activities, negatively impact our regulatory approval or commercial activities, and result in losses.</w:t>
      </w:r>
    </w:p>
    <w:p>
      <w:pPr>
        <w:pStyle w:val="TextBody"/>
        <w:spacing w:before="0" w:after="0"/>
        <w:jc w:val="left"/>
        <w:rPr>
          <w:rFonts w:ascii="Times New Roman;serif" w:hAnsi="Times New Roman;serif"/>
          <w:b w:val="false"/>
          <w:sz w:val="20"/>
        </w:rPr>
      </w:pPr>
      <w:r>
        <w:rPr>
          <w:rFonts w:ascii="Times New Roman;serif" w:hAnsi="Times New Roman;serif"/>
          <w:b w:val="false"/>
          <w:sz w:val="20"/>
        </w:rPr>
        <w:t>We are developing imetelstat to treat life-threatening hematologic malignancies for which there are currently limited therapeutic options. Other companies in our field have been the target of campaigns requesting access to unapproved drugs. If we experience similar request for access campaigns, we may experience significant disruption to our business which could result in losses. We are a small company with limited resources, and any unanticipated trials or access programs resulting from requests for access could deplete our drug supply, increase our capital expenditures, reduce the availability of potentially eligible clinical trial participants, and otherwise divert our resources from our primary goals.</w:t>
      </w:r>
    </w:p>
    <w:p>
      <w:pPr>
        <w:pStyle w:val="TextBody"/>
        <w:spacing w:before="0" w:after="0"/>
        <w:jc w:val="left"/>
        <w:rPr>
          <w:rFonts w:ascii="Times New Roman;serif" w:hAnsi="Times New Roman;serif"/>
          <w:b w:val="false"/>
          <w:sz w:val="20"/>
        </w:rPr>
      </w:pPr>
      <w:r>
        <w:rPr>
          <w:rFonts w:ascii="Times New Roman;serif" w:hAnsi="Times New Roman;serif"/>
          <w:b w:val="false"/>
          <w:sz w:val="20"/>
        </w:rPr>
        <w:t>In addition, legislation referred to as “Right to Try” laws have been introduced at the local and national levels, which are intended to give patients access to unapproved therapies. New and emerging legislation regarding expanded access to unapproved drugs for life-threatening illnesses could negatively impact our business in the future. Either activism or legislation related to requests for access may require us to initiate an unanticipated expanded access program or to make imetelstat more widely available sooner than anticipated.</w:t>
      </w:r>
    </w:p>
    <w:p>
      <w:pPr>
        <w:pStyle w:val="TextBody"/>
        <w:spacing w:before="0" w:after="0"/>
        <w:jc w:val="left"/>
        <w:rPr>
          <w:rFonts w:ascii="Times New Roman" w:hAnsi="Times New Roman"/>
          <w:sz w:val="20"/>
        </w:rPr>
      </w:pPr>
      <w:r>
        <w:rPr>
          <w:rFonts w:ascii="Times New Roman;serif" w:hAnsi="Times New Roman;serif"/>
          <w:b w:val="false"/>
          <w:sz w:val="20"/>
        </w:rPr>
        <w:t>Patients who receive access to unapproved drugs through compassionate use or expanded access programs have life-threatening illnesses and generally have exhausted all other available therapies. The risk for serious adverse events, including those which may be unrelated to imetelstat, in this patient population is high and could have a negative impact on the safety profile of imetelstat, which could cause significant delays or an inability to successfully commercialize imetelstat and could materially harm our business. In addition, if, in order to perform the controlled clinical trials required for potential regulatory approval and successful commercialization of imetelstat, we do not provide compassionate use access or expanded access programs in response to requests for access from patients in the U.S. or elsewhere in the world, we may receive adverse publicity or experience other disruptions. Should we agree to provide compassionate use access or decide to initiate an expanded access program, we could experience adverse publicity</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48</w:t>
      </w:r>
    </w:p>
    <w:p>
      <w:pPr>
        <w:pStyle w:val="HorizontalLine"/>
        <w:rPr/>
      </w:pPr>
      <w:r>
        <w:rPr/>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or other disruptions related to potential participants in such programs. Similarly, we could experience adverse publicity or other disruptions if we were to restructure or pause any compassionate use and/or expanded access program after initiating such a program or after the provision of our product through compassionate access to an individual patient or patients.</w:t>
      </w:r>
    </w:p>
    <w:p>
      <w:pPr>
        <w:pStyle w:val="TextBody"/>
        <w:spacing w:before="0" w:after="0"/>
        <w:jc w:val="left"/>
        <w:rPr>
          <w:rFonts w:ascii="Times New Roman;serif" w:hAnsi="Times New Roman;serif"/>
          <w:b/>
          <w:i/>
          <w:sz w:val="20"/>
        </w:rPr>
      </w:pPr>
      <w:r>
        <w:rPr>
          <w:rFonts w:ascii="Times New Roman;serif" w:hAnsi="Times New Roman;serif"/>
          <w:b/>
          <w:i/>
          <w:sz w:val="20"/>
        </w:rPr>
        <w:t>If we fail to comply with federal, state and international healthcare laws, including fraud and abuse, transparency, and health information privacy and security laws, we could face substantial penalties and our business, results of operations, financial condition and prospects could be adversely affected.</w:t>
      </w:r>
    </w:p>
    <w:p>
      <w:pPr>
        <w:pStyle w:val="TextBody"/>
        <w:spacing w:before="0" w:after="0"/>
        <w:jc w:val="left"/>
        <w:rPr>
          <w:rFonts w:ascii="Times New Roman" w:hAnsi="Times New Roman"/>
          <w:sz w:val="20"/>
        </w:rPr>
      </w:pPr>
      <w:r>
        <w:rPr>
          <w:rFonts w:ascii="Times New Roman;serif" w:hAnsi="Times New Roman;serif"/>
          <w:b w:val="false"/>
          <w:sz w:val="20"/>
        </w:rPr>
        <w:t>Our business operations and current and future arrangements with investigators, healthcare professionals, consultants, third-party payors and customers, may expose us to broadly applicable fraud and abuse and other healthcare laws and regulations, including federal and state fraud and abuse laws, including anti-kickback and false claims laws; data privacy and security laws, including the Health Insurance Portability and Accountability Act, or HIPAA, as amended by the Health Information Technology for Economic and Clinical Health Act, or HITECH; and transparency laws related to payments and/or other transfers of value made to physicians, other healthcare professionals and teaching hospitals. These laws may constrain the business or financial arrangements and relationships through which we conduct our operations, including how we research, market, sell and distribute imetelstat, if marketing approval is obtained. For details regarding the restrictions under applicable federal and state healthcare laws and regulations that may affect our ability to operate see Item 1 “Business—Government Regulation— Fraud and Abuse, Data Privacy and Security, and Transparency Laws and Regulations” in our 2022 Form 10-K.</w:t>
      </w:r>
      <w:r>
        <w:rPr>
          <w:rFonts w:ascii="Times New Roman" w:hAnsi="Times New Roman"/>
          <w:sz w:val="20"/>
        </w:rPr>
        <w:t xml:space="preserve"> </w:t>
      </w:r>
    </w:p>
    <w:p>
      <w:pPr>
        <w:pStyle w:val="TextBody"/>
        <w:spacing w:before="0" w:after="0"/>
        <w:jc w:val="left"/>
        <w:rPr>
          <w:rFonts w:ascii="Times New Roman" w:hAnsi="Times New Roman"/>
          <w:sz w:val="20"/>
        </w:rPr>
      </w:pPr>
      <w:r>
        <w:rPr>
          <w:rFonts w:ascii="Times New Roman;serif" w:hAnsi="Times New Roman;serif"/>
          <w:b w:val="false"/>
          <w:sz w:val="20"/>
        </w:rPr>
        <w:t>Federal and state enforcement bodies have increased their scrutiny of interactions between healthcare companies and healthcare providers, which has led to a number of investigations, prosecutions, convictions and settlements in the healthcare industry. If our operations are found to be in violation of any of these or any other healthcare and privacy-related regulatory laws that may apply to us, our ability to operate our business and our results of operations could be adversely affected by:</w:t>
      </w:r>
      <w:r>
        <w:rPr>
          <w:rFonts w:ascii="Times New Roman" w:hAnsi="Times New Roman"/>
          <w:sz w:val="20"/>
        </w:rPr>
        <w:t xml:space="preserve">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imposition of significant civil, criminal and administrative penalties, damages, monetary fines, disgorgement and imprisonment;</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possible exclusion from participation in Medicare, Medicaid and other federal healthcare programs;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reputational harm;</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diminished profits and future earnings;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additional reporting requirements and oversight if we become subject to a corporate integrity agreement or similar agreement to resolve allegations of non-compliance with these laws; and</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 xml:space="preserve">curtailment of our operations. </w:t>
      </w:r>
    </w:p>
    <w:p>
      <w:pPr>
        <w:pStyle w:val="TextBody"/>
        <w:spacing w:before="0" w:after="0"/>
        <w:jc w:val="left"/>
        <w:rPr>
          <w:rFonts w:ascii="Times New Roman" w:hAnsi="Times New Roman"/>
          <w:sz w:val="20"/>
        </w:rPr>
      </w:pPr>
      <w:r>
        <w:rPr>
          <w:rFonts w:ascii="Times New Roman;serif" w:hAnsi="Times New Roman;serif"/>
          <w:b w:val="false"/>
          <w:sz w:val="20"/>
        </w:rPr>
        <w:t>Defending against any such actions can be costly, time-consuming and may require significant financial and personnel resources. Therefore, even if we are successful in defending against any such actions that may be brought against us, our business may be impaired.</w:t>
      </w:r>
      <w:r>
        <w:rPr>
          <w:rFonts w:ascii="Times New Roman" w:hAnsi="Times New Roman"/>
          <w:sz w:val="20"/>
        </w:rPr>
        <w:t xml:space="preserve"> </w:t>
      </w:r>
    </w:p>
    <w:p>
      <w:pPr>
        <w:pStyle w:val="TextBody"/>
        <w:spacing w:before="0" w:after="0"/>
        <w:jc w:val="left"/>
        <w:rPr/>
      </w:pPr>
      <w:r>
        <w:rPr/>
        <w:t> </w:t>
      </w:r>
    </w:p>
    <w:p>
      <w:pPr>
        <w:pStyle w:val="TextBody"/>
        <w:spacing w:before="0" w:after="0"/>
        <w:jc w:val="center"/>
        <w:rPr>
          <w:rFonts w:ascii="Times New Roman;serif" w:hAnsi="Times New Roman;serif"/>
          <w:b/>
          <w:caps/>
          <w:sz w:val="20"/>
        </w:rPr>
      </w:pPr>
      <w:r>
        <w:rPr>
          <w:rFonts w:ascii="Times New Roman;serif" w:hAnsi="Times New Roman;serif"/>
          <w:b/>
          <w:caps/>
          <w:sz w:val="20"/>
        </w:rPr>
        <w:t>Risks Related to Manufacturing Imetelstat</w:t>
      </w:r>
    </w:p>
    <w:p>
      <w:pPr>
        <w:pStyle w:val="TextBody"/>
        <w:spacing w:before="0" w:after="0"/>
        <w:jc w:val="left"/>
        <w:rPr>
          <w:rFonts w:ascii="Times New Roman;serif" w:hAnsi="Times New Roman;serif"/>
          <w:b/>
          <w:i/>
          <w:sz w:val="20"/>
        </w:rPr>
      </w:pPr>
      <w:r>
        <w:rPr>
          <w:rFonts w:ascii="Times New Roman;serif" w:hAnsi="Times New Roman;serif"/>
          <w:b/>
          <w:i/>
          <w:sz w:val="20"/>
        </w:rPr>
        <w:t>Failure by us to establish and/or maintain a manufacturing supply chain to appropriately and adequately supply imetelstat for future clinical and commercial uses would result in a further delay in or cessation of clinical trials and a delay in our ability to obtain regulatory approvals of imetelstat, and affect our ability to commercialize imetelstat, and our business and business prospects could be severely harmed, and we could cease operations.</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The manufacture of imetelstat must comply with applicable regulatory standards for current and potential future clinical trials and potential commercial uses. The process of manufacturing imetelstat is complex and remains subject to several risks, including:</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ability to scale-up and attain sufficient production yields with appropriate quality control and quality assurance to meet the needs of our clinical trials and potential future market demand, and to establish commercial supply agreements;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reliance on third-party manufacturers and suppliers, whose efforts we do not control;</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supply chain issues, including the timely availability and shelf life requirements of raw materials and other supplies, any of which may be impacted by a number of factors, including the effects of macroeconomic conditions such as the COVID-19 pandemic, and civil or political unrest or military conflicts around the world, such as the military conflict between Ukraine and Russia;</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shortage of qualified personnel; and</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regulatory acceptance and compliance with regulatory requirements, which are less well-defined for oligonucleotide products than for small molecule drugs and vary in each country where imetelstat might be sold or used.</w:t>
      </w:r>
    </w:p>
    <w:p>
      <w:pPr>
        <w:pStyle w:val="TextBody"/>
        <w:spacing w:before="0" w:after="0"/>
        <w:jc w:val="left"/>
        <w:rPr>
          <w:rFonts w:ascii="Times New Roman" w:hAnsi="Times New Roman"/>
          <w:sz w:val="20"/>
        </w:rPr>
      </w:pPr>
      <w:r>
        <w:rPr>
          <w:rFonts w:ascii="Times New Roman;serif" w:hAnsi="Times New Roman;serif"/>
          <w:b w:val="false"/>
          <w:sz w:val="20"/>
        </w:rPr>
        <w:t>As a result of these and other risks, we may be unable to establish and/or maintain a manufacturing infrastructure and supply chain capable of providing imetelstat for IMerge Phase 3, IMpactMF, IMproveMF and IMpress, and potential future commercial uses,</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49</w:t>
      </w:r>
    </w:p>
    <w:p>
      <w:pPr>
        <w:pStyle w:val="HorizontalLine"/>
        <w:rPr/>
      </w:pPr>
      <w:r>
        <w:rPr/>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which would delay or result in a cessation of such current or potential future clinical trials of imetelstat. Occurrence of any such events would further delay or preclude any applications for regulatory approval and therefore further delay or preclude our ability to earn revenue from the commercialization, if any, of imetelstat, which would severely and adversely affect our financial results, business and business prospects, and might cause us to cease operations.</w:t>
      </w:r>
    </w:p>
    <w:p>
      <w:pPr>
        <w:pStyle w:val="TextBody"/>
        <w:spacing w:before="0" w:after="0"/>
        <w:jc w:val="left"/>
        <w:rPr>
          <w:rFonts w:ascii="Times New Roman;serif" w:hAnsi="Times New Roman;serif"/>
          <w:b/>
          <w:i/>
          <w:sz w:val="20"/>
        </w:rPr>
      </w:pPr>
      <w:r>
        <w:rPr>
          <w:rFonts w:ascii="Times New Roman;serif" w:hAnsi="Times New Roman;serif"/>
          <w:b/>
          <w:i/>
          <w:sz w:val="20"/>
        </w:rPr>
        <w:t>If third parties that manufacture imetelstat fail to perform as needed, then the clinical and commercial supply of imetelstat will be limited, and we may be unable to conduct or complete current or potential future clinical trials of imetelstat or to commercialize imetelstat in the future.</w:t>
      </w:r>
    </w:p>
    <w:p>
      <w:pPr>
        <w:pStyle w:val="TextBody"/>
        <w:spacing w:before="0" w:after="0"/>
        <w:jc w:val="left"/>
        <w:rPr>
          <w:rFonts w:ascii="Times New Roman;serif" w:hAnsi="Times New Roman;serif"/>
          <w:b w:val="false"/>
          <w:sz w:val="20"/>
        </w:rPr>
      </w:pPr>
      <w:r>
        <w:rPr>
          <w:rFonts w:ascii="Times New Roman;serif" w:hAnsi="Times New Roman;serif"/>
          <w:b w:val="false"/>
          <w:sz w:val="20"/>
        </w:rPr>
        <w:t>Our imetelstat manufacturing supply chain relies, and will continue to rely, solely upon third-party manufacturers to perform certain process development or other technical and scientific work with respect to imetelstat, as well as to supply starting materials and manufacture drug substance and drug product. While we have established arrangements with third parties for the manufacture of imetelstat, our manufacturing supply chain is highly specialized, and as such we are reliant upon a small group of third-party manufacturers to supply starting materials, drug substance and drug product. Failure by such third-party manufacturers to perform in a timely manner and in compliance with all regulatory requirements, or at all, could further delay, perhaps substantially, or preclude our ability to pursue imetelstat development on our own, increase our costs and otherwise negatively affect our financial results, business and business prospects. In this regard, a recent FDA inspection of one of our third-party manufacturers identified certain deficiencies in the manufacturer’s processes and facilities which, while not directly related to the production of imetelstat, could impact the manufacturer’s ability to produce and deliver products, including imetelstat, if not remediated by the manufacturer, and could lead to delays or shortages in drug supply, or the inability to manufacture or ship drug supply necessary for non-clinical and clinical activities, and commercialization. In addition, we may not be able to obtain imetelstat from third-party manufacturers on acceptable terms, or at all. We expect to rely on third-party manufacturers to produce and deliver sufficient quantities of imetelstat and other materials to support clinical trials and potential commercialization on a timely basis and to comply with applicable regulatory requirements. We do not have direct control over these third-party personnel or operations. Reliance on these third-party manufacturers is subject to numerous risks, including:</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being unable to contract with suitable third-party manufacturers, including for potential commercial supply of imetelstat, because the number of potential manufacturers is limited;</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delays and disruptions experienced by third-party manufacturers due to the effects of the COVID-19 pandemic, which have adversely impacted and could continue to adversely impact the ability of such parties to fulfill their contractual obligations to us;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capacity limitations and scheduling constraints experienced by third-party manufacturers due to scheduling and other commitments, and queued manufacturing activities in contracted facilities;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potential shortages of available manufacturing capacity or consumable manufacturing supplies at third-party manufacturers, due to obligations to manufacture and distribute vaccines to address the spread of COVID-19; and we anticipate that other delays, or potential shortages of consumable manufacturing supplies, may continue throughout 2023;</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requirements by regulatory authorities to validate and qualify significant activities for any current or replacement manufacturer, which could involve new testing and compliance inspections;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inability to execute timely contracts with third-party manufacturers and suppliers on acceptable terms, or at all;</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inability of third-party manufacturers to timely formulate and manufacture imetelstat or to produce or ship imetelstat in the quantities or of the quality required to meet clinical and commercial needs, whether due to the effects of the COVID-19 pandemic or any other reasons;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possible mislabeling by third-party manufacturers of clinical supplies, potentially resulting in the wrong dose amounts being supplied or active drug or comparator not being properly identified;</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decisions by third-party manufacturers to exit the contract manufacturing business during the time required to supply clinical trials or to successfully produce, store and distribute imetelstat to meet commercial needs;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compliance by third-party manufacturers with GMP standards mandated by the FDA and state agencies and other government regulations corresponding to similar international regulatory authorities, including any deficiencies identified during regulatory inspections, such as those identified in a recent FDA inspection of one of our third-party manufacturers;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breach or termination of manufacturing or supply contracts;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inadequate storage or maintenance at contracted facilities resulting in theft or spoilage; and</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natural disasters that affect contracted facilities.</w:t>
      </w:r>
    </w:p>
    <w:p>
      <w:pPr>
        <w:pStyle w:val="TextBody"/>
        <w:spacing w:before="0" w:after="0"/>
        <w:jc w:val="left"/>
        <w:rPr>
          <w:rFonts w:ascii="Times New Roman" w:hAnsi="Times New Roman"/>
          <w:sz w:val="20"/>
        </w:rPr>
      </w:pPr>
      <w:r>
        <w:rPr>
          <w:rFonts w:ascii="Times New Roman;serif" w:hAnsi="Times New Roman;serif"/>
          <w:b w:val="false"/>
          <w:sz w:val="20"/>
        </w:rPr>
        <w:t>Each of these risks could lead to delays or shortages in drug supply, or the inability to manufacture or ship drug supply necessary for non-clinical and clinical activities, and commercialization. For example, manufacturing delays could adversely impact the conduct or completion of imetelstat clinical trials, such as IMerge Phase 3, IMpactMF, IMproveMF and IMpress, or</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50</w:t>
      </w:r>
    </w:p>
    <w:p>
      <w:pPr>
        <w:pStyle w:val="HorizontalLine"/>
        <w:rPr/>
      </w:pPr>
      <w:r>
        <w:rPr/>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commencement of potential future clinical trials of imetelstat, or preclude or delay potential future commercial sales, which could severely and adversely affect our financial results, business and business prospects, and the future of imetelstat.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In addition, third-party manufacturers and/or any other manufacturers may need to make substantial investments to enable sufficient capacity increases and cost reductions, and to implement those regulatory and compliance standards necessary for successful Phase 3 clinical trials and commercial production of imetelstat. These third-party manufacturers may not be willing or able to achieve such capacity increases, cost reductions, or regulatory and compliance standards, and even if they do, such achievements may not be at commercially reasonable costs. Changing manufacturers may be prolonged and difficult due to inherent technical complexities and because the number of potential manufacturers is limited. It may be difficult or impossible for us to find a replacement manufacturer on acceptable terms, or at all.</w:t>
      </w:r>
    </w:p>
    <w:p>
      <w:pPr>
        <w:pStyle w:val="TextBody"/>
        <w:spacing w:before="0" w:after="0"/>
        <w:jc w:val="left"/>
        <w:rPr>
          <w:rFonts w:ascii="Times New Roman;serif" w:hAnsi="Times New Roman;serif"/>
          <w:b/>
          <w:i/>
          <w:sz w:val="20"/>
        </w:rPr>
      </w:pPr>
      <w:r>
        <w:rPr>
          <w:rFonts w:ascii="Times New Roman;serif" w:hAnsi="Times New Roman;serif"/>
          <w:b/>
          <w:i/>
          <w:sz w:val="20"/>
        </w:rPr>
        <w:t>It may not be possible to manufacture imetelstat at costs or scales necessary to conduct clinical trials or potential future commercialization activities.</w:t>
      </w:r>
    </w:p>
    <w:p>
      <w:pPr>
        <w:pStyle w:val="TextBody"/>
        <w:spacing w:before="0" w:after="0"/>
        <w:jc w:val="left"/>
        <w:rPr>
          <w:rFonts w:ascii="Times New Roman;serif" w:hAnsi="Times New Roman;serif"/>
          <w:b w:val="false"/>
          <w:sz w:val="20"/>
        </w:rPr>
      </w:pPr>
      <w:r>
        <w:rPr>
          <w:rFonts w:ascii="Times New Roman;serif" w:hAnsi="Times New Roman;serif"/>
          <w:b w:val="false"/>
          <w:sz w:val="20"/>
        </w:rPr>
        <w:t>Oligonucleotides are relatively large molecules produced using complex chemistry, and the cost of manufacturing an oligonucleotide like imetelstat is greater than the cost of making typical small molecule drugs. Therefore, imetelstat for clinical use is more expensive to manufacture than most other treatments currently available today or that may be available in the future. Similarly, the cost of manufacturing imetelstat for commercial use will need to be significantly lower than current costs in order for imetelstat to become a commercially successful product. We may not be able to enter into suitable commercial supply agreements, or to achieve sufficient scale increases or cost reductions necessary for successful commercial production of imetelstat. Failure to achieve necessary cost reductions could result in decreased sales or reduced gross margins, if any, for us, which would materially and adversely affect our financial results, business and business prospects, and the future of imetelstat.</w:t>
      </w:r>
    </w:p>
    <w:p>
      <w:pPr>
        <w:pStyle w:val="TextBody"/>
        <w:spacing w:before="0" w:after="0"/>
        <w:jc w:val="center"/>
        <w:rPr>
          <w:rFonts w:ascii="Times New Roman;serif" w:hAnsi="Times New Roman;serif"/>
          <w:b/>
          <w:sz w:val="20"/>
        </w:rPr>
      </w:pPr>
      <w:r>
        <w:rPr>
          <w:rFonts w:ascii="Times New Roman;serif" w:hAnsi="Times New Roman;serif"/>
          <w:b/>
          <w:sz w:val="20"/>
        </w:rPr>
        <w:t>RISKS RELATED TO COVID-19</w:t>
      </w:r>
    </w:p>
    <w:p>
      <w:pPr>
        <w:pStyle w:val="TextBody"/>
        <w:spacing w:before="0" w:after="0"/>
        <w:jc w:val="left"/>
        <w:rPr>
          <w:rFonts w:ascii="Times New Roman" w:hAnsi="Times New Roman"/>
          <w:sz w:val="20"/>
        </w:rPr>
      </w:pPr>
      <w:r>
        <w:rPr>
          <w:rFonts w:ascii="Times New Roman;serif" w:hAnsi="Times New Roman;serif"/>
          <w:b/>
          <w:i/>
          <w:sz w:val="20"/>
        </w:rPr>
        <w:t>The effects of the COVID-19 pandemic have negatively impacted, and will likely continue to negatively impact, our business and healthcare resources around the world, including a significant number of current and planned clinical sites involved with IMpactMF, IMproveMF and IMpress.</w:t>
      </w:r>
      <w:r>
        <w:rPr>
          <w:rFonts w:ascii="Times New Roman" w:hAnsi="Times New Roman"/>
          <w:sz w:val="20"/>
        </w:rPr>
        <w:t xml:space="preserve">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Our business and business prospects, our financial condition and ability to raise additional capital, and the future of imetelstat generally could be materially and adversely affected by the effects of the COVID-19 pandemic. The COVID-19 pandemic and public health safety measures taken in response to COVID-19 have had a significant impact, both direct and indirect, on businesses, as significant reductions in business-related activities have occurred, clinical development and regulatory activities have been curtailed, delayed or suspended and supply chains have been disrupted. We have allowed voluntary access to our offices in California and New Jersey to employees who have been vaccinated. While almost all of our employees continue to work remotely without any significant disruption to our business, the effects of our policies regarding remote working may negatively impact productivity, disrupt our business and continue to delay our imetelstat development program and clinical trial timelines, the magnitude of which will depend, in part, on the length and severity of the restrictions and other limitations on our ability to conduct our business in the ordinary course. In addition, our increased reliance on personnel working remotely could increase our cybersecurity risk, create data accessibility concerns and make us more susceptible to communication disruptions, any of which could adversely impact our business operations. These and similar, and perhaps more severe, disruptions in our operations could continue to negatively impact our business and business prospects, our financial condition and the future of imetelstat.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Due to the effects of the COVID-19 pandemic, we have had, and expect to continue to have, or we may potentially have in the future, disruptions and/or delays in our imetelstat development program, including with respect to our ability to:</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open trial sites for screening and enrollment;</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screen, enroll and assess patients;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retain enrolled patients in our clinical trials;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ensure patient visits to clinical sites and laboratories;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conduct monitoring visits;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manufacture and/or supply study drug or other supplies;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report trial results; or</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 xml:space="preserve">interact with regulators or other important agencies due to limitations in employee resources or otherwise. </w:t>
      </w:r>
    </w:p>
    <w:p>
      <w:pPr>
        <w:pStyle w:val="TextBody"/>
        <w:spacing w:before="0" w:after="0"/>
        <w:jc w:val="left"/>
        <w:rPr>
          <w:rFonts w:ascii="Times New Roman" w:hAnsi="Times New Roman"/>
          <w:sz w:val="20"/>
        </w:rPr>
      </w:pPr>
      <w:r>
        <w:rPr>
          <w:rFonts w:ascii="Times New Roman;serif" w:hAnsi="Times New Roman;serif"/>
          <w:b w:val="false"/>
          <w:sz w:val="20"/>
        </w:rPr>
        <w:t>Restrictions on travel, availability of site personnel, and diversion of hospital staff and resources to COVID-19 patients, have disrupted our clinical trial operations, as well as patient recruitment in many areas, resulting in a slowdown in patient enrollment and/or deviations from or disruptions in key clinical trial activities, such as opening, initiating and monitoring clinical trial sites. Although vaccine distribution, including booster shots, is being conducted in many countries, the emergence of COVID-19 variants and subvariants, and the resurgence of COVID-19 cases in parts of the world, causes further uncertainty and unpredictability in clinical trial activities, including clinical site initiations, patient screening and enrollment. Like many other biopharmaceutical</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51</w:t>
      </w:r>
    </w:p>
    <w:p>
      <w:pPr>
        <w:pStyle w:val="HorizontalLine"/>
        <w:rPr/>
      </w:pPr>
      <w:r>
        <w:rPr/>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companies, we have experienced and continue to experience delays in clinical site initiations and patient screening and enrollment in our clinical trials, IMerge Phase 3, IMpactMF and IMproveMF, due to the COVID-19 pandemic, which have impacted our trial operations. Even though we completed patient enrollment in IMerge Phase 3, the pace of enrollment was slower than planned.</w:t>
      </w:r>
      <w:r>
        <w:rPr>
          <w:rFonts w:ascii="Times New Roman" w:hAnsi="Times New Roman"/>
          <w:sz w:val="20"/>
        </w:rPr>
        <w:t xml:space="preserve">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For IMpactMF, in addition to the negative impact of COVID-19, site personnel resources remain constrained in the countries where we planned to conduct the trial due to the number of competing trials in MF and other oncology indications. As such, we have experienced and expect to continue to experience disruption in clinical trial activities and delays in enrollment, as well as constraints on available sites and site personnel. Based on assumptions for enrollment and event (death) rates in the trial, we expect the interim analysis for OS for IMpactMF may occur in 2024 and the final analysis may occur in 2025. Because these analyses are event-driven and it is uncertain whether actual rates for enrollment and events will reflect current planning assumptions, the results may be available at different times than currently expected.</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The continuing effects of the COVID-19 pandemic could cause further disruptions to our clinical development timelines, including continued delays in enrollment and clinical trial site initiation in IMpactMF, IMproveMF and IMpress, and other disruptions that could severely impact our business and the imetelstat development program, including those resulting from:</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new, continued or heightened difficulties in opening clinical trial sites for patient screening and enrollment and recruiting clinical site investigators and clinical site staff;</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continued or heightened delays or difficulties caused by missed patient visits to clinical sites and laboratories, and uncertainty how the FDA will view deviations from clinical protocols caused by the effects of the COVID-19 pandemic;</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potential refusal by the FDA to accept data, including from clinical trials in affected geographies or failure to comply with updated FDA guidance and expectations related to the conduct of clinical trials during the COVID-19 pandemic;</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continued or heightened delays or disruptions in clinical trial activities, including executing clinical site contracts, due to reduced availability of personnel at CROs, clinical site legal groups and vendors, or for any other reasons;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substantial reduction of healthcare resources available for the conduct of clinical trials, including the temporary postponement of clinical trial activities at certain hospitals serving as our clinical trial sites and diversion of hospital staff away from the conduct of our clinical trials, such as those experienced by us to date;</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interruption of, or delays in receiving, supplies of imetelstat from our third-party manufacturers due to among other things, staffing shortages, production slowdowns or stoppages, shipping delays, shortages in raw materials or laboratory supplies because of ongoing efforts to address the pandemic, limitations in available capacity at contract manufacturing vendors or drug distribution service providers due to obligations to manufacture and distribute vaccines to address the spread of COVID-19, disruptions in supply chain and production systems and import/export complications;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interruption of key clinical trial activities, such as clinical trial site data monitoring, due to limitations on travel imposed or recommended by federal or state governments, employers and others or interruption of clinical trial subject visits and study procedures (particularly any procedures that may be deemed non-essential), which may impact the integrity of subject data and clinical study endpoints;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loss of potential and recruited patients in clinical trials due to clinical site COVID-19 activities, desire of patients to avoid frequent visits to hospitals because of potential increased exposure to COVID-19, or loss of life of patients due to COVID-19;</w:t>
      </w:r>
    </w:p>
    <w:p>
      <w:pPr>
        <w:pStyle w:val="TextBody"/>
        <w:spacing w:before="120" w:after="0"/>
        <w:jc w:val="left"/>
        <w:rPr/>
      </w:pPr>
      <w:r>
        <w:rPr/>
        <w:t>•</w:t>
      </w:r>
    </w:p>
    <w:p>
      <w:pPr>
        <w:pStyle w:val="TextBody"/>
        <w:spacing w:before="120" w:after="0"/>
        <w:jc w:val="left"/>
        <w:rPr/>
      </w:pPr>
      <w:r>
        <w:rPr>
          <w:rFonts w:ascii="Times New Roman;serif" w:hAnsi="Times New Roman;serif"/>
          <w:b w:val="false"/>
          <w:sz w:val="20"/>
        </w:rPr>
        <w:t>increased costs for clinical trial activities due to delays or disruptions in opening sites, screening and enrolling patients or treating and following patients,</w:t>
      </w:r>
      <w:r>
        <w:rPr/>
        <w:t xml:space="preserve"> </w:t>
      </w:r>
      <w:r>
        <w:rPr>
          <w:rFonts w:ascii="Times New Roman;serif" w:hAnsi="Times New Roman;serif"/>
          <w:b w:val="false"/>
          <w:sz w:val="20"/>
        </w:rPr>
        <w:t xml:space="preserve">whether as a result of the effects of the COVID-19 pandemic or for any other reasons, which would require further additional capital that may not be available; and </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limitations on employee resources that would otherwise be focused on the conduct of our clinical trials, product development, manufacturing, potential commercialization activities and general company operations, including because of sickness of employees or their families, the desire of employees to avoid contact with large groups of people, an increased reliance on working from home, or mass transit disruptions.</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These and other factors arising from the effects of the COVID-19 pandemic could further adversely impact our ability to enroll, conduct and complete IMpactMF, IMproveMF and IMpress and any potential future clinical trials of imetelstat, and could otherwise materially and adversely affect our business and business prospects, our financial condition and the future of imetelstat.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In addition, we rely on third-party CROs and other third parties to assist us with clinical trial activities. The COVID-19 pandemic has also had a significant impact on our CROs and other vendors, and we cannot guarantee that they will continue to perform their contractual duties in a timely and satisfactory manner as a result of the COVID-19 pandemic. Also, absenteeism by governmental employees or the focus of regulatory authorities’ efforts and attention on the approval of other therapeutics or other activities related to COVID-19 could likewise impact the timeliness of regulatory authority responses and the processing of regulatory submissions for imetelstat. In any event, if the effects of the COVID-19 pandemic become more severe, we may experience more significant disruptions to our clinical development timelines, which would materially and adversely affect our business and business prospects, our financial condition and ability to raise additional capital, and the future of imetelstat.</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52</w:t>
      </w:r>
    </w:p>
    <w:p>
      <w:pPr>
        <w:pStyle w:val="HorizontalLine"/>
        <w:rPr/>
      </w:pPr>
      <w:r>
        <w:rPr/>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While at this time we believe that we have sufficient drug supply for potential commercialization activities necessary to potentially bring imetelstat to market in lower risk MDS in the U.S., as well as for clinical use in IMerge Phase 3, IMpactMF, IMproveMF and IMpress, we could experience disruptions to our supply chain, as well as delays or limitations in our ability to obtain sufficient materials for the manufacture of imetelstat for our current and potential future clinical trials. Such disruptions could adversely affect our ability to conduct ongoing and potential future clinical trials of imetelstat. For example, some of our suppliers of certain materials used in the production of imetelstat are located in countries that were or are heavily affected by the COVID-19 pandemic. In these countries, shipping delays, closures and other restrictions resulting from the COVID-19 pandemic in the region could disrupt our supply chain or limit our ability to obtain sufficient materials for the manufacture of imetelstat. In addition, we may experience limitations in available capacity at contract manufacturers or drug suppliers, or potential shortages of consumable manufacturing supplies, due to obligations to manufacture and distribute vaccines to address the spread of COVID-19. We anticipate other delays, or potential shortages of consumable manufacturing supplies due to the COVID-19 pandemic may continue throughout 2023.</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The effects of the COVID-19 pandemic, as well as broader economic conditions, including inflation, rising interest rates and the prospects for a recession, have increased market volatility and could result in a significant long-term disruption of global financial markets, reducing or eliminating our ability to raise additional capital. In the absence of future proceeds from potential cash exercises of currently outstanding warrants and potential drawdowns under the Loan Agreement, we will require substantial additional funding to further advance the imetelstat program, including through the completion of IMpactMF, IMproveMF and IMpress, as well as conducting the clinical, regulatory and potential commercialization activities necessary to potentially bring imetelstat to market in relapsed/refractory MF and any other future indications, and our need for additional funds may arise sooner than planned. We cannot predict with any certainty whether and to what extent the outstanding warrants will be exercised for cash, or the timing of availability of additional funds under the Loan Agreement, if at all. In addition, the global economic slowdown caused by, among other things, the COVID-19 pandemic and the military conflict between Ukraine and Russia, inflation, rising interest rates and the prospects for a recession, as well as recent and potential future disruptions in access to bank deposits or lending commitments due to bank failure, could materially and adversely affect our business and the value of our common stock. As a result of these factors, our ability to raise additional capital may be impaired which could negatively affect our liquidity, our business and business prospects, and the future of imetelstat.</w:t>
      </w:r>
    </w:p>
    <w:p>
      <w:pPr>
        <w:pStyle w:val="TextBody"/>
        <w:spacing w:before="0" w:after="0"/>
        <w:jc w:val="left"/>
        <w:rPr>
          <w:rFonts w:ascii="Times New Roman" w:hAnsi="Times New Roman"/>
          <w:sz w:val="20"/>
        </w:rPr>
      </w:pPr>
      <w:r>
        <w:rPr>
          <w:rFonts w:ascii="Times New Roman;serif" w:hAnsi="Times New Roman;serif"/>
          <w:b w:val="false"/>
          <w:sz w:val="20"/>
        </w:rPr>
        <w:t>The extent to which the COVID-19 pandemic impacts our business, our regulatory and clinical development activities, clinical supply chain and other business operations, as well as the value of and market for our common stock, will depend on future developments that are highly uncertain and cannot be predicted with confidence at this time. Such developments include continued spread of COVID-19 variants and subvariants in the U.S. and other countries and the potential emergence of new variants or additional sub-variants that may prove especially contagious or virulent, the ultimate duration and severity of the pandemic, travel restrictions, quarantines, social distancing, shipping delays and business closure requirements in the U.S. and in other countries, and the effectiveness of vaccination programs and other actions taken globally to treat and manage this health crisis. Accordingly, we do not yet know the full extent of potential delays or impacts on our business, our regulatory and clinical development activities, clinical supply chain and other business operations or the global economy as a whole. However, these effects could materially and adversely affect our business and business prospects, our financial condition and ability to raise additional capital, and the future of imetelstat. In addition, to the extent the effects of the COVID-19 pandemic adversely affect our business and financial condition, they may also have the effect of heightening many of the other risks and uncertainties described elsewhere under the heading “Risk Factors”.</w:t>
      </w:r>
      <w:r>
        <w:rPr>
          <w:rFonts w:ascii="Times New Roman" w:hAnsi="Times New Roman"/>
          <w:sz w:val="20"/>
        </w:rPr>
        <w:t xml:space="preserve"> </w:t>
      </w:r>
    </w:p>
    <w:p>
      <w:pPr>
        <w:pStyle w:val="TextBody"/>
        <w:spacing w:before="0" w:after="0"/>
        <w:jc w:val="left"/>
        <w:rPr/>
      </w:pPr>
      <w:r>
        <w:rPr/>
        <w:t> </w:t>
      </w:r>
    </w:p>
    <w:p>
      <w:pPr>
        <w:pStyle w:val="TextBody"/>
        <w:spacing w:before="0" w:after="0"/>
        <w:jc w:val="center"/>
        <w:rPr>
          <w:rFonts w:ascii="Times New Roman;serif" w:hAnsi="Times New Roman;serif"/>
          <w:b/>
          <w:caps/>
          <w:sz w:val="20"/>
        </w:rPr>
      </w:pPr>
      <w:r>
        <w:rPr>
          <w:rFonts w:ascii="Times New Roman;serif" w:hAnsi="Times New Roman;serif"/>
          <w:b/>
          <w:caps/>
          <w:sz w:val="20"/>
        </w:rPr>
        <w:t>Risks Related to Our Financial Position and Need For Additional Financing</w:t>
      </w:r>
    </w:p>
    <w:p>
      <w:pPr>
        <w:pStyle w:val="TextBody"/>
        <w:spacing w:before="0" w:after="0"/>
        <w:jc w:val="left"/>
        <w:rPr>
          <w:rFonts w:ascii="Times New Roman;serif" w:hAnsi="Times New Roman;serif"/>
          <w:b/>
          <w:i/>
          <w:sz w:val="20"/>
        </w:rPr>
      </w:pPr>
      <w:r>
        <w:rPr>
          <w:rFonts w:ascii="Times New Roman;serif" w:hAnsi="Times New Roman;serif"/>
          <w:b/>
          <w:i/>
          <w:sz w:val="20"/>
        </w:rPr>
        <w:t>Our failure to obtain additional capital would force us to further delay, reduce or eliminate development of imetelstat in current and any potential future clinical trials of imetelstat, and our potential future imetelstat commercialization efforts, any of which would severely and adversely affect our financial results, business and business prospects, and might cause us to cease operations.*</w:t>
      </w:r>
    </w:p>
    <w:p>
      <w:pPr>
        <w:pStyle w:val="TextBody"/>
        <w:spacing w:before="0" w:after="0"/>
        <w:jc w:val="left"/>
        <w:rPr>
          <w:rFonts w:ascii="Times New Roman;serif" w:hAnsi="Times New Roman;serif"/>
          <w:b w:val="false"/>
          <w:sz w:val="20"/>
        </w:rPr>
      </w:pPr>
      <w:r>
        <w:rPr>
          <w:rFonts w:ascii="Times New Roman;serif" w:hAnsi="Times New Roman;serif"/>
          <w:b w:val="false"/>
          <w:sz w:val="20"/>
        </w:rPr>
        <w:t>Successful drug development and commercialization requires significant amounts of capital. As of March 31, 2023, we had approximately $409.2 million in cash, cash equivalents, restricted cash and current and noncurrent marketable securities. Based on our current operating plan and our expectations regarding the timing of the submission and potential acceptance and approval of our planned NDA by the FDA for imetelstat in lower risk MDS and the potential commercialization in the U.S. for the use of imetelstat in adult patients with lower risk MDS, we believe that our existing cash, cash equivalents, restricted cash and current and noncurrent marketable securities will be sufficient to fund our projected operating requirements through the end of the third quarter of 2025, which includes potential U.S. commercial launch of imetelstat in lower risk MDS in the first half of 2024. In the absence of potential proceeds from exercises of currently outstanding warrants and potential drawdowns under the Loan Agreement, we will require substantial additional funding to further advance the imetelstat program, including through the completion of IMpactMF, IMproveMF and IMpress, as well as conducting the clinical, regulatory and potential commercialization activities necessary to potentially bring imetelstat to market in relapsed/refractory MF and any other future indications, and our need for additional funds may arise sooner than planned. We cannot predict with any certainty whether and to what extent the outstanding warrants will be exercised for cash, or the timing or availability of additional funds under the Loan Agreement, if at all.</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In addition, our ability to commercialize imetelstat in the U.S., if regulatory approval is granted, depends on us being able to establish sales and marketing capabilities which we may be unable to do in a timely manner or at all.</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53</w:t>
      </w:r>
    </w:p>
    <w:p>
      <w:pPr>
        <w:pStyle w:val="HorizontalLine"/>
        <w:rPr/>
      </w:pPr>
      <w:r>
        <w:rPr/>
      </w:r>
    </w:p>
    <w:p>
      <w:pPr>
        <w:pStyle w:val="TextBody"/>
        <w:spacing w:before="0" w:after="0"/>
        <w:jc w:val="left"/>
        <w:rPr/>
      </w:pPr>
      <w:r>
        <w:rPr/>
        <w:t> </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Because the outcome of any clinical activities and/or regulatory approval process is highly uncertain, we cannot reasonably estimate whether any development activities we may undertake will succeed, whether we will be able to commercialize imetelstat, and we may never recoup our investment in any imetelstat development, which would adversely affect our financial condition and our business and business prospects, and might cause us to cease operations. In addition, our plans and timing expectations could be further delayed or interrupted by macroeconomic conditions, such as if COVID-19 or pandemic conditions worsen, creating further limitations on our clinical trial or commercial preparatory activities, or if U.S. and/or international banking system fails to stabilize in light of recent and potential future bank failures, or could be disrupted by civil or political unrest or military conflicts around the world, such as the current military conflict between Ukraine and Russia. Further, our future capital requirements are difficult to forecast and will depend on many factors, including:</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accuracy of the assumptions underlying our estimates for our capital needs;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scope, progress, timing, magnitude and costs of clinical development, manufacturing and potential commercialization of imetelstat, including the number of indications being pursued, subject to clearances and approvals by the FDA and similar international regulatory authorities;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scope, progress, duration, results and costs of current clinical trials, including IMerge Phase 3, IMpactMF, IMproveMF and IMpress, and any potential future clinical trials of imetelstat, as well as non-clinical studies and assessments of imetelstat;</w:t>
      </w:r>
    </w:p>
    <w:p>
      <w:pPr>
        <w:pStyle w:val="TextBody"/>
        <w:spacing w:before="120" w:after="0"/>
        <w:jc w:val="left"/>
        <w:rPr/>
      </w:pPr>
      <w:r>
        <w:rPr/>
        <w:t>•</w:t>
      </w:r>
    </w:p>
    <w:p>
      <w:pPr>
        <w:pStyle w:val="TextBody"/>
        <w:spacing w:before="120" w:after="0"/>
        <w:jc w:val="left"/>
        <w:rPr/>
      </w:pPr>
      <w:r>
        <w:rPr>
          <w:rFonts w:ascii="Times New Roman;serif" w:hAnsi="Times New Roman;serif"/>
          <w:b w:val="false"/>
          <w:sz w:val="20"/>
        </w:rPr>
        <w:t>delays or disruptions in opening sites, screening and enrolling patients or treating and following patients,</w:t>
      </w:r>
      <w:r>
        <w:rPr/>
        <w:t xml:space="preserve"> </w:t>
      </w:r>
      <w:r>
        <w:rPr>
          <w:rFonts w:ascii="Times New Roman;serif" w:hAnsi="Times New Roman;serif"/>
          <w:b w:val="false"/>
          <w:sz w:val="20"/>
        </w:rPr>
        <w:t>in IMpactMF, IMproveMF, IMpress, or any potential future clinical trials of imetelstat, whether as a result of the effects of macroeconomic conditions like the COVID-19 pandemic, civil or political unrest or military conflicts around the world, such as the military conflict between Ukraine and Russia;</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costs, timing and outcomes of regulatory reviews or other regulatory actions related to imetelstat, such as obtaining and maintaining regulatory clearances and approvals to continue clinical development of imetelstat in current and potential future clinical trials, as well as to commence potential commercialization of imetelstat in the U.S. and in other countries;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costs of preparing, filing and prosecuting patent applications and maintaining, enforcing and defending intellectual property-related claims;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costs of manufacturing imetelstat, including our ability to achieve any meaningful reduction in manufacturing costs;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costs of multiple third-party vendors and service providers, including our CROs and third-party manufacturers, to pursue the development, manufacturing and potential commercialization of imetelstat;</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ability to establish, enforce and maintain collaborative or other strategic arrangements for research, development, clinical testing and manufacturing of imetelstat on favorable terms, if at all;</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efforts to enhance operational, financial and management processes and systems that will be required for future development and commercialization of imetelstat, and our ability to successfully recruit and retain additional key personnel to support the development and potential future commercialization of imetelstat;</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ability to successfully market and sell imetelstat, if imetelstat receives future regulatory approval or clearance, in the U.S. and other countries, and the associated costs;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costs and timing necessary to build a sales force in the U.S. and potentially other countries to market and sell imetelstat, should it receive regulatory approval, to the extent that such sales, marketing, manufacturing and distribution are not the responsibility of any collaborator;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sales price for imetelstat, if any;</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availability of coverage and adequate third-party reimbursement for imetelstat, if any;</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extent to which we acquire or in-license other drugs and technologies, or invest in businesses, products or technologies, although we currently have no commitments or agreements relating to any of these types of transactions, or to which we out-license imetelstat;</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extent to which we are able to enter into strategic partnerships, collaborations and alliances or licensing arrangements with third parties including for the commercialization and marketing of imetelstat in certain global regions;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success of any collaborations that we may enter into with third parties;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expenses associated with settlement of the pending securities class action lawsuits, and the ongoing derivative lawsuits, as well as any other potential litigation;</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 xml:space="preserve">the extent and scope of our general and administrative expenses, including expenses associated with potential future litigation;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54</w:t>
      </w:r>
    </w:p>
    <w:p>
      <w:pPr>
        <w:pStyle w:val="HorizontalLine"/>
        <w:rPr/>
      </w:pPr>
      <w:r>
        <w:rPr/>
      </w:r>
    </w:p>
    <w:p>
      <w:pPr>
        <w:pStyle w:val="TextBody"/>
        <w:spacing w:before="0" w:after="0"/>
        <w:jc w:val="left"/>
        <w:rPr/>
      </w:pPr>
      <w:r>
        <w:rPr/>
        <w:t>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level of indebtedness and associated debt service obligations;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costs of maintaining and operating facilities in California and New Jersey, telecommunications and administrative oversight, as well as higher expenses for travel;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broader economic conditions, including inflation, rising interest rates, the prospects for a recession, and recent and potential future disruptions in access to bank deposits or lending commitments due to bank failure, that may reduce our ability to access debt capital or financing on preferable terms, which may adversely affect future capital requirements and forecasts;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costs of enabling our personnel to work remotely, including providing supplies, equipment and technology necessary for them to perform their responsibilities; and </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the amount of proceeds, if any, of cash exercises of our currently outstanding warrants.</w:t>
      </w:r>
    </w:p>
    <w:p>
      <w:pPr>
        <w:pStyle w:val="TextBody"/>
        <w:spacing w:before="0" w:after="0"/>
        <w:jc w:val="left"/>
        <w:rPr>
          <w:rFonts w:ascii="Times New Roman;serif" w:hAnsi="Times New Roman;serif"/>
          <w:b w:val="false"/>
          <w:sz w:val="20"/>
        </w:rPr>
      </w:pPr>
      <w:r>
        <w:rPr>
          <w:rFonts w:ascii="Times New Roman;serif" w:hAnsi="Times New Roman;serif"/>
          <w:b w:val="false"/>
          <w:sz w:val="20"/>
        </w:rPr>
        <w:t>Until we can generate a sufficient amount of revenue from imetelstat to finance our cash requirements, which we may never achieve, we expect to finance future cash needs through a combination of public or private equity offerings, debt financings, collaborations, strategic alliances, licensing arrangements and other marketing and distribution arrangements, which may not be possible. Availability of such financing sources may be negatively impacted by any further delays in reporting results from IMpactMF or investors’ perception of top-line results from IMerge Phase 3, despite our interpretation of such data being positive, as well as factors such as the global economic slowdown, inflation, rising interest rates and the prospects for a recession, as well as recent and potential future disruptions in access to bank deposits or lending commitments due to bank failure.</w:t>
      </w:r>
    </w:p>
    <w:p>
      <w:pPr>
        <w:pStyle w:val="TextBody"/>
        <w:spacing w:before="0" w:after="0"/>
        <w:jc w:val="left"/>
        <w:rPr>
          <w:rFonts w:ascii="Times New Roman;serif" w:hAnsi="Times New Roman;serif"/>
          <w:b w:val="false"/>
          <w:sz w:val="20"/>
        </w:rPr>
      </w:pPr>
      <w:r>
        <w:rPr>
          <w:rFonts w:ascii="Times New Roman;serif" w:hAnsi="Times New Roman;serif"/>
          <w:b w:val="false"/>
          <w:sz w:val="20"/>
        </w:rPr>
        <w:t>Additional financing through public or private debt or equity financings, including pursuant to the 2020 Sales Agreement with B. Riley Securities, Inc., or B. Riley, the remaining tranches of up to $55.0 million available under the Loan Agreement, which are subject to the achievement of certain clinical and regulatory milestones and satisfaction of certain capitalization and other requirements, as well as approval by an investment committee comprised of Hercules and SVB for the final $25.0 million tranche; capital lease transactions or other financing sources, may not be available on acceptable terms, or at all. We may be unable to raise equity capital, or may be forced to do so at a stock price or on other terms that could result in substantial dilution of ownership for our stockholders. The receptivity of the public and private debt and equity markets to proposed financings has been substantially affected by uncertainty in the general economic, market and political climate due to the effects of macroeconomic conditions like the COVID-19 pandemic, civil or political unrest or military conflicts around the world, such as the military conflict between Ukraine and Russia, inflation, rising interest rates, prospects of a recession, or recent and potential future disruptions in access to bank deposits or lending commitments due to bank failure, and may in the future be affected by other factors which are unpredictable and over which we have no control. In this regard, the effects of the COVID-19 pandemic have increased market volatility and could result in a significant long-term disruption of global financial markets, which could reduce or eliminate our ability to raise additional funds through financings, and could negatively impact the terms upon which we may raise those funds. Similarly, these macroeconomic conditions have created extreme volatility and disruption in the capital markets and is expected to have further global economic consequences. If the equity and credit markets deteriorate, including as a result of macroeconomic conditions like the COVID-19 pandemic, civil or political unrest or military conflicts around the world, such as the military conflict between Ukraine and Russia, inflation, rising interest rates, prospects of a recessions or recent and potential future disruptions in access to bank deposits or lending commitments due to bank failure, it may make any necessary debt or equity financing more difficult to obtain in a timely manner or on favorable terms, more costly or more dilutive. If we are unable to raise additional capital or establish alternative collaborative arrangements with third-party collaborative partners for imetelstat, the development and potential commercialization of imetelstat may be further delayed, altered or abandoned, which might cause us to cease operations.</w:t>
      </w:r>
    </w:p>
    <w:p>
      <w:pPr>
        <w:pStyle w:val="TextBody"/>
        <w:spacing w:before="0" w:after="0"/>
        <w:jc w:val="left"/>
        <w:rPr>
          <w:rFonts w:ascii="Times New Roman;serif" w:hAnsi="Times New Roman;serif"/>
          <w:b w:val="false"/>
          <w:sz w:val="20"/>
        </w:rPr>
      </w:pPr>
      <w:r>
        <w:rPr>
          <w:rFonts w:ascii="Times New Roman;serif" w:hAnsi="Times New Roman;serif"/>
          <w:b w:val="false"/>
          <w:sz w:val="20"/>
        </w:rPr>
        <w:t>In addition, we may seek additional capital due to market conditions or strategic considerations even if we believe we have sufficient funds for our current or future operating plans. Due to uncertainty in the general economic, market and political climate, we may determine that it is necessary or appropriate to raise additional funds proactively to meet longer-term anticipated operating plans. To the extent that we raise additional capital through the sale of equity or convertible debt securities, including pursuant to the 2020 Sales Agreement, your ownership interest as a stockholder may be diluted, and the terms may include liquidation or other preferences that materially and adversely affect your rights as a stockholder. In addition, we have borrowed, and in the future may borrow, additional capital from institutional and commercial banking sources to fund imetelstat development and our future growth, including pursuant to our Loan Agreement or potentially pursuant to new arrangements with different lenders. We may borrow funds on terms under agreements, such as the Loan Agreement, that include restrictive covenants, including covenants limiting or restricting our ability to take specific actions, such as incurring additional debt, making capital expenditures or declaring dividends. Moreover, if we raise additional funds through alliance, collaborative or licensing arrangements with third parties, we may have to relinquish valuable rights to imetelstat or our technologies or grant licenses on terms that are not favorable to us.</w:t>
      </w:r>
    </w:p>
    <w:p>
      <w:pPr>
        <w:pStyle w:val="TextBody"/>
        <w:spacing w:before="0" w:after="0"/>
        <w:jc w:val="left"/>
        <w:rPr>
          <w:rFonts w:ascii="Times New Roman" w:hAnsi="Times New Roman"/>
          <w:sz w:val="20"/>
        </w:rPr>
      </w:pPr>
      <w:r>
        <w:rPr>
          <w:rFonts w:ascii="Times New Roman;serif" w:hAnsi="Times New Roman;serif"/>
          <w:b w:val="false"/>
          <w:sz w:val="20"/>
        </w:rPr>
        <w:t>We cannot assure you that our existing capital resources, including net cash proceeds from the January 2023 offering, future interest income, future proceeds from potential cash exercises of currently outstanding warrants and potential future sales of our common stock, including under the 2020 Sales Agreement with B. Riley or potential future drawdowns, if available, of the remaining up to $55.0 million under the Loan Agreement (which are subject to the achievement of certain clinical and regulatory milestones and satisfaction of certain capitalization and other requirements, as well as approval by an investment committee comprised of Hercules and SVB for the final $25.0 million tranche), will be sufficient to fund our operating plans. While we did not hold cash deposits or securities at SVB, if other banks and financial institutions enter receivership, become insolvent or otherwise fail in the future in</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55</w:t>
      </w:r>
    </w:p>
    <w:p>
      <w:pPr>
        <w:pStyle w:val="HorizontalLine"/>
        <w:rPr/>
      </w:pPr>
      <w:r>
        <w:rPr/>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response to financial conditions affecting the banking system and financial markets or otherwise, our ability to access our existing cash, cash equivalents and marketable securities may be delayed or precluded, which could have a material adverse effect on our business, business prospects and financial position.</w:t>
      </w:r>
    </w:p>
    <w:p>
      <w:pPr>
        <w:pStyle w:val="TextBody"/>
        <w:spacing w:before="0" w:after="0"/>
        <w:jc w:val="left"/>
        <w:rPr>
          <w:rFonts w:ascii="Times New Roman" w:hAnsi="Times New Roman"/>
          <w:sz w:val="20"/>
        </w:rPr>
      </w:pPr>
      <w:r>
        <w:rPr>
          <w:rFonts w:ascii="Times New Roman;serif" w:hAnsi="Times New Roman;serif"/>
          <w:b/>
          <w:i/>
          <w:sz w:val="20"/>
        </w:rPr>
        <w:t>We currently have no source of product revenue and may never become profitable.</w:t>
      </w:r>
      <w:r>
        <w:rPr>
          <w:rFonts w:ascii="Times New Roman" w:hAnsi="Times New Roman"/>
          <w:sz w:val="20"/>
        </w:rPr>
        <w:t xml:space="preserve">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Although in the past we have received license and other payments under former license and collaboration agreements, we do not currently have any material revenue-generating license or collaboration agreements, have no products approved for commercialization and have never generated any revenue from product sales. In addition, we are incurring and have incurred operating losses every year since our operations began in 1990, except for one. As of March 31, 2023, our accumulated deficit was approximately $1.5 billion. Losses have resulted principally from costs incurred in connection with our research and development activities and from general and administrative costs associated with our operations.</w:t>
      </w:r>
    </w:p>
    <w:p>
      <w:pPr>
        <w:pStyle w:val="TextBody"/>
        <w:spacing w:before="0" w:after="0"/>
        <w:jc w:val="left"/>
        <w:rPr>
          <w:rFonts w:ascii="Times New Roman;serif" w:hAnsi="Times New Roman;serif"/>
          <w:b w:val="false"/>
          <w:sz w:val="20"/>
        </w:rPr>
      </w:pPr>
      <w:r>
        <w:rPr>
          <w:rFonts w:ascii="Times New Roman;serif" w:hAnsi="Times New Roman;serif"/>
          <w:b w:val="false"/>
          <w:sz w:val="20"/>
        </w:rPr>
        <w:t>Substantially all of our revenues to date have been payments under collaboration agreements and milestones, royalties and other revenues from our licensing arrangements. Our license agreements related to our hTERT technology have expired or been terminated due to expiration of the underlying hTERT patents, and will not generate any further revenues. We have no ongoing collaborations related to imetelstat and have no current plans to enter into any corporate collaboration, partnership or license agreements that result in revenues, although we may seek a collaborative partner or partners, at an appropriate time, to assist us in the potential development and commercialization of imetelstat, especially outside the U.S., and to provide funding for such activities.</w:t>
      </w:r>
    </w:p>
    <w:p>
      <w:pPr>
        <w:pStyle w:val="TextBody"/>
        <w:spacing w:before="0" w:after="0"/>
        <w:jc w:val="left"/>
        <w:rPr>
          <w:rFonts w:ascii="Times New Roman;serif" w:hAnsi="Times New Roman;serif"/>
          <w:b w:val="false"/>
          <w:sz w:val="20"/>
        </w:rPr>
      </w:pPr>
      <w:r>
        <w:rPr>
          <w:rFonts w:ascii="Times New Roman;serif" w:hAnsi="Times New Roman;serif"/>
          <w:b w:val="false"/>
          <w:sz w:val="20"/>
        </w:rPr>
        <w:t>We also expect to experience increased negative cash flow for the foreseeable future as we fund our operations and imetelstat clinical development activities and research programs continue, and we prepare for potential commercialization of imetelstat. This will result in decreases in our working capital, total assets and stockholders’ equity. Further, we may be unable to replenish our working capital by future financings. We will need to generate significant revenues to achieve consistent future profitability. We may never achieve consistent future profitability. Even if we do become profitable in the future, we may not be able to sustain or increase profitability on a quarterly or annual basis. Our failure to achieve consistent future profitability could negatively impact the market price of our common stock and our ability to sustain operations.</w:t>
      </w:r>
    </w:p>
    <w:p>
      <w:pPr>
        <w:pStyle w:val="TextBody"/>
        <w:spacing w:before="0" w:after="0"/>
        <w:jc w:val="left"/>
        <w:rPr>
          <w:rFonts w:ascii="Times New Roman;serif" w:hAnsi="Times New Roman;serif"/>
          <w:b/>
          <w:i/>
          <w:sz w:val="20"/>
        </w:rPr>
      </w:pPr>
      <w:r>
        <w:rPr>
          <w:rFonts w:ascii="Times New Roman;serif" w:hAnsi="Times New Roman;serif"/>
          <w:b/>
          <w:i/>
          <w:sz w:val="20"/>
        </w:rPr>
        <w:t>Our ability to use our net operating loss carryforwards and certain other tax attributes may be limited.</w:t>
      </w:r>
    </w:p>
    <w:p>
      <w:pPr>
        <w:pStyle w:val="TextBody"/>
        <w:spacing w:before="0" w:after="0"/>
        <w:jc w:val="left"/>
        <w:rPr>
          <w:rFonts w:ascii="Times New Roman" w:hAnsi="Times New Roman"/>
          <w:sz w:val="20"/>
        </w:rPr>
      </w:pPr>
      <w:r>
        <w:rPr>
          <w:rFonts w:ascii="Times New Roman;serif" w:hAnsi="Times New Roman;serif"/>
          <w:b w:val="false"/>
          <w:sz w:val="20"/>
        </w:rPr>
        <w:t>Our net operating loss carryforwards attributable to tax years beginning before January 1, 2018 could expire unused and be unavailable to offset future income tax liabilities. Under the Tax Cuts and Jobs Act of 2017, or the Tax Act, as modified by the Coronavirus Aid, Relief and Economic Security Act, or CARES Act, federal net operating losses incurred in taxable years beginning after December 31, 2017, can be carried forward indefinitely, but the deductibility of such federal net operating losses in taxable years beginning after December 31, 2020, is limited to 80% of taxable income. It is uncertain if and to what extent various states will conform to the Tax Act or the CARES Act.</w:t>
      </w:r>
      <w:r>
        <w:rPr>
          <w:rFonts w:ascii="Times New Roman" w:hAnsi="Times New Roman"/>
          <w:sz w:val="20"/>
        </w:rPr>
        <w:t xml:space="preserve">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Under Sections 382 and 383 of the Internal Revenue Code of 1986, as amended, or the Code, and corresponding provisions of state law, if a corporation undergoes an “ownership change,” generally defined as a greater than 50</w:t>
        <w:noBreakHyphen/>
        <w:t>percentage</w:t>
        <w:noBreakHyphen/>
        <w:t>point cumulative change (by value) in its equity ownership over a three-year period, the corporation’s ability to use its pre-change net operating loss carryforwards and other pre-change tax attributes (such as research and development tax credits) to offset its post-change taxable income or taxes may be limited. Changes in our stock ownership, some of which are outside of our control, may have resulted in, or other future changes could result in, an ownership change. If a limitation were to apply, utilization of a portion of our domestic net operating loss and tax credit carryforwards could be limited in future periods. In addition, a portion of the carryforwards may expire before being available to reduce future income tax liabilities which could adversely impact our financial position. At the state level, there may be periods during which the use of net operating loss carryforwards is suspended or otherwise limited, which could accelerate or permanently increase state taxes owed.</w:t>
      </w:r>
    </w:p>
    <w:p>
      <w:pPr>
        <w:pStyle w:val="TextBody"/>
        <w:spacing w:before="0" w:after="0"/>
        <w:jc w:val="center"/>
        <w:rPr>
          <w:rFonts w:ascii="Times New Roman;serif" w:hAnsi="Times New Roman;serif"/>
          <w:b/>
          <w:caps/>
          <w:sz w:val="20"/>
        </w:rPr>
      </w:pPr>
      <w:r>
        <w:rPr>
          <w:rFonts w:ascii="Times New Roman;serif" w:hAnsi="Times New Roman;serif"/>
          <w:b/>
          <w:caps/>
          <w:sz w:val="20"/>
        </w:rPr>
        <w:t>Risks Related to our Indebtedness</w:t>
      </w:r>
    </w:p>
    <w:p>
      <w:pPr>
        <w:pStyle w:val="TextBody"/>
        <w:spacing w:before="0" w:after="0"/>
        <w:jc w:val="left"/>
        <w:rPr>
          <w:rFonts w:ascii="Times New Roman" w:hAnsi="Times New Roman"/>
          <w:sz w:val="20"/>
        </w:rPr>
      </w:pPr>
      <w:r>
        <w:rPr>
          <w:rFonts w:ascii="Times New Roman;serif" w:hAnsi="Times New Roman;serif"/>
          <w:b/>
          <w:i/>
          <w:sz w:val="20"/>
        </w:rPr>
        <w:t>Our level of indebtedness and debt service obligations could adversely affect our financial condition, and may make it more difficult for us to fund our operations.</w:t>
      </w:r>
      <w:r>
        <w:rPr>
          <w:rFonts w:ascii="Times New Roman" w:hAnsi="Times New Roman"/>
          <w:sz w:val="20"/>
        </w:rPr>
        <w:t xml:space="preserve"> </w:t>
      </w:r>
    </w:p>
    <w:p>
      <w:pPr>
        <w:pStyle w:val="TextBody"/>
        <w:spacing w:before="0" w:after="0"/>
        <w:jc w:val="left"/>
        <w:rPr>
          <w:rFonts w:ascii="Times New Roman" w:hAnsi="Times New Roman"/>
          <w:sz w:val="20"/>
        </w:rPr>
      </w:pPr>
      <w:r>
        <w:rPr>
          <w:rFonts w:ascii="Times New Roman;serif" w:hAnsi="Times New Roman;serif"/>
          <w:b w:val="false"/>
          <w:sz w:val="20"/>
        </w:rPr>
        <w:t>As of March 31, 2023, the total outstanding principal amount under the Loan Agreement was $50.0 million. The tranches for the remaining $55.0 million available to us under the Loan Agreement are as follows: (a) the first remaining tranche of $10.0 million is available from January 1, 2023 until December 15, 2023, subject to the achievement of certain clinical and regulatory milestones, and satisfaction of certain other requirements; (b) the second remaining tranche of $20.0 million is available from September 15, 2023 until September 15, 2024, subject to the achievement of certain clinical and regulatory milestones, and satisfaction of certain capitalization requirements; and (c) the final remaining tranche of $25.0 million is available through December 31, 2024, subject to approval by an investment committee comprised of Hercules and SVB. Without the achievement of the required clinical and regulatory milestones and satisfaction of certain capitalization and other requirements, we will not be eligible to draw funds under the first three remaining tranches. If we do not receive investment committee approval, we will not be eligible to draw funds under the final remaining tranche under the Loan Agreement. In addition, before we would consider drawing down any of the remaining tranches under the Loan Agreement, if available, we must first satisfy ourselves that we will have access to future alternate sources of capital, such as from the equity capital markets or debt capital markets, in order to repay any additional principal borrowed, which we</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56</w:t>
      </w:r>
    </w:p>
    <w:p>
      <w:pPr>
        <w:pStyle w:val="HorizontalLine"/>
        <w:rPr/>
      </w:pPr>
      <w:r>
        <w:rPr/>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may be unable to do, in which case, our liquidity and ability to fund our operations may be substantially impaired. As a result, our development and potential commercialization of imetelstat and other research and development programs could be significantly delayed, which would materially adversely affect our business, business prospects, financial condition and operating results.</w:t>
      </w:r>
    </w:p>
    <w:p>
      <w:pPr>
        <w:pStyle w:val="TextBody"/>
        <w:spacing w:before="0" w:after="0"/>
        <w:jc w:val="left"/>
        <w:rPr>
          <w:rFonts w:ascii="Times New Roman;serif" w:hAnsi="Times New Roman;serif"/>
          <w:b w:val="false"/>
          <w:sz w:val="20"/>
        </w:rPr>
      </w:pPr>
      <w:r>
        <w:rPr>
          <w:rFonts w:ascii="Times New Roman;serif" w:hAnsi="Times New Roman;serif"/>
          <w:b w:val="false"/>
          <w:sz w:val="20"/>
        </w:rPr>
        <w:t>All obligations under the Loan Agreement are secured by substantially all of our existing property and assets, excluding intellectual property, which is subject to a negative pledge. This indebtedness may create additional financing risk for us, particularly if our business or prevailing financial market conditions are not conducive to paying off or refinancing the outstanding debt obligations at maturity. If we are able to draw down any of the remaining tranches under the Loan Agreement, our indebtedness will increase, which would further increase our risk of being unable to pay off or refinance our outstanding debt obligations at maturity. Our indebtedness could also have important negative consequences, including:</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will need to repay the indebtedness by making payments of interest and principal, which will reduce the amount of cash available to finance our operations, our research and development efforts and other general corporate activities; and</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our failure to comply with the obligations of our affirmative and restrictive covenants in the Loan Agreement could result in an event of default that, if not cured or waived, would accelerate our obligation to repay this indebtedness, and Hercules and SVB could seek to enforce their security interest in the assets securing such indebtedness.</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To the extent additional debt is added to our current debt levels, the risks described above could increase.</w:t>
      </w:r>
    </w:p>
    <w:p>
      <w:pPr>
        <w:pStyle w:val="TextBody"/>
        <w:spacing w:before="0" w:after="0"/>
        <w:jc w:val="left"/>
        <w:rPr>
          <w:rFonts w:ascii="Times New Roman;serif" w:hAnsi="Times New Roman;serif"/>
          <w:b/>
          <w:i/>
          <w:sz w:val="20"/>
        </w:rPr>
      </w:pPr>
      <w:r>
        <w:rPr>
          <w:rFonts w:ascii="Times New Roman;serif" w:hAnsi="Times New Roman;serif"/>
          <w:b/>
          <w:i/>
          <w:sz w:val="20"/>
        </w:rPr>
        <w:t>The terms of the Loan Agreement place restrictions on our operating and financial flexibility.</w:t>
      </w:r>
    </w:p>
    <w:p>
      <w:pPr>
        <w:pStyle w:val="TextBody"/>
        <w:spacing w:before="0" w:after="0"/>
        <w:jc w:val="left"/>
        <w:rPr>
          <w:rFonts w:ascii="Times New Roman" w:hAnsi="Times New Roman"/>
          <w:sz w:val="20"/>
        </w:rPr>
      </w:pPr>
      <w:r>
        <w:rPr>
          <w:rFonts w:ascii="Times New Roman;serif" w:hAnsi="Times New Roman;serif"/>
          <w:b w:val="false"/>
          <w:sz w:val="20"/>
        </w:rPr>
        <w:t>The Loan Agreement imposes operating and other restrictions on us. Such restrictions will affect, and in many respects limit or prohibit, our ability and the ability of any future subsidiaries to, among other things:</w:t>
      </w:r>
      <w:r>
        <w:rPr>
          <w:rFonts w:ascii="Times New Roman" w:hAnsi="Times New Roman"/>
          <w:sz w:val="20"/>
        </w:rPr>
        <w:t xml:space="preserve">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dispose of certain assets;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change our line of business;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engage in mergers, acquisitions or consolidations;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incur additional indebtedness;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create liens on assets;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pay dividends and make contributions or repurchase our capital stock; and</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engage in certain transactions with affiliates.</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The Loan Agreement also contains financial covenants. Beginning June 1, 2022 and prior to receiving potential regulatory approval for imetelstat, if any, we are required to maintain a minimum cash balance in an amount equal to the greater of 50% of the outstanding principal amount under the Loan Agreement or $30.0 million. Under the Loan Agreement, if we enter into certain licensing transactions, this cash covenant requirement would increase to $35.0 million. After the potential regulatory approval for imetelstat, if any, the minimum cash requirement may be satisfied through one of the following three options, as elected by us: (a) maintaining a cash balance in an amount not less than 40% of the outstanding principal amount under the Loan Agreement; (b) maintaining a cash balance in an amount not less than 25% of the outstanding principal amount under the Loan Agreement, if our market cap is or exceeds $750.0 million; or (c) maintaining six month net product revenues of at least 70% of net product revenues forecasted by us, should any potential regulatory approval for imetelstat be obtained. The breach of any of these restrictive covenants or any other terms of the Loan Agreement would accelerate our obligation to repay our indebtedness under the Loan Agreement, which could have a material adverse effect on our business, business prospects and financial position.</w:t>
      </w:r>
    </w:p>
    <w:p>
      <w:pPr>
        <w:pStyle w:val="TextBody"/>
        <w:spacing w:before="0" w:after="0"/>
        <w:jc w:val="left"/>
        <w:rPr>
          <w:rFonts w:ascii="Times New Roman" w:hAnsi="Times New Roman"/>
          <w:sz w:val="20"/>
        </w:rPr>
      </w:pPr>
      <w:r>
        <w:rPr>
          <w:rFonts w:ascii="Times New Roman;serif" w:hAnsi="Times New Roman;serif"/>
          <w:b/>
          <w:i/>
          <w:sz w:val="20"/>
        </w:rPr>
        <w:t>We may not have cash available in an amount sufficient to enable us to make interest or principal payments on our indebtedness when due.</w:t>
      </w:r>
      <w:r>
        <w:rPr>
          <w:rFonts w:ascii="Times New Roman" w:hAnsi="Times New Roman"/>
          <w:sz w:val="20"/>
        </w:rPr>
        <w:t xml:space="preserve">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Our ability to make scheduled payments on or to refinance our indebtedness depends on our future performance and ability to raise additional sources of cash, which is subject to economic, financial, competitive and other factors beyond our control. If we are unable to generate sufficient cash to service our debt, we may be required to adopt one or more alternatives, such as selling assets, restructuring our debt or obtaining additional equity capital on terms that may be onerous or highly dilutive. If we desire to refinance our indebtedness, our ability to do so will depend on the state of the capital and lending markets and our financial condition at such time. We may not be able to engage in any of these activities or engage in these activities on desirable terms, which could result in a default on our debt obligations.</w:t>
      </w:r>
    </w:p>
    <w:p>
      <w:pPr>
        <w:pStyle w:val="TextBody"/>
        <w:spacing w:before="0" w:after="0"/>
        <w:jc w:val="left"/>
        <w:rPr>
          <w:rFonts w:ascii="Times New Roman;serif" w:hAnsi="Times New Roman;serif"/>
          <w:b w:val="false"/>
          <w:sz w:val="20"/>
        </w:rPr>
      </w:pPr>
      <w:r>
        <w:rPr>
          <w:rFonts w:ascii="Times New Roman;serif" w:hAnsi="Times New Roman;serif"/>
          <w:b w:val="false"/>
          <w:sz w:val="20"/>
        </w:rPr>
        <w:t>Failure to satisfy our current and future debt obligations under the Loan Agreement could result in an event of default. In addition, the Loan Agreement includes customary affirmative and negative covenants and other events of default, the occurrence and continuance of which provide Hercules and SVB with the right to demand immediate repayment of all principal and unpaid interest under the Loan Agreement, and to exercise remedies against us and the collateral securing the Loan Agreement. These events of default include, among other things: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57</w:t>
      </w:r>
    </w:p>
    <w:p>
      <w:pPr>
        <w:pStyle w:val="HorizontalLine"/>
        <w:rPr/>
      </w:pPr>
      <w:r>
        <w:rPr/>
      </w:r>
    </w:p>
    <w:p>
      <w:pPr>
        <w:pStyle w:val="TextBody"/>
        <w:spacing w:before="0" w:after="0"/>
        <w:jc w:val="left"/>
        <w:rPr/>
      </w:pPr>
      <w:r>
        <w:rPr/>
        <w:t>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insolvency, liquidation, bankruptcy or similar events;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failure to observe any covenant or secured obligation under the Loan Agreement, which failure, in most cases, is not cured within 15 days;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occurrence of an event that could reasonably be expected to have a material adverse effect on our business, operations, properties, assets or financial condition;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material misrepresentations;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occurrence of any default under any other agreement involving indebtedness in excess of specified amounts, or the occurrence of a default under any agreement that could reasonably be expected to have a material adverse effect on us; and </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certain money judgments being entered against us or any portion of our assets are attached or seized.</w:t>
      </w:r>
    </w:p>
    <w:p>
      <w:pPr>
        <w:pStyle w:val="TextBody"/>
        <w:spacing w:before="0" w:after="0"/>
        <w:jc w:val="left"/>
        <w:rPr>
          <w:rFonts w:ascii="Times New Roman;serif" w:hAnsi="Times New Roman;serif"/>
          <w:b w:val="false"/>
          <w:sz w:val="20"/>
        </w:rPr>
      </w:pPr>
      <w:r>
        <w:rPr>
          <w:rFonts w:ascii="Times New Roman;serif" w:hAnsi="Times New Roman;serif"/>
          <w:b w:val="false"/>
          <w:sz w:val="20"/>
        </w:rPr>
        <w:t>In the event of default, Hercules and SVB could accelerate all of the amounts due under the Loan Agreement. Under such circumstances, we may not have enough available cash or be able to raise additional funds through equity or debt financings to repay such indebtedness at the time of such acceleration. In that case, we may be required to delay, limit, reduce or terminate imetelstat development or potential commercialization efforts or grant to others rights to develop and market imetelstat. Hercules and SVB could also exercise their rights to take possession and dispose of the collateral securing the Loan Agreement, which collateral includes substantially all of our property other than intellectual property. Our business, financial condition and results of operations could be materially adversely affected as a result of any of these events.</w:t>
      </w:r>
    </w:p>
    <w:p>
      <w:pPr>
        <w:pStyle w:val="TextBody"/>
        <w:spacing w:before="0" w:after="0"/>
        <w:jc w:val="center"/>
        <w:rPr>
          <w:rFonts w:ascii="Times New Roman;serif" w:hAnsi="Times New Roman;serif"/>
          <w:b/>
          <w:caps/>
          <w:sz w:val="20"/>
        </w:rPr>
      </w:pPr>
      <w:r>
        <w:rPr>
          <w:rFonts w:ascii="Times New Roman;serif" w:hAnsi="Times New Roman;serif"/>
          <w:b/>
          <w:caps/>
          <w:sz w:val="20"/>
        </w:rPr>
        <w:t>Risks Related to Protecting Our Intellectual Property</w:t>
      </w:r>
    </w:p>
    <w:p>
      <w:pPr>
        <w:pStyle w:val="TextBody"/>
        <w:spacing w:before="0" w:after="0"/>
        <w:jc w:val="left"/>
        <w:rPr>
          <w:rFonts w:ascii="Times New Roman;serif" w:hAnsi="Times New Roman;serif"/>
          <w:b/>
          <w:i/>
          <w:sz w:val="20"/>
        </w:rPr>
      </w:pPr>
      <w:r>
        <w:rPr>
          <w:rFonts w:ascii="Times New Roman;serif" w:hAnsi="Times New Roman;serif"/>
          <w:b/>
          <w:i/>
          <w:sz w:val="20"/>
        </w:rPr>
        <w:t>If we are unable to obtain and maintain sufficient intellectual property protection for imetelstat for an adequate amount of time, or if the scope of the intellectual property protection is not sufficiently broad, our competitors could develop and commercialize products similar or identical to imetelstat, and our ability to successfully commercialize imetelstat may be adversely affected.</w:t>
      </w:r>
    </w:p>
    <w:p>
      <w:pPr>
        <w:pStyle w:val="TextBody"/>
        <w:spacing w:before="0" w:after="0"/>
        <w:jc w:val="left"/>
        <w:rPr>
          <w:rFonts w:ascii="Times New Roman;serif" w:hAnsi="Times New Roman;serif"/>
          <w:b w:val="false"/>
          <w:sz w:val="20"/>
        </w:rPr>
      </w:pPr>
      <w:r>
        <w:rPr>
          <w:rFonts w:ascii="Times New Roman;serif" w:hAnsi="Times New Roman;serif"/>
          <w:b w:val="false"/>
          <w:sz w:val="20"/>
        </w:rPr>
        <w:t>Protection of our proprietary technology is critically important to our business. Our success and the success of our planned future development and commercialization of imetelstat will depend on our ability to protect our technologies and imetelstat through patents and other intellectual property rights. Our success will depend in part on our ability to obtain, maintain, enforce, and extend our patents and maintain trade secrets, both in the U.S. and in other countries.</w:t>
      </w:r>
    </w:p>
    <w:p>
      <w:pPr>
        <w:pStyle w:val="TextBody"/>
        <w:spacing w:before="0" w:after="0"/>
        <w:jc w:val="left"/>
        <w:rPr>
          <w:rFonts w:ascii="Times New Roman" w:hAnsi="Times New Roman"/>
          <w:sz w:val="20"/>
        </w:rPr>
      </w:pPr>
      <w:r>
        <w:rPr>
          <w:rFonts w:ascii="Times New Roman;serif" w:hAnsi="Times New Roman;serif"/>
          <w:b w:val="false"/>
          <w:sz w:val="20"/>
        </w:rPr>
        <w:t>The issuance of a patent is not conclusive as to its inventorship, scope, validity or enforceability, and our patents may be challenged in the courts or patent offices in the U.S. and in other countries. Such challenges may result in loss of exclusivity or in patent claims being narrowed, invalidated, or held unenforceable, which could limit our ability to stop others from using or commercializing imetelstat or our technology and/or limit the duration of the patent protection for imetelstat and our technology. In the event that we are unsuccessful in obtaining, maintaining, enforcing and extending our patents and other intellectual property rights or having our licensors maintain the intellectual property rights we have licensed, the value of imetelstat and/or our technologies will be adversely affected, and we may not be able to further develop or potentially commercialize imetelstat.</w:t>
      </w:r>
      <w:r>
        <w:rPr>
          <w:rFonts w:ascii="Times New Roman" w:hAnsi="Times New Roman"/>
          <w:sz w:val="20"/>
        </w:rPr>
        <w:t xml:space="preserve"> </w:t>
      </w:r>
    </w:p>
    <w:p>
      <w:pPr>
        <w:pStyle w:val="TextBody"/>
        <w:spacing w:before="0" w:after="0"/>
        <w:jc w:val="left"/>
        <w:rPr>
          <w:rFonts w:ascii="Times New Roman" w:hAnsi="Times New Roman"/>
          <w:sz w:val="20"/>
        </w:rPr>
      </w:pPr>
      <w:r>
        <w:rPr>
          <w:rFonts w:ascii="Times New Roman;serif" w:hAnsi="Times New Roman;serif"/>
          <w:b w:val="false"/>
          <w:sz w:val="20"/>
        </w:rPr>
        <w:t>While we have method-of-use patents that protect the use of imetelstat for the treatment of certain diseases, this type of patent does not prevent a generic competitor from making and marketing a product that is identical to imetelstat for an indication that is outside the scope of our approved use after our composition of matter patents or their patent term extensions have expired. Moreover, even if competitors do not actively promote their product for our approved indications, physicians may prescribe or use these generic products “off-label,” which would result in decreased sales for us.</w:t>
      </w:r>
      <w:r>
        <w:rPr>
          <w:rFonts w:ascii="Times New Roman" w:hAnsi="Times New Roman"/>
          <w:sz w:val="20"/>
        </w:rPr>
        <w:t xml:space="preserve">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Loss or impairment of our intellectual property rights related to imetelstat might further delay or halt ongoing or potential future clinical trials of imetelstat and any applications for regulatory approval, and therefore might further delay or preclude any future development or commercialization of imetelstat by us. Furthermore, if imetelstat is approved for commercial sale, such loss of intellectual property rights could impair our ability to exclude others from commercializing products similar or identical to imetelstat and therefore result in decreased sales for us. Occurrence of any of these events would materially and adversely affect our financial results, business and business prospects, and the future of imetelstat, and might cause us to cease operations.</w:t>
      </w:r>
    </w:p>
    <w:p>
      <w:pPr>
        <w:pStyle w:val="TextBody"/>
        <w:spacing w:before="0" w:after="0"/>
        <w:jc w:val="left"/>
        <w:rPr>
          <w:rFonts w:ascii="Times New Roman;serif" w:hAnsi="Times New Roman;serif"/>
          <w:b/>
          <w:i/>
          <w:sz w:val="20"/>
        </w:rPr>
      </w:pPr>
      <w:r>
        <w:rPr>
          <w:rFonts w:ascii="Times New Roman;serif" w:hAnsi="Times New Roman;serif"/>
          <w:b/>
          <w:i/>
          <w:sz w:val="20"/>
        </w:rPr>
        <w:t>Obtaining and maintaining our patent rights depends on compliance with various procedural, document submission, fee payment and other requirements imposed by governmental patent agencies, and our patent protection could be reduced or eliminated for noncompliance with these requirements.</w:t>
      </w:r>
    </w:p>
    <w:p>
      <w:pPr>
        <w:pStyle w:val="TextBody"/>
        <w:spacing w:before="0" w:after="0"/>
        <w:jc w:val="left"/>
        <w:rPr>
          <w:rFonts w:ascii="Times New Roman" w:hAnsi="Times New Roman"/>
          <w:sz w:val="20"/>
        </w:rPr>
      </w:pPr>
      <w:r>
        <w:rPr>
          <w:rFonts w:ascii="Times New Roman;serif" w:hAnsi="Times New Roman;serif"/>
          <w:b w:val="false"/>
          <w:sz w:val="20"/>
        </w:rPr>
        <w:t>The U.S. Patent and Trademark Office, or the Patent Office, and various governmental patent agencies in other countries require compliance with a number of procedural, documentary, fee payment and other similar provisions during the patent application process. In addition, periodic maintenance fees, renewal fees, annuity fees and various other government fees on patents and/or patent applications will have to be paid to the Patent Office and various governmental patent agencies in other countries over the lifetime of our owned and licensed patents and/or patent applications and any patent rights we may own or license in the future. Maintaining such compliance may be impacted by the COVID-19 pandemic and the military conflict between Ukraine and Russia. Noncompliance</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58</w:t>
      </w:r>
    </w:p>
    <w:p>
      <w:pPr>
        <w:pStyle w:val="HorizontalLine"/>
        <w:rPr/>
      </w:pPr>
      <w:r>
        <w:rPr/>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events that could result in abandonment or lapse of a patent or patent application include, but are not limited to, failure to respond to official actions within prescribed time limits, nonpayment of fees and failure to properly legalize and submit formal documents. In many cases, an inadvertent lapse can be cured by payment of a late fee or by other means in accordance with the applicable rules. There are situations, however, in which noncompliance can result in abandonment or lapse of the patent or patent application, resulting in partial or complete loss of patent rights in the relevant jurisdiction. For example, we have issued patents and pending patent applications in Ukraine and Russia, and if we are unable to submit responses to governmental patent agencies or make payments related to such patents and patent applications in a timely manner due to the military conflict in the region, these patents or patent applications may be irrevocably lost. In such an event, potential competitors might be able to enter the market with imetelstat or similar products, and this circumstance could harm our financial condition, business and business prospects and the future of imetelstat. In addition, if we are responsible for patent prosecution and maintenance of patent rights in-licensed to us or jointly owned with us, any of the foregoing could expose us to liability to the applicable patent owner or patent co-owner.</w:t>
      </w:r>
    </w:p>
    <w:p>
      <w:pPr>
        <w:pStyle w:val="TextBody"/>
        <w:spacing w:before="0" w:after="0"/>
        <w:jc w:val="left"/>
        <w:rPr>
          <w:rFonts w:ascii="Times New Roman;serif" w:hAnsi="Times New Roman;serif"/>
          <w:b/>
          <w:i/>
          <w:sz w:val="20"/>
        </w:rPr>
      </w:pPr>
      <w:r>
        <w:rPr>
          <w:rFonts w:ascii="Times New Roman;serif" w:hAnsi="Times New Roman;serif"/>
          <w:b/>
          <w:i/>
          <w:sz w:val="20"/>
        </w:rPr>
        <w:t>Patent terms may be inadequate to protect our competitive position on imetelstat for an adequate amount of time.</w:t>
      </w:r>
    </w:p>
    <w:p>
      <w:pPr>
        <w:pStyle w:val="TextBody"/>
        <w:spacing w:before="0" w:after="0"/>
        <w:jc w:val="left"/>
        <w:rPr>
          <w:rFonts w:ascii="Times New Roman;serif" w:hAnsi="Times New Roman;serif"/>
          <w:b w:val="false"/>
          <w:sz w:val="20"/>
        </w:rPr>
      </w:pPr>
      <w:r>
        <w:rPr>
          <w:rFonts w:ascii="Times New Roman;serif" w:hAnsi="Times New Roman;serif"/>
          <w:b w:val="false"/>
          <w:sz w:val="20"/>
        </w:rPr>
        <w:t>Patents have a limited lifespan. In the U.S., the natural expiration of a patent is generally 20 years after its first effective nonprovisional filing date. Given the amount of time required for the development, testing and regulatory review of imetelstat, patents protecting imetelstat (e.g., patents claiming imetelstat and/or components thereof, methods of use, or methods of making) might expire before imetelstat is commercialized. As a result, our intellectual property may not provide us with sufficient rights to exclude others from commercializing products similar or identical to imetelstat.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In the U.S., the Hatch-Waxman Act permits one patent per approved product to receive a patent term extension of up to five years beyond its normal expiration. The length of the patent term extension is typically calculated as one half of the clinical trial period plus the entire period of time during the review of the NDA by the FDA, minus any time of delay by us during these periods. There is also a limit on the patent term extension to a term that is no greater than fourteen years from drug approval. Only one of our imetelstat U.S. patents may be eligible for patent term extension under the Hatch-Waxman Act. We plan to apply to the Patent Office for patent term extension of one or more patent(s). Once the Patent Office and the FDA determine the extension period for each proposed eligible patent, we will select the one patent to be extended. Currently, communication of patent term extension approval and the length of the granted extension period by the Patent Office may occur up to five years from filing of an application for patent term extension. Accordingly, we will decide on the specific patent to be extended only after such communication from the Patent Office.</w:t>
      </w:r>
    </w:p>
    <w:p>
      <w:pPr>
        <w:pStyle w:val="TextBody"/>
        <w:spacing w:before="0" w:after="0"/>
        <w:jc w:val="left"/>
        <w:rPr>
          <w:rFonts w:ascii="Times New Roman;serif" w:hAnsi="Times New Roman;serif"/>
          <w:b w:val="false"/>
          <w:sz w:val="20"/>
        </w:rPr>
      </w:pPr>
      <w:r>
        <w:rPr>
          <w:rFonts w:ascii="Times New Roman;serif" w:hAnsi="Times New Roman;serif"/>
          <w:b w:val="false"/>
          <w:sz w:val="20"/>
        </w:rPr>
        <w:t>Similar extensions are also available in certain countries and territories outside the U.S., such as in Japan, and in Europe as Supplementary Protection Certificates, or SPCs. If we select and are granted a patent term extension on a recently filed and issued patent, we may not receive the full benefit of a possible patent term extension, if at all. We might also not be granted a patent term extension at all, because of, for example, failure to apply within the applicable period, failure to apply prior to the expiration of relevant patents or otherwise failure to satisfy any of the numerous applicable requirements. Moreover, the applicable authorities, including the FDA and the Patent Office in the U.S., and any equivalent regulatory authorities in other countries, may not agree with our assessment of whether such extensions are available, may refuse to grant extensions to our patents, or may grant more limited extensions than we request. If we fail to apply for applicable patent term extensions or adjustments, we will have a more limited time during which we can enforce our granted patent rights. Should we seek a patent term extension, we may not be granted any such patent term extension and/or the applicable time period of such patent term extension could be less than five years. Moreover, in some countries, including the U.S., the scope of protection for claims under such patent term extensions, if any, does not extend to the full scope of the claims but is limited to the product composition as approved and, for a method of treatment patent, is limited to the approved indication. Thus, for example, if we do not receive a patent term extension for our U.S. composition of matter patent for imetelstat, as approved by the regulatory authorities, our U.S. composition of matter patent will expire in December 2025. If we do not have sufficient patent life to protect imetelstat, our financial results, business and business prospects, and the future of imetelstat would be materially and adversely affected, which might cause us to cease operations.</w:t>
      </w:r>
    </w:p>
    <w:p>
      <w:pPr>
        <w:pStyle w:val="TextBody"/>
        <w:spacing w:before="0" w:after="0"/>
        <w:jc w:val="left"/>
        <w:rPr>
          <w:rFonts w:ascii="Times New Roman" w:hAnsi="Times New Roman"/>
          <w:sz w:val="20"/>
        </w:rPr>
      </w:pPr>
      <w:r>
        <w:rPr>
          <w:rFonts w:ascii="Times New Roman;serif" w:hAnsi="Times New Roman;serif"/>
          <w:b w:val="false"/>
          <w:sz w:val="20"/>
        </w:rPr>
        <w:t>If regulatory approval of imetelstat occurs after a patent has expired in a country that does not allow interim patent term extensions, as is the case in many countries and territories including Europe, we will be unable to obtain any patent term extension of that expired patent, and the duration of our patent rights may be limited. If we do not receive marketing approval and submit a request for an SPC before our patents expire in the European Economic Area, or EEA, where we have imetelstat composition of matter patents, our imetelstat composition of matter patents will expire in September 2024. In all other countries outside the U.S. and the EEA where we have imetelstat composition of matter patents, either: (a) extension of patent term is not available, and the patents will expire in September 2024, or (b) we may not have marketing authorization in those countries in sufficient time to file an extension of patent term before our composition of matter patents expire in September 2024. If we do not have sufficient patent life to protect imetelstat, our financial results, business and business prospects, and the future of imetelstat would be materially and adversely affected, which might cause us to cease operations.</w:t>
      </w:r>
      <w:r>
        <w:rPr>
          <w:rFonts w:ascii="Times New Roman" w:hAnsi="Times New Roman"/>
          <w:sz w:val="20"/>
        </w:rPr>
        <w:t xml:space="preserve">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Also, there are regulations for the listing of patents in the Approved Drug Products with Therapeutic Equivalence Evaluations, or the Orange Book. If we submit a patent for listing in the Orange Book, the FDA may decline to list the patent, or a manufacturer of generic drugs may challenge the listing. If imetelstat is approved for commercial sale and an appropriate patent covering imetelstat is not listed in the Orange Book or is subsequently removed from the Orange Book, a manufacturer of generic drugs would not be required to provide advance notice to us of any abbreviated NDA filed with the FDA to obtain permission to sell a generic version of imetelstat. Any of the foregoing could harm our competitive position, business, financial condition, results of operations and prospects.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59</w:t>
      </w:r>
    </w:p>
    <w:p>
      <w:pPr>
        <w:pStyle w:val="HorizontalLine"/>
        <w:rPr/>
      </w:pPr>
      <w:r>
        <w:rPr/>
      </w:r>
    </w:p>
    <w:p>
      <w:pPr>
        <w:pStyle w:val="TextBody"/>
        <w:spacing w:before="0" w:after="0"/>
        <w:jc w:val="left"/>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Changes in U.S. or international patent law or interpretations of such patent laws could diminish the value of our patents in general, thereby impairing our ability to protect our technologies and imetelstat.</w:t>
      </w:r>
    </w:p>
    <w:p>
      <w:pPr>
        <w:pStyle w:val="TextBody"/>
        <w:spacing w:before="0" w:after="0"/>
        <w:jc w:val="left"/>
        <w:rPr>
          <w:rFonts w:ascii="Times New Roman" w:hAnsi="Times New Roman"/>
          <w:sz w:val="20"/>
        </w:rPr>
      </w:pPr>
      <w:r>
        <w:rPr>
          <w:rFonts w:ascii="Times New Roman;serif" w:hAnsi="Times New Roman;serif"/>
          <w:b w:val="false"/>
          <w:sz w:val="20"/>
        </w:rPr>
        <w:t>The patent positions of pharmaceutical and biopharmaceutical companies, including ours, are highly uncertain and involve complex legal and technical questions. In particular, legal principles for biotechnology and pharmaceutical patents in the U.S. and in other countries are evolving, and the extent to which we will be able to obtain patent coverage to protect our technologies and imetelstat, or enforce or defend issued patents, is uncertain.</w:t>
      </w:r>
      <w:r>
        <w:rPr>
          <w:rFonts w:ascii="Times New Roman" w:hAnsi="Times New Roman"/>
          <w:sz w:val="20"/>
        </w:rPr>
        <w:t xml:space="preserve">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The U.S. has enacted and implemented wide-ranging patent reform legislation, including the Leahy-Smith America Invents Act, or the AIA, signed into law on September 16, 2011. The U.S. Supreme Court has ruled on several patent cases in recent years, either narrowing the scope of patent protection available in certain circumstances or weakening the rights of patent owners in certain situations. Depending on actions by Congress, the federal courts, and the Patent Office, the laws and regulations governing patents could change in unpredictable ways that would weaken our ability to obtain new patents or to enforce our existing patents or patents that we might obtain in the future. Similarly, changes in patent law and regulations in other countries or jurisdictions or changes in the governmental bodies that enforce them or changes in how the relevant governmental authority enforces patent laws or regulations may weaken our ability to obtain new patents or to enforce our existing patents or patents that we may obtain in the future. Occurrence of these events and/or significant impairment of our imetelstat patent rights would severely and adversely affect our financial results, business and business prospects, and the future of imetelstat, which might cause us to cease operations.</w:t>
      </w:r>
    </w:p>
    <w:p>
      <w:pPr>
        <w:pStyle w:val="TextBody"/>
        <w:spacing w:before="0" w:after="0"/>
        <w:jc w:val="left"/>
        <w:rPr>
          <w:rFonts w:ascii="Times New Roman;serif" w:hAnsi="Times New Roman;serif"/>
          <w:b w:val="false"/>
          <w:sz w:val="20"/>
        </w:rPr>
      </w:pPr>
      <w:r>
        <w:rPr>
          <w:rFonts w:ascii="Times New Roman;serif" w:hAnsi="Times New Roman;serif"/>
          <w:b w:val="false"/>
          <w:sz w:val="20"/>
        </w:rPr>
        <w:t>As a result of the AIA, in March 2013, the U.S. transitioned to a first-inventor-to-file system under which, assuming the other requirements for patentability are met, the first inventor to file a patent application is entitled to the patent. However, since the publication of discoveries in scientific or patent literature tends to lag behind actual discoveries by at least several months and sometimes several years, we are not able to be certain upon filing a patent application that the persons or entities that we name as inventors or applicants in our patent applications were the first to invent the inventions disclosed therein, or the first to file patent applications for these inventions. Thus, our ability to protect our patentable intellectual property depends, in part, on our ability to be the first to file patent applications with respect to our inventions, or inventions that were developed by our former collaboration partner and assigned to us, for the future development, commercialization and manufacture of imetelstat. As a result, if we are not the first inventor-to-file, we may not be able to obtain patents for discoveries that we otherwise would consider patentable and that we consider to be significant to the future success of imetelstat. Delay in the filing of a patent application for any purpose, including further development or refinement of an invention, may result in the risk of loss of patent rights.</w:t>
      </w:r>
    </w:p>
    <w:p>
      <w:pPr>
        <w:pStyle w:val="TextBody"/>
        <w:spacing w:before="0" w:after="0"/>
        <w:jc w:val="left"/>
        <w:rPr>
          <w:rFonts w:ascii="Times New Roman;serif" w:hAnsi="Times New Roman;serif"/>
          <w:b w:val="false"/>
          <w:sz w:val="20"/>
        </w:rPr>
      </w:pPr>
      <w:r>
        <w:rPr>
          <w:rFonts w:ascii="Times New Roman;serif" w:hAnsi="Times New Roman;serif"/>
          <w:b w:val="false"/>
          <w:sz w:val="20"/>
        </w:rPr>
        <w:t>Following the result of a referendum in 2016, the U.K. left the EU on January 31, 2020, commonly referred to as Brexit. The impact of the withdrawal of the U.K. from the EU will not be known for some time, which could lead to a period of uncertainty relating to our ability to obtain and maintain SPCs of imetelstat based on our U.K. patents and our ability to establish and maintain European trademarks in the U.K. In 2012, the European Patent Package, or EU Patent Package, was approved and included regulations with the goal of providing for a single pan-European Unitary Patent, and a new European Unified Patent Court, or UPC, for litigation of European patents. The EU Patent Package was ratified in February 2023 and currently covers 17 EU states. On June 1, 2023, all European patents, including those issued prior to ratification, will by default automatically fall under the jurisdiction of the UPC and allow for the possibility of obtaining pan-European injunctions and also be at risk of central revocation at the UPC in participating UPC states. Under the EU Patent Package, patent holders are permitted to “opt out” of the UPC on a patent-by-patent basis during an initial seven year transitional period after June 1, 2023, the date the EU Patent Package comes into effect. Owners of European patent applications who receive notice of grant after the EU Patent Package comes into effect could, for the UPC contracting states, either obtain a Unitary Patent or validate the patent nationally and file an opt-out demand. The EU Patent Package may increase the uncertainties and costs surrounding the enforcement or defense of our issued European patents and pending applications. The full impact on future European patent filing strategy and the enforcement or defense of our issued European patents in member states and/or the UPC is not known.</w:t>
      </w:r>
    </w:p>
    <w:p>
      <w:pPr>
        <w:pStyle w:val="TextBody"/>
        <w:spacing w:before="0" w:after="0"/>
        <w:jc w:val="left"/>
        <w:rPr>
          <w:rFonts w:ascii="Times New Roman;serif" w:hAnsi="Times New Roman;serif"/>
          <w:b/>
          <w:i/>
          <w:sz w:val="20"/>
        </w:rPr>
      </w:pPr>
      <w:r>
        <w:rPr>
          <w:rFonts w:ascii="Times New Roman;serif" w:hAnsi="Times New Roman;serif"/>
          <w:b/>
          <w:i/>
          <w:sz w:val="20"/>
        </w:rPr>
        <w:t>Challenges to our owned or licensed patent rights would result in costly and time-consuming legal proceedings that could prevent or limit development of imetelstat.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Our patents or those patent rights we have licensed, including patent rights that we may seek with respect to inventions made by past or future collaborators, may be challenged through administrative or judicial proceedings, which could result in the loss of important patent rights. For example, where more than one party seeks U.S. patent protection for the same technology in patent applications that are subject to the law before the implementation of the AIA, the Patent Office may declare an interference proceeding in order to ascertain the party to which the patent should be issued. Patent interferences are typically complex, highly contested legal proceedings, subject to appeal. They are usually expensive and prolonged and can cause significant delay in the issuance of patents. Our pending patent applications or our issued patents, or those we have licensed and may license from others, may be drawn into interference proceedings or be challenged through post-grant review procedures or litigation, any of which could delay or prevent the issuance of patents, or result in the loss of issued patent rights. We may not be able to obtain from our past or future collaborators the information needed to support our patent rights which could result in the loss of important patent rights.</w:t>
      </w:r>
    </w:p>
    <w:p>
      <w:pPr>
        <w:pStyle w:val="TextBody"/>
        <w:spacing w:before="0" w:after="0"/>
        <w:jc w:val="left"/>
        <w:rPr>
          <w:rFonts w:ascii="Times New Roman" w:hAnsi="Times New Roman"/>
          <w:sz w:val="20"/>
        </w:rPr>
      </w:pPr>
      <w:r>
        <w:rPr>
          <w:rFonts w:ascii="Times New Roman;serif" w:hAnsi="Times New Roman;serif"/>
          <w:b w:val="false"/>
          <w:sz w:val="20"/>
        </w:rPr>
        <w:t xml:space="preserve">Under the AIA, interference proceedings between patent applications filed on or after March 16, 2013, have been replaced with other types of proceedings, including derivation proceedings. The AIA also includes post-grant review procedures subjecting U.S. patents to post-grant review procedures similar to European oppositions, such as </w:t>
      </w:r>
      <w:r>
        <w:rPr>
          <w:rFonts w:ascii="Times New Roman;serif" w:hAnsi="Times New Roman;serif"/>
          <w:b w:val="false"/>
          <w:i/>
          <w:sz w:val="20"/>
        </w:rPr>
        <w:t xml:space="preserve">inter partes </w:t>
      </w:r>
      <w:r>
        <w:rPr>
          <w:rFonts w:ascii="Times New Roman;serif" w:hAnsi="Times New Roman;serif"/>
          <w:b w:val="false"/>
          <w:sz w:val="20"/>
        </w:rPr>
        <w:t>review, or IPR, covered business method</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60</w:t>
      </w:r>
    </w:p>
    <w:p>
      <w:pPr>
        <w:pStyle w:val="HorizontalLine"/>
        <w:rPr/>
      </w:pPr>
      <w:r>
        <w:rPr/>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post-grant reviews and other post-grant reviews. This applies to all of our U.S. patents and those we have licensed and may license from others, even those issued before March 16, 2013. Because of a lower evidentiary standard necessary to invalidate a patent claim in Patent Office proceedings compared to the evidentiary standard in U.S. federal court, a third-party could potentially provide evidence in a Patent Office proceeding sufficient for the Patent Office to hold a claim invalid even though the same evidence would be insufficient to invalidate the claim if first presented in a district court action. Accordingly, a third-party could attempt to use the Patent Office procedures to invalidate patent claims that would not have been invalidated if first challenged by the third-party as a defendant in a district court action. U.S. patents owned or licensed by us may therefore be subject to post-grant review procedures, as well as other forms of review and re-examination. In addition, the IPR process under the AIA permits any person, whether they are accused of infringing the patent at issue or not, to challenge the validity of certain patents. As a result, entities associated with hedge funds have challenged valuable pharmaceutical patents through the IPR process. Significant impairment of our imetelstat patent rights would severely and adversely affect our financial results, business and business prospects, and the future of imetelstat, which might cause us to cease operations.</w:t>
      </w:r>
    </w:p>
    <w:p>
      <w:pPr>
        <w:pStyle w:val="TextBody"/>
        <w:spacing w:before="0" w:after="0"/>
        <w:jc w:val="left"/>
        <w:rPr>
          <w:rFonts w:ascii="Times New Roman;serif" w:hAnsi="Times New Roman;serif"/>
          <w:b w:val="false"/>
          <w:sz w:val="20"/>
        </w:rPr>
      </w:pPr>
      <w:r>
        <w:rPr>
          <w:rFonts w:ascii="Times New Roman;serif" w:hAnsi="Times New Roman;serif"/>
          <w:b w:val="false"/>
          <w:sz w:val="20"/>
        </w:rPr>
        <w:t>Certain jurisdictions, such as Europe, New Zealand and Australia, permit oppositions to be filed against granted patents or patents proposed to be granted. Because we seek to enable potential global commercialization of imetelstat, securing both proprietary protection and freedom to operate outside of the U.S. is important to our business. Opposition proceedings require significant time and costs, and if we are unsuccessful or are unable to commit these types of resources to protect our imetelstat patent rights, we could lose our patent rights and we could be prevented or limited in the development and commercialization of imetelstat.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As more groups become engaged in scientific research and product development in the areas of telomerase biology and hematologic malignancies, the risk of our patents, or patents that we have in-licensed, being challenged through patent interferences, derivation proceedings, IPRs, post-grant proceedings, oppositions, re-examinations, litigation or other means will likely increase. For example, litigation may arise as a result of our decision to enforce our patent rights against third parties. Challenges to our patents through these procedures would be extremely expensive and time-consuming, even if the outcome was favorable to us. An adverse outcome in a patent dispute could severely harm our ability to further develop or commercialize imetelstat, or could otherwise have a material adverse effect on our business, and might cause us to cease operations, by:</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causing us to lose patent rights in the relevant jurisdiction(s);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subjecting us to litigation, or otherwise preventing us from commercializing imetelstat in the relevant jurisdiction(s);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requiring us to obtain licenses to the disputed patents;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forcing us to cease using the disputed technology; or</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requiring us to develop or obtain alternative technologies.</w:t>
      </w:r>
    </w:p>
    <w:p>
      <w:pPr>
        <w:pStyle w:val="TextBody"/>
        <w:spacing w:before="0" w:after="0"/>
        <w:jc w:val="left"/>
        <w:rPr>
          <w:rFonts w:ascii="Times New Roman;serif" w:hAnsi="Times New Roman;serif"/>
          <w:b/>
          <w:i/>
          <w:sz w:val="20"/>
        </w:rPr>
      </w:pPr>
      <w:r>
        <w:rPr>
          <w:rFonts w:ascii="Times New Roman;serif" w:hAnsi="Times New Roman;serif"/>
          <w:b/>
          <w:i/>
          <w:sz w:val="20"/>
        </w:rPr>
        <w:t>We may not be able to protect our intellectual property rights throughout the world.</w:t>
      </w:r>
    </w:p>
    <w:p>
      <w:pPr>
        <w:pStyle w:val="TextBody"/>
        <w:spacing w:before="0" w:after="0"/>
        <w:jc w:val="left"/>
        <w:rPr>
          <w:rFonts w:ascii="Times New Roman;serif" w:hAnsi="Times New Roman;serif"/>
          <w:b w:val="false"/>
          <w:sz w:val="20"/>
        </w:rPr>
      </w:pPr>
      <w:r>
        <w:rPr>
          <w:rFonts w:ascii="Times New Roman;serif" w:hAnsi="Times New Roman;serif"/>
          <w:b w:val="false"/>
          <w:sz w:val="20"/>
        </w:rPr>
        <w:t>Filing, prosecuting, maintaining, defending and enforcing patents for imetelstat and our technologies in all countries throughout the world would be prohibitively expensive, and our intellectual property rights in some countries outside the U.S. are less extensive than those in the U.S. The requirements for patentability may differ in certain countries, particularly in developing countries; thus, even in countries where we do pursue patent protection, there can be no assurance that any patents will issue with claims that cover imetelstat and our technologies. There can be no assurance that we will obtain or maintain patent rights inside or outside the U.S. under any future license agreements. In addition, the laws of some countries outside the U.S. do not protect intellectual property rights to the same extent as federal and state laws in the U.S. Consequently, we may not be able to prevent third parties from practicing our inventions in all countries outside the U.S., even in jurisdictions where we pursue patent protection, or from selling or importing products made using our inventions in and into the U.S. or other jurisdictions. Competitors may use our technologies in jurisdictions where we have not pursued and obtained patent protection to develop their own products and, further, may export otherwise infringing products to territories where we have patent protection, but enforcement is not as strong as that in the U.S. These products may compete with imetelstat and our technologies and our patents or other intellectual property rights may not be effective or sufficient to prevent them from competing.</w:t>
      </w:r>
    </w:p>
    <w:p>
      <w:pPr>
        <w:pStyle w:val="TextBody"/>
        <w:spacing w:before="0" w:after="0"/>
        <w:jc w:val="left"/>
        <w:rPr>
          <w:rFonts w:ascii="Times New Roman;serif" w:hAnsi="Times New Roman;serif"/>
          <w:b w:val="false"/>
          <w:sz w:val="20"/>
        </w:rPr>
      </w:pPr>
      <w:r>
        <w:rPr>
          <w:rFonts w:ascii="Times New Roman;serif" w:hAnsi="Times New Roman;serif"/>
          <w:b w:val="false"/>
          <w:sz w:val="20"/>
        </w:rPr>
        <w:t>Many companies have encountered significant problems in protecting and defending intellectual property rights in jurisdictions outside the U.S. The legal systems of certain countries, particularly certain developing countries, do not favor the enforcement of patents, trade secrets and other intellectual property protection, particularly those relating to biotechnology and pharmaceutical products, which could make it difficult for us to stop the infringement of our patents or marketing of competing products in violation of our proprietary rights generally. For example, many countries outside the U.S. have compulsory licensing laws under which a patent owner must grant licenses to third parties. Proceedings to enforce our patent rights, even if obtained, in jurisdictions outside the U.S.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While we intend to protect our intellectual property rights in major markets for imetelstat, we cannot ensure that we will be able to initiate or maintain similar efforts in all jurisdictions in which we may wish to market imetelstat. Accordingly, our efforts to enforce our intellectual property rights around the world may be inadequate to obtain a significant commercial advantage from the intellectual property that we own and potentially develop in the future.</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61</w:t>
      </w:r>
    </w:p>
    <w:p>
      <w:pPr>
        <w:pStyle w:val="HorizontalLine"/>
        <w:rPr/>
      </w:pPr>
      <w:r>
        <w:rPr/>
      </w:r>
    </w:p>
    <w:p>
      <w:pPr>
        <w:pStyle w:val="TextBody"/>
        <w:spacing w:before="0" w:after="0"/>
        <w:jc w:val="left"/>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We may be subject to infringement claims that are costly to defend, and such claims may limit our ability to use disputed technologies and prevent us from pursuing research, development, manufacturing or commercialization of imetelstat.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The commercial success of imetelstat will depend upon our ability to research, develop, manufacture, market and sell imetelstat without infringing or otherwise violating the intellectual property and other proprietary rights of third parties. There is considerable intellectual property litigation in the biotechnology and pharmaceutical industries, and many pharmaceutical companies, including potential competitors, have substantial patent portfolios. Since we cannot be aware of all intellectual property rights potentially relating to imetelstat and its uses, we do not know with certainty that imetelstat, or the intended commercialization thereof, does not and will not infringe or otherwise violate any third-party’s intellectual property. For example, we are aware that certain third parties have or may be prosecuting patents and patent estates that may relate to imetelstat, and while we believe these patents will expire before imetelstat is able to be commercialized and/or that these patents are invalid and/or would not be infringed by the manufacture, use or sale of imetelstat, it is possible that the owner(s) of these patents will assert claims against us in the future.</w:t>
      </w:r>
    </w:p>
    <w:p>
      <w:pPr>
        <w:pStyle w:val="TextBody"/>
        <w:spacing w:before="0" w:after="0"/>
        <w:jc w:val="left"/>
        <w:rPr>
          <w:rFonts w:ascii="Times New Roman;serif" w:hAnsi="Times New Roman;serif"/>
          <w:b w:val="false"/>
          <w:sz w:val="20"/>
        </w:rPr>
      </w:pPr>
      <w:r>
        <w:rPr>
          <w:rFonts w:ascii="Times New Roman;serif" w:hAnsi="Times New Roman;serif"/>
          <w:b w:val="false"/>
          <w:sz w:val="20"/>
        </w:rPr>
        <w:t>In the event our technologies infringe the rights of others or require the use of discoveries and technologies controlled by third parties, we may be prevented from pursuing research, development, manufacturing or commercialization of imetelstat, or may be required to obtain unblocking licenses from such third parties, develop alternative non-infringing technologies, which we may not be able to do at an acceptable cost or on acceptable terms, or at all, or cease the development of imetelstat. If we are unable to resolve an infringement claim successfully, we could be subject to an injunction that would prevent us from potentially commercializing imetelstat and could also require us to pay substantial damages. In addition, while our past collaboration agreements have terminated, we are still subject to indemnification obligations to certain collaborators, including with respect to claims of third-party patent infringement.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In addition to infringement claims, in the future we may also be subject to other claims relating to intellectual property, such as claims that we have misappropriated the trade secrets of third parties. Provided that we are successful in continuing the development of imetelstat, we expect to see more efforts by others to obtain patents that are positioned to cover imetelstat. Our success therefore depends significantly on our ability to operate without infringing patents and the proprietary rights of others.</w:t>
      </w:r>
    </w:p>
    <w:p>
      <w:pPr>
        <w:pStyle w:val="TextBody"/>
        <w:spacing w:before="0" w:after="0"/>
        <w:jc w:val="left"/>
        <w:rPr>
          <w:rFonts w:ascii="Times New Roman;serif" w:hAnsi="Times New Roman;serif"/>
          <w:b w:val="false"/>
          <w:sz w:val="20"/>
        </w:rPr>
      </w:pPr>
      <w:r>
        <w:rPr>
          <w:rFonts w:ascii="Times New Roman;serif" w:hAnsi="Times New Roman;serif"/>
          <w:b w:val="false"/>
          <w:sz w:val="20"/>
        </w:rPr>
        <w:t>We may become aware of discoveries and technologies controlled by third parties that are advantageous or necessary to further develop or manufacture imetelstat. Under such circumstances, we may initiate negotiations for licenses to other technologies as the need or opportunity arises. We may not be able to obtain a license to a technology required to pursue the research, development, manufacturing or commercialization of imetelstat on commercially favorable terms, or at all, or such licenses may be terminated on certain grounds, including as a result of our failure to comply with any material obligations under such licenses. If we do not obtain a necessary license or if such a license is terminated, we may need to redesign such technologies or obtain rights to alternative technologies, which may not be possible, and even if possible, could cause further delays in the development efforts for imetelstat and could increase the development and/or production costs of imetelstat. In cases where we are unable to license necessary technologies, we could be subject to litigation and prevented from pursuing research, development, manufacturing or commercialization of imetelstat, which would materially and adversely impact our business. Failure by us to obtain rights to alternative technologies or a license to any technology that may be required to pursue research, development, manufacturing or commercialization of imetelstat would further delay current and potential future clinical trials of imetelstat and any applications for regulatory approval, impair our ability to sell imetelstat, if approved, and therefore result in decreased sales of imetelstat for us. Occurrence of any of these events would materially and adversely affect our business, and might cause us to cease operations.</w:t>
      </w:r>
    </w:p>
    <w:p>
      <w:pPr>
        <w:pStyle w:val="TextBody"/>
        <w:spacing w:before="0" w:after="0"/>
        <w:jc w:val="left"/>
        <w:rPr>
          <w:rFonts w:ascii="Times New Roman;serif" w:hAnsi="Times New Roman;serif"/>
          <w:b/>
          <w:i/>
          <w:sz w:val="20"/>
        </w:rPr>
      </w:pPr>
      <w:r>
        <w:rPr>
          <w:rFonts w:ascii="Times New Roman;serif" w:hAnsi="Times New Roman;serif"/>
          <w:b/>
          <w:i/>
          <w:sz w:val="20"/>
        </w:rPr>
        <w:t>We are seeking registered trademarks for a commercial trade name for imetelstat in the U.S. and jurisdictions outside of the U.S. and failure to secure such registrations could adversely affect our business.</w:t>
      </w:r>
    </w:p>
    <w:p>
      <w:pPr>
        <w:pStyle w:val="TextBody"/>
        <w:spacing w:before="0" w:after="0"/>
        <w:jc w:val="left"/>
        <w:rPr>
          <w:rFonts w:ascii="Times New Roman;serif" w:hAnsi="Times New Roman;serif"/>
          <w:b w:val="false"/>
          <w:sz w:val="20"/>
        </w:rPr>
      </w:pPr>
      <w:r>
        <w:rPr>
          <w:rFonts w:ascii="Times New Roman;serif" w:hAnsi="Times New Roman;serif"/>
          <w:b w:val="false"/>
          <w:sz w:val="20"/>
        </w:rPr>
        <w:t>We are seeking registration of trademarks for a potential commercial trade name for imetelstat in the U.S. and other jurisdictions outside of the U.S. During trademark registration proceedings, we may receive rejections. Although we are given an opportunity to respond to those rejections, we may be unable to overcome such rejections. In addition, in the Patent Office and in comparable agencies in many jurisdictions outside of the U.S., third parties are given an opportunity to oppose pending trademark applications and to seek to cancel registered trademarks. Opposition or cancellation proceedings may be filed against our trademarks, and our trademarks may not survive such proceedings. Moreover, any name we propose to use for imetelstat in the U.S. and Europe must be approved by the FDA and the EMA respectively, regardless of whether we have registered it, or applied to register it, as a trademark. Both the FDA and the EMA typically conduct a review of proposed product names, including an evaluation of potential for confusion with other product names. If the FDA or the EMA rejects all of our proposed proprietary product names, we may be required to expend additional time and resources in an effort to identify a suitable substitute name that would qualify under applicable trademark laws, not infringe the existing rights of third parties and be acceptable to the FDA and the EMA.</w:t>
      </w:r>
    </w:p>
    <w:p>
      <w:pPr>
        <w:pStyle w:val="TextBody"/>
        <w:spacing w:before="0" w:after="0"/>
        <w:jc w:val="left"/>
        <w:rPr>
          <w:rFonts w:ascii="Times New Roman;serif" w:hAnsi="Times New Roman;serif"/>
          <w:b/>
          <w:i/>
          <w:sz w:val="20"/>
        </w:rPr>
      </w:pPr>
      <w:r>
        <w:rPr>
          <w:rFonts w:ascii="Times New Roman;serif" w:hAnsi="Times New Roman;serif"/>
          <w:b/>
          <w:i/>
          <w:sz w:val="20"/>
        </w:rPr>
        <w:t>We may become involved in disputes with past or future collaborator(s) over intellectual property inventorship, ownership or use, and publications by us, or by investigators, scientific consultants, research collaborators or others. Such disputes could impair our ability to obtain patent protection or protect our proprietary information, which, in either case, could have a significant impact on our business.</w:t>
      </w:r>
    </w:p>
    <w:p>
      <w:pPr>
        <w:pStyle w:val="TextBody"/>
        <w:spacing w:before="0" w:after="0"/>
        <w:jc w:val="left"/>
        <w:rPr>
          <w:rFonts w:ascii="Times New Roman" w:hAnsi="Times New Roman"/>
          <w:sz w:val="20"/>
        </w:rPr>
      </w:pPr>
      <w:r>
        <w:rPr>
          <w:rFonts w:ascii="Times New Roman;serif" w:hAnsi="Times New Roman;serif"/>
          <w:b w:val="false"/>
          <w:sz w:val="20"/>
        </w:rPr>
        <w:t>Inventions discovered under research, material transfer or other collaboration agreements may become jointly owned by us and the other party to such agreements in some cases, and may be the exclusive property of either party in other cases. Under some</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62</w:t>
      </w:r>
    </w:p>
    <w:p>
      <w:pPr>
        <w:pStyle w:val="HorizontalLine"/>
        <w:rPr/>
      </w:pPr>
      <w:r>
        <w:rPr/>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circumstances, it may be difficult to determine who invents and owns a particular invention, or whether it is jointly owned, and disputes can arise regarding inventorship, ownership and use of those inventions. These disputes could be costly and time-consuming, and an unfavorable outcome could have a significant adverse effect on our business if we are not able to protect or license rights to these inventions. In addition, clinical trial investigators, scientific consultants and research collaborators generally have contractual rights to publish data and other proprietary information, subject to review by the trial sponsor. Publications by us, or by investigators, scientific consultants, previous employees, research collaborators or others, either with permission or in contravention of the terms of their agreements with us or with our past or future collaborators, may impair our ability to obtain patent protection or protect proprietary information which would have a material adverse effect on our business, and might cause us to cease operations.</w:t>
      </w:r>
    </w:p>
    <w:p>
      <w:pPr>
        <w:pStyle w:val="TextBody"/>
        <w:spacing w:before="0" w:after="0"/>
        <w:jc w:val="left"/>
        <w:rPr>
          <w:rFonts w:ascii="Times New Roman;serif" w:hAnsi="Times New Roman;serif"/>
          <w:b/>
          <w:i/>
          <w:sz w:val="20"/>
        </w:rPr>
      </w:pPr>
      <w:r>
        <w:rPr>
          <w:rFonts w:ascii="Times New Roman;serif" w:hAnsi="Times New Roman;serif"/>
          <w:b/>
          <w:i/>
          <w:sz w:val="20"/>
        </w:rPr>
        <w:t>Much of the information and know-how that is critical to our business is not patentable, and we may not be able to prevent others from obtaining this information and establishing competitive enterprises.</w:t>
      </w:r>
    </w:p>
    <w:p>
      <w:pPr>
        <w:pStyle w:val="TextBody"/>
        <w:spacing w:before="0" w:after="0"/>
        <w:jc w:val="left"/>
        <w:rPr>
          <w:rFonts w:ascii="Times New Roman;serif" w:hAnsi="Times New Roman;serif"/>
          <w:b w:val="false"/>
          <w:sz w:val="20"/>
        </w:rPr>
      </w:pPr>
      <w:r>
        <w:rPr>
          <w:rFonts w:ascii="Times New Roman;serif" w:hAnsi="Times New Roman;serif"/>
          <w:b w:val="false"/>
          <w:sz w:val="20"/>
        </w:rPr>
        <w:t>We rely on trade secrets to protect our proprietary technology, especially in circumstances in which we believe patent protection is not appropriate or available. We attempt to protect our proprietary technology in part by confidentiality agreements with our employees, consultants, collaborators and contractors. However, we cannot provide assurance that these agreements will not be breached, that we would have adequate remedies for any breach, or that our trade secrets will not otherwise become known or be independently discovered by competitors, any of which would harm our business significantly.</w:t>
      </w:r>
    </w:p>
    <w:p>
      <w:pPr>
        <w:pStyle w:val="TextBody"/>
        <w:spacing w:before="0" w:after="0"/>
        <w:jc w:val="left"/>
        <w:rPr>
          <w:rFonts w:ascii="Times New Roman;serif" w:hAnsi="Times New Roman;serif"/>
          <w:b w:val="false"/>
          <w:sz w:val="20"/>
        </w:rPr>
      </w:pPr>
      <w:r>
        <w:rPr>
          <w:rFonts w:ascii="Times New Roman;serif" w:hAnsi="Times New Roman;serif"/>
          <w:b w:val="false"/>
          <w:sz w:val="20"/>
        </w:rPr>
        <w:t>In May 2016, the Defend Trade Secrets Act of 2016, or the DTSA, was enacted, providing a federal cause of action for misappropriation of trade secrets. Under the DTSA, an employer may not collect enhanced damages or attorney fees from an employee or contractor in a trade secret dispute brought under the DTSA, unless certain advanced provisions are observed. We cannot provide assurance that our existing agreements with employees and contractors contain notice provisions that would enable us to seek enhanced damages or attorneys’ fees in the event of any dispute for misappropriation of trade secrets brought under the DTSA.</w:t>
      </w:r>
    </w:p>
    <w:p>
      <w:pPr>
        <w:pStyle w:val="TextBody"/>
        <w:spacing w:before="0" w:after="0"/>
        <w:jc w:val="center"/>
        <w:rPr/>
      </w:pPr>
      <w:r>
        <w:rPr/>
        <w:t> </w:t>
      </w:r>
    </w:p>
    <w:p>
      <w:pPr>
        <w:pStyle w:val="TextBody"/>
        <w:spacing w:before="0" w:after="0"/>
        <w:jc w:val="center"/>
        <w:rPr>
          <w:rFonts w:ascii="Times New Roman;serif" w:hAnsi="Times New Roman;serif"/>
          <w:b/>
          <w:caps/>
          <w:sz w:val="20"/>
        </w:rPr>
      </w:pPr>
      <w:r>
        <w:rPr>
          <w:rFonts w:ascii="Times New Roman;serif" w:hAnsi="Times New Roman;serif"/>
          <w:b/>
          <w:caps/>
          <w:sz w:val="20"/>
        </w:rPr>
        <w:t>Risks Related to Managing Our Growth and Other Business Operations</w:t>
      </w:r>
    </w:p>
    <w:p>
      <w:pPr>
        <w:pStyle w:val="TextBody"/>
        <w:spacing w:before="0" w:after="0"/>
        <w:jc w:val="left"/>
        <w:rPr>
          <w:rFonts w:ascii="Times New Roman;serif" w:hAnsi="Times New Roman;serif"/>
          <w:b/>
          <w:i/>
          <w:sz w:val="20"/>
        </w:rPr>
      </w:pPr>
      <w:r>
        <w:rPr>
          <w:rFonts w:ascii="Times New Roman;serif" w:hAnsi="Times New Roman;serif"/>
          <w:b/>
          <w:i/>
          <w:sz w:val="20"/>
        </w:rPr>
        <w:t>We may be unable to successfully retain or recruit key personnel to support the development and potential future commercialization of imetelstat or to otherwise successfully manage our growth.</w:t>
      </w:r>
    </w:p>
    <w:p>
      <w:pPr>
        <w:pStyle w:val="TextBody"/>
        <w:spacing w:before="0" w:after="0"/>
        <w:jc w:val="left"/>
        <w:rPr>
          <w:rFonts w:ascii="Times New Roman;serif" w:hAnsi="Times New Roman;serif"/>
          <w:b w:val="false"/>
          <w:sz w:val="20"/>
        </w:rPr>
      </w:pPr>
      <w:r>
        <w:rPr>
          <w:rFonts w:ascii="Times New Roman;serif" w:hAnsi="Times New Roman;serif"/>
          <w:b w:val="false"/>
          <w:sz w:val="20"/>
        </w:rPr>
        <w:t>Our ability to successfully develop imetelstat in the future and to potentially commercialize imetelstat depends to a significant extent on the skills, experience and efforts of our executive officers and key members of our staff. In addition, we need to recruit, maintain, motivate and integrate additional personnel with expertise and experience in clinical science, biostatistics, clinical operations, pharmacovigilance, quality, manufacturing, regulatory affairs, medical affairs, legal affairs, market access, pricing, commercial operations, sales, and marketing, to enable us to further develop and potentially commercialize imetelstat.</w:t>
      </w:r>
    </w:p>
    <w:p>
      <w:pPr>
        <w:pStyle w:val="TextBody"/>
        <w:spacing w:before="0" w:after="0"/>
        <w:jc w:val="left"/>
        <w:rPr>
          <w:rFonts w:ascii="Times New Roman" w:hAnsi="Times New Roman"/>
          <w:sz w:val="20"/>
        </w:rPr>
      </w:pPr>
      <w:r>
        <w:rPr>
          <w:rFonts w:ascii="Times New Roman;serif" w:hAnsi="Times New Roman;serif"/>
          <w:b w:val="false"/>
          <w:sz w:val="20"/>
        </w:rPr>
        <w:t>We face intense competition for qualified individuals from numerous pharmaceutical, biopharmaceutical and biotechnology companies, as well as academic and other research institutions, and competition in our geographic regions is particularly intense. The substantial risks and uncertainties related to our development and potential commercialization of imetelstat and the risks and uncertainties regarding our future business viability could have an adverse impact on our ability to retain and recruit qualified personnel. We may also face higher than expected personnel costs in order to attract new personnel due to shortages in qualified applicants, or to maintain our current management and personnel due to the increased number of opportunities in the biotechnology sector. If we are unable to successfully retain, motivate and incentivize our existing personnel, or to attract, assimilate and retain other highly qualified personnel in the future on acceptable terms, our ability to further develop and potentially commercialize imetelstat will be impaired, and our business and the price of our common stock would be adversely impacted.</w:t>
      </w:r>
      <w:r>
        <w:rPr>
          <w:rFonts w:ascii="Times New Roman" w:hAnsi="Times New Roman"/>
          <w:sz w:val="20"/>
        </w:rPr>
        <w:t xml:space="preserve">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In addition, our personnel are currently performing their duties in multiple jurisdictions, and if we are unable or fail to comply with employment, tax, benefits and other laws in such jurisdictions, we may face penalties, fines or litigation. Further, if members of our management and other key personnel in critical functions across our organization are unable to perform their duties or have limited availability due to the effects of the COVID-19 pandemic, we may not be able to execute on our business strategy and/or our operations may be negatively impacted.</w:t>
      </w:r>
    </w:p>
    <w:p>
      <w:pPr>
        <w:pStyle w:val="TextBody"/>
        <w:spacing w:before="0" w:after="0"/>
        <w:jc w:val="left"/>
        <w:rPr>
          <w:rFonts w:ascii="Times New Roman;serif" w:hAnsi="Times New Roman;serif"/>
          <w:b w:val="false"/>
          <w:sz w:val="20"/>
        </w:rPr>
      </w:pPr>
      <w:r>
        <w:rPr>
          <w:rFonts w:ascii="Times New Roman;serif" w:hAnsi="Times New Roman;serif"/>
          <w:b w:val="false"/>
          <w:sz w:val="20"/>
        </w:rPr>
        <w:t>Our future financial performance and our ability to develop, manufacture and commercialize imetelstat will depend, in part, on our ability to effectively manage any future growth. Our management may have to divert financial and other resources, as well as devote a substantial amount of time, to managing growth activities, such as enhancing operational, financial and management processes and systems. If we do not effectively manage the expansion of our operations, we could experience weaknesses in our infrastructure and ability to comply with applicable legal and regulatory requirements and regulations, operational mistakes or shortcomings, loss of business opportunities, loss of employees and reduced productivity among remaining employees. The expansion of our operations also could lead to significant costs and could delay the execution of our business plans or disrupt our current operations. Our ineffective performance in managing any such future growth would negatively impact our business prospects.</w:t>
      </w:r>
    </w:p>
    <w:p>
      <w:pPr>
        <w:pStyle w:val="TextBody"/>
        <w:spacing w:before="0" w:after="0"/>
        <w:jc w:val="left"/>
        <w:rPr>
          <w:rFonts w:ascii="Times New Roman" w:hAnsi="Times New Roman"/>
          <w:sz w:val="20"/>
        </w:rPr>
      </w:pPr>
      <w:r>
        <w:rPr>
          <w:rFonts w:ascii="Times New Roman;serif" w:hAnsi="Times New Roman;serif"/>
          <w:b w:val="false"/>
          <w:sz w:val="20"/>
        </w:rPr>
        <w:t>As our operations continue to expand, we expect that we will need to manage new and additional relationships with various service providers, vendors, suppliers and other third parties, as well as a workforce in multiple countries, jurisdictions and locations. For example, in September 2021, we established a subsidiary in the U.K. to accommodate our growing workforce in that location. Our business needs and the expansion of our workforce may require us to establish additional business offices or entities in additional jurisdictions outside of the U.S., including additional subsidiaries, or to retain third parties to manage employment-related matters in</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63</w:t>
      </w:r>
    </w:p>
    <w:p>
      <w:pPr>
        <w:pStyle w:val="HorizontalLine"/>
        <w:rPr/>
      </w:pPr>
      <w:r>
        <w:rPr/>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new countries, jurisdictions and locations. Because the legal and regulatory requirements related to the operation and maintenance of such entities, and the employment of personnel in such countries, jurisdictions and regions is multi-national and complex, we may be unable to effectively operate and maintain such entities, or be unable to attract and retain ex-U.S. personnel, which could lead to significant costs and could delay the execution of our business plans or disrupt our current and future operations. If we fail to achieve key development goals, our abilities to grow as a company, and to further develop and potentially commercialize imetelstat, could be prevented or hindered, and our business and business prospects would be severely harmed, which might cause us to cease operations.</w:t>
      </w:r>
    </w:p>
    <w:p>
      <w:pPr>
        <w:pStyle w:val="TextBody"/>
        <w:spacing w:before="0" w:after="0"/>
        <w:jc w:val="left"/>
        <w:rPr>
          <w:rFonts w:ascii="Times New Roman" w:hAnsi="Times New Roman"/>
          <w:sz w:val="20"/>
        </w:rPr>
      </w:pPr>
      <w:r>
        <w:rPr>
          <w:rFonts w:ascii="Times New Roman;serif" w:hAnsi="Times New Roman;serif"/>
          <w:b/>
          <w:i/>
          <w:sz w:val="20"/>
        </w:rPr>
        <w:t>Notwithstanding our research and discovery efforts, we expect imetelstat to remain our sole product candidate for the foreseeable future. If we are unable to successfully develop and commercialize imetelstat, our business and business prospects would be severely harmed, which might cause us to cease operations.</w:t>
      </w:r>
      <w:r>
        <w:rPr>
          <w:rFonts w:ascii="Times New Roman" w:hAnsi="Times New Roman"/>
          <w:sz w:val="20"/>
        </w:rPr>
        <w:t xml:space="preserve"> </w:t>
      </w:r>
    </w:p>
    <w:p>
      <w:pPr>
        <w:pStyle w:val="TextBody"/>
        <w:spacing w:before="0" w:after="0"/>
        <w:jc w:val="left"/>
        <w:rPr>
          <w:rFonts w:ascii="Times New Roman" w:hAnsi="Times New Roman"/>
          <w:sz w:val="20"/>
        </w:rPr>
      </w:pPr>
      <w:r>
        <w:rPr>
          <w:rFonts w:ascii="Times New Roman;serif" w:hAnsi="Times New Roman;serif"/>
          <w:b w:val="false"/>
          <w:sz w:val="20"/>
        </w:rPr>
        <w:t>Other than imetelstat, we do not currently have any other product candidates. While we have initiated a discovery program to identify a lead compound as a potential next generation oral telomerase inhibitor, our discovery efforts are at an early stage and may not be successful. In this regard, internal discovery efforts to identify new product candidates require substantial technical, financial and human resources, and the outcome of those efforts are uncertain and unpredictable. In addition, these discovery efforts may initially show promise in identifying a potential product candidate, yet fail to yield a product candidate for clinical development for a number of reasons, including where the research methodology used may not be successful in identifying a potential product candidate, or where a potential product candidate may, on further study, be shown to have inadequate efficacy, harmful side effects, suboptimal pharmaceutical profile or other characteristics suggesting that it is unlikely to be an effective product. Furthermore, in addition to research and development risks, any potential lead compounds identified during discovery may not be patentable, and therefore unsuitable for further development. Likewise, our research efforts to evaluate imetelstat in lymphoid hematologic malignancies may not be successful. In any event, notwithstanding our research and discovery efforts, we remain and expect to continue remain wholly reliant upon the development of imetelstat, our sole product candidate, for the foreseeable future. If we are unable to successfully develop and commercialize imetelstat, our business and business prospects would be severely harmed, which might cause us to cease operations. Similarly, if we are unable to discover and develop new product candidates or to develop imetelstat in lymphoid hematologic malignancies through our research and discovery efforts, our business and business prospects would be harmed.</w:t>
      </w:r>
      <w:r>
        <w:rPr>
          <w:rFonts w:ascii="Times New Roman" w:hAnsi="Times New Roman"/>
          <w:sz w:val="20"/>
        </w:rPr>
        <w:t xml:space="preserve"> </w:t>
      </w:r>
    </w:p>
    <w:p>
      <w:pPr>
        <w:pStyle w:val="TextBody"/>
        <w:spacing w:before="0" w:after="0"/>
        <w:jc w:val="left"/>
        <w:rPr>
          <w:rFonts w:ascii="Times New Roman;serif" w:hAnsi="Times New Roman;serif"/>
          <w:b/>
          <w:i/>
          <w:sz w:val="20"/>
        </w:rPr>
      </w:pPr>
      <w:r>
        <w:rPr>
          <w:rFonts w:ascii="Times New Roman;serif" w:hAnsi="Times New Roman;serif"/>
          <w:b/>
          <w:i/>
          <w:sz w:val="20"/>
        </w:rPr>
        <w:t>If we seek to establish potential future collaborative arrangements for imetelstat, we may be unable to establish such collaborative arrangements on acceptable terms, or at all, and may have to delay, alter or abandon our imetelstat development and commercialization plans.</w:t>
      </w:r>
    </w:p>
    <w:p>
      <w:pPr>
        <w:pStyle w:val="TextBody"/>
        <w:spacing w:before="0" w:after="0"/>
        <w:jc w:val="left"/>
        <w:rPr>
          <w:rFonts w:ascii="Times New Roman;serif" w:hAnsi="Times New Roman;serif"/>
          <w:b w:val="false"/>
          <w:sz w:val="20"/>
        </w:rPr>
      </w:pPr>
      <w:r>
        <w:rPr>
          <w:rFonts w:ascii="Times New Roman;serif" w:hAnsi="Times New Roman;serif"/>
          <w:b w:val="false"/>
          <w:sz w:val="20"/>
        </w:rPr>
        <w:t>We intend to develop imetelstat broadly for hematologic malignancies, and to potentially commercialize, market and sell imetelstat in the U.S. We may seek a collaborative partner or partners, at an appropriate time, to assist us in the potential development and commercialization of imetelstat, especially outside the U.S., and to provide funding for such activities. We face significant competition in seeking appropriate collaborative partners, and these potential collaborative arrangements are complex and time consuming to negotiate, document and implement. Our ability to seek and establish potential collaborative arrangements may be impacted by the effects of the COVID-19 pandemic on our clinical trial activities and the resulting delays in reporting any results from IMpactMF, as well as the period of the patent term for our intellectual property portfolio and market exclusivity for imetelstat. We may not be able to establish collaborative arrangements on acceptable terms, or at all. In this regard, collaborative arrangements with third parties may require us to relinquish material rights, including revenue from potential commercialization, or assume material ongoing development obligations that we would have to fund or otherwise support.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In any event, we are unable to predict when, if ever, we will enter into any collaborative arrangements because of the numerous risks and uncertainties associated with establishing collaborative arrangements. Moreover, given the significant risks and uncertainties regarding the future imetelstat development program, potential collaborative partners may be reluctant to enter into new collaborative arrangements with us, or may only be willing to do so on terms that are not favorable to us. As a result, we may not be successful in finding a collaborative partner or partners on favorable terms, if at all. If we are unable to negotiate collaborative arrangements, we may have to:</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delay or curtail the additional development of imetelstat;</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further delay or abandon the potential commercialization of imetelstat outside of the U.S.;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reduce the scope of potential future sales or marketing activities; or</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increase our expenditures and undertake development or commercialization activities at our own expense, which will require additional capital than our current resources.</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In the absence of future proceeds from potential cash exercises of currently outstanding warrants and potential drawdowns under the Loan Agreement, we will require substantial additional funding to further advance the imetelstat program, including through the completion of IMpactMF, IMproveMF and IMpress, as well as conducting the clinical, regulatory and potential commercialization activities necessary to potentially bring imetelstat to market in relapsed/refractory MF and any other future indications, and our need for additional funds may arise sooner than planned. However, we cannot predict with any certainty whether and to what extent the outstanding warrants will be exercised for cash, or the timing or availability of additional funds under the Loan Agreement, if at all. In addition, if we elect to increase our expenditures to fund imetelstat development or commercialization activities outside the U.S., we will be required to substantially increase our personnel resources and we will need to obtain substantial further capital, which may not</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64</w:t>
      </w:r>
    </w:p>
    <w:p>
      <w:pPr>
        <w:pStyle w:val="HorizontalLine"/>
        <w:rPr/>
      </w:pPr>
      <w:r>
        <w:rPr/>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be available to us on acceptable terms, or at all. If we are unable to raise additional capital if and when needed, we will not be able to further advance the imetelstat program, including through the completion of IMpactMF, IMproveMF and IMpress, as well as to conduct the clinical, regulatory and potential commercialization activities necessary to potentially bring imetelstat to market in relapsed/refractory MF and any other future indications to generate product revenues. Establishing the infrastructure necessary to further develop, commercialize, market and sell imetelstat worldwide will require substantial resources and may divert the attention of our management and key personnel and negatively impact our imetelstat development or commercialization efforts in the U.S.</w:t>
      </w:r>
    </w:p>
    <w:p>
      <w:pPr>
        <w:pStyle w:val="TextBody"/>
        <w:spacing w:before="0" w:after="0"/>
        <w:jc w:val="left"/>
        <w:rPr>
          <w:rFonts w:ascii="Times New Roman;serif" w:hAnsi="Times New Roman;serif"/>
          <w:b/>
          <w:i/>
          <w:sz w:val="20"/>
        </w:rPr>
      </w:pPr>
      <w:r>
        <w:rPr>
          <w:rFonts w:ascii="Times New Roman;serif" w:hAnsi="Times New Roman;serif"/>
          <w:b/>
          <w:i/>
          <w:sz w:val="20"/>
        </w:rPr>
        <w:t>We currently have no products approved for commercial sale, and we have not yet demonstrated an ability to obtain marketing approvals for any product candidates, which makes it difficult to assess our future viability.</w:t>
      </w:r>
    </w:p>
    <w:p>
      <w:pPr>
        <w:pStyle w:val="TextBody"/>
        <w:spacing w:before="0" w:after="0"/>
        <w:jc w:val="left"/>
        <w:rPr>
          <w:rFonts w:ascii="Times New Roman;serif" w:hAnsi="Times New Roman;serif"/>
          <w:b w:val="false"/>
          <w:sz w:val="20"/>
        </w:rPr>
      </w:pPr>
      <w:r>
        <w:rPr>
          <w:rFonts w:ascii="Times New Roman;serif" w:hAnsi="Times New Roman;serif"/>
          <w:b w:val="false"/>
          <w:sz w:val="20"/>
        </w:rPr>
        <w:t>We have never derived any revenue from the sales of any products. Our operations to date have been limited to organizing and staffing our company, acquiring, developing and securing our technology, undertaking non-clinical studies and clinical trials of imetelstat and past product candidates that we have subsequently discontinued, and engaging in research and development under collaboration agreements. We have not yet demonstrated an ability to obtain regulatory approvals for commercialization activities, formulate and manufacture commercial-scale products, or conduct sales and marketing activities necessary for successful product commercialization. Consequently, for these and other reasons discussed elsewhere in these risk factors, it is difficult to predict our future success and the viability of our business and the imetelstat program.</w:t>
      </w:r>
    </w:p>
    <w:p>
      <w:pPr>
        <w:pStyle w:val="TextBody"/>
        <w:spacing w:before="0" w:after="0"/>
        <w:jc w:val="left"/>
        <w:rPr>
          <w:rFonts w:ascii="Times New Roman;serif" w:hAnsi="Times New Roman;serif"/>
          <w:b/>
          <w:i/>
          <w:sz w:val="20"/>
        </w:rPr>
      </w:pPr>
      <w:r>
        <w:rPr>
          <w:rFonts w:ascii="Times New Roman;serif" w:hAnsi="Times New Roman;serif"/>
          <w:b/>
          <w:i/>
          <w:sz w:val="20"/>
        </w:rPr>
        <w:t>We have established subsidiaries in the United Kingdom and the Netherlands, which exposes us to additional costs and risks.*</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The wholly-owned subsidiaries we have established in the U.K. and the Netherlands subject us to certain additional costs and risks associated with doing business outside the U.S., including:</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increased complexity and costs inherent in managing international operations in geographically disparate locations;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challenges of complying with diverse regulatory, financial and legal requirements, which are subject to change at any time;</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potentially adverse tax consequences, including changes in applicable tax laws and regulations;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potentially costly trade laws, tariffs, export quotas, custom duties or other trade restrictions, and any changes to them;</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compliance with tax, employment, immigration and labor laws for employees living or traveling abroad;</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liabilities for activities of, or related to, our international operations;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challenges inherent in efficiently managing employees in diverse geographies, including the need to adapt systems, policies, benefits and compliance programs to differing labor and other regulations;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natural disasters, political and economic instability, including terrorism and civil and political unrest, outbreak of health epidemics, including the evolving COVID-19 pandemic, and the resulting global economic and social impacts;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workforce uncertainty in countries where labor unrest is more common than in the U.S.; and</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compliance with the United Kingdom Bribery Act 2010, or UK Bribery Act, and similar antibribery and anticorruption laws in the Netherlands and other jurisdictions, and the Foreign Corrupt Practices Act, including its books and records provisions and its anti-bribery provisions, including by failing to maintain accurate information and control over sales and distributors’ activities.</w:t>
      </w:r>
    </w:p>
    <w:p>
      <w:pPr>
        <w:pStyle w:val="TextBody"/>
        <w:spacing w:before="0" w:after="0"/>
        <w:jc w:val="left"/>
        <w:rPr>
          <w:rFonts w:ascii="Times New Roman" w:hAnsi="Times New Roman"/>
          <w:sz w:val="20"/>
        </w:rPr>
      </w:pPr>
      <w:r>
        <w:rPr>
          <w:rFonts w:ascii="Times New Roman;serif" w:hAnsi="Times New Roman;serif"/>
          <w:b w:val="false"/>
          <w:sz w:val="20"/>
        </w:rPr>
        <w:t>In addition, our international operations in the U.K. and the Netherlands expose us to fluctuations in currency exchange rates between the British pound, the Euro and the U.S. dollar. Given the volatility of currency exchange rates, there is no assurance that we will be able to effectively manage currency transaction and/or conversion risks. To date, we have not entered into derivative instruments to offset the impact of foreign exchange fluctuations, which fluctuations could have an adverse effect on our financial condition and results of operations.</w:t>
      </w:r>
      <w:r>
        <w:rPr>
          <w:rFonts w:ascii="Times New Roman" w:hAnsi="Times New Roman"/>
          <w:sz w:val="20"/>
        </w:rPr>
        <w:t xml:space="preserve"> </w:t>
      </w:r>
    </w:p>
    <w:p>
      <w:pPr>
        <w:pStyle w:val="TextBody"/>
        <w:spacing w:before="0" w:after="0"/>
        <w:jc w:val="left"/>
        <w:rPr>
          <w:rFonts w:ascii="Times New Roman;serif" w:hAnsi="Times New Roman;serif"/>
          <w:b/>
          <w:i/>
          <w:sz w:val="20"/>
        </w:rPr>
      </w:pPr>
      <w:r>
        <w:rPr>
          <w:rFonts w:ascii="Times New Roman;serif" w:hAnsi="Times New Roman;serif"/>
          <w:b/>
          <w:i/>
          <w:sz w:val="20"/>
        </w:rPr>
        <w:t>We may not be able to obtain or maintain sufficient insurance on commercially reasonable terms or with adequate coverage against potential liabilities in order to protect ourselves against product liability claims or claims related to clinical trial conduct, or claims related to data protection.</w:t>
      </w:r>
    </w:p>
    <w:p>
      <w:pPr>
        <w:pStyle w:val="TextBody"/>
        <w:spacing w:before="0" w:after="0"/>
        <w:jc w:val="left"/>
        <w:rPr>
          <w:rFonts w:ascii="Times New Roman" w:hAnsi="Times New Roman"/>
          <w:sz w:val="20"/>
        </w:rPr>
      </w:pPr>
      <w:r>
        <w:rPr>
          <w:rFonts w:ascii="Times New Roman;serif" w:hAnsi="Times New Roman;serif"/>
          <w:b w:val="false"/>
          <w:sz w:val="20"/>
        </w:rPr>
        <w:t>Our business exposes us to potential product liability and other risks that are inherent in the testing, manufacturing and marketing of human therapeutic and diagnostic products. We may become subject to product liability claims or claims related to clinical trial conduct, including if the use of imetelstat is alleged to have injured patients, such as injuries alleged to arise from any hepatotoxicity or hemorrhagic event associated with the use of imetelstat. We currently have limited clinical trial liability insurance, and we may not be able to maintain this type of insurance for any of our current or potential future clinical trials of imetelstat. In addition, this type of insurance may become too expensive for us to afford because of the highly risky and uncertain nature of clinical trials generally and the high cost of insurance for our business activities. We may be unable to obtain or maintain clinical trial insurance in all of the jurisdictions where we conduct current or potential future clinical trials. In addition, business liability, product liability and cybersecurity insurance are becoming increasingly expensive, particularly for biotechnology and pharmaceutical</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65</w:t>
      </w:r>
    </w:p>
    <w:p>
      <w:pPr>
        <w:pStyle w:val="HorizontalLine"/>
        <w:rPr/>
      </w:pPr>
      <w:r>
        <w:rPr/>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companies, and the pool of insurers offering insurance coverage to biotechnology and pharmaceutical companies generally is becoming smaller, making it more difficult to obtain insurance for our business activities at a reasonable price, or at all. Being unable to obtain or maintain product liability, clinical trial liability, cybersecurity or other insurance for our business activities in the future on acceptable terms or with adequate coverage against potential liabilities would have a material adverse effect on our business, and could cause us to cease our development of imetelstat.</w:t>
      </w:r>
    </w:p>
    <w:p>
      <w:pPr>
        <w:pStyle w:val="TextBody"/>
        <w:spacing w:before="0" w:after="0"/>
        <w:jc w:val="left"/>
        <w:rPr>
          <w:rFonts w:ascii="Times New Roman;serif" w:hAnsi="Times New Roman;serif"/>
          <w:b/>
          <w:i/>
          <w:sz w:val="20"/>
        </w:rPr>
      </w:pPr>
      <w:r>
        <w:rPr>
          <w:rFonts w:ascii="Times New Roman;serif" w:hAnsi="Times New Roman;serif"/>
          <w:b/>
          <w:i/>
          <w:sz w:val="20"/>
        </w:rPr>
        <w:t>We and certain of our officers have been named as defendants in pending securities class action lawsuits and shareholder derivative lawsuits. These lawsuits, and potential similar or related lawsuits, could result in substantial damages, divert management’s time and attention from our business, and have a material adverse effect on our results of operations. These lawsuits, and any other lawsuits to which we are subject, will be costly to defend or pursue and are uncertain in their outcome.*</w:t>
      </w:r>
    </w:p>
    <w:p>
      <w:pPr>
        <w:pStyle w:val="TextBody"/>
        <w:spacing w:before="0" w:after="0"/>
        <w:jc w:val="left"/>
        <w:rPr>
          <w:rFonts w:ascii="Times New Roman;serif" w:hAnsi="Times New Roman;serif"/>
          <w:b w:val="false"/>
          <w:sz w:val="20"/>
        </w:rPr>
      </w:pPr>
      <w:r>
        <w:rPr>
          <w:rFonts w:ascii="Times New Roman;serif" w:hAnsi="Times New Roman;serif"/>
          <w:b w:val="false"/>
          <w:sz w:val="20"/>
        </w:rPr>
        <w:t>Securities-related class action lawsuits and/or derivative lawsuits have often been brought against companies, including biotechnology and biopharmaceutical companies, that experience volatility in the market price of their securities. This risk is especially relevant for us because we often experience significant stock price volatility in connection with our product development activities.</w:t>
      </w:r>
    </w:p>
    <w:p>
      <w:pPr>
        <w:pStyle w:val="TextBody"/>
        <w:spacing w:before="0" w:after="0"/>
        <w:jc w:val="left"/>
        <w:rPr>
          <w:rFonts w:ascii="Times New Roman;serif" w:hAnsi="Times New Roman;serif"/>
          <w:b w:val="false"/>
          <w:sz w:val="20"/>
        </w:rPr>
      </w:pPr>
      <w:r>
        <w:rPr>
          <w:rFonts w:ascii="Times New Roman;serif" w:hAnsi="Times New Roman;serif"/>
          <w:b w:val="false"/>
          <w:sz w:val="20"/>
        </w:rPr>
        <w:t>Between January 23, 2020 and March 5, 2020, three securities class action lawsuits were filed against us and certain of our officers. One of the lawsuits was voluntarily dismissed on March 19, 2020. The other two lawsuits, filed in the U.S. District Court, or the Court, for the Northern District of California, or the Northern District, were consolidated by the Court on May 14, 2020, and on August 20, 2020, the lead plaintiffs filed a consolidated class action complaint. The consolidated class action complaint alleges violations of the Securities Exchange Act of 1934, as amended, or the Exchange Act, in connection with allegedly false and misleading statements made by us related to IMbark during the period from March 19, 2018, to September 26, 2018. The consolidated class action complaint alleges, among other things, that we violated Sections 10(b) and 20(a) of the Exchange Act and SEC Rule 10b-5 by failing to disclose facts related to the alleged failure of IMbark to meet the two primary endpoints of the trial, spleen response rate and Total Symptom Score, and that our stock price dropped when such information was disclosed. The plaintiffs in the consolidated class action complaint seek damages and interest, and an award of reasonable costs, including attorneys’ fees. On October 22, 2020, lead plaintiffs filed an amended consolidated class action complaint. We filed a motion to dismiss the amended consolidated class action complaint on November 23, 2020. On April 12, 2021, the Court granted in part and denied in part our motion to dismiss. Our answer to the amended consolidated class action complaint was filed on May 13, 2021. On September 30, 2021, lead plaintiffs filed their motion for class certification, and on April 2, 2022, the Court granted the lead plaintiffs’ motion for class certification. On September 2, 2022, the parties agreed to a settlement and entered into a Stipulation and Agreement of Settlement, or the Stipulation, which is subject to court approval. On October 13, 2022, the Court preliminarily approved the parties’ settlement, and permitted notice to be distributed to the class members. On March 30, 2023, the Court held a hearing on the motion for final approval of the settlement and plan of allocation and ordered supplemental notice to be sent to all of the class members. A second final approval hearing is scheduled for August 24, 2023. Final approval by the Court of the settlement is subject to a number of conditions and contingencies out of our control. There can be no guarantee that all of these conditions and contingencies will occur. Should a material condition or contingency to the settlement fail to occur, one or both of the parties to the settlement may exercise their right to terminate the settlement agreement.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Between April 23, 2020 and June 8, 2021, seven shareholder derivative actions were filed, naming as defendants certain of our current officers and certain current and former members of our board. Of these actions, or the Derivative Lawsuits, two were filed in the Northern District, two were filed in the Court of Chancery of the State of Delaware, or the Chancery Court, two were filed in the U.S. District Court for the District of Delaware, or the District of Delaware, and one was filed in the Superior Court of California for the County of San Mateo, or the San Mateo Superior Court, respectively. The plaintiffs in the Derivative Lawsuits allege breach of fiduciary duty and/or violations of Section 14 of the Exchange Act, based on the same underlying facts as the consolidated class action lawsuit described above. The plaintiffs seek damages, corporate governance reforms, equitable relief, restitution, and an award of reasonable costs, including attorneys’ fees. The status of the seven Derivative Lawsuits is currently as follows: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On July 2, 2021, we filed a motion to dismiss the consolidated shareholder derivative actions filed in the Chancery Court, or the Chancery Court Derivative Lawsuits. On September 1, 2021, the plaintiffs filed a consolidated amended complaint in the Chancery Court Derivative Lawsuits. On October 12, 2021, we filed our motion to dismiss the consolidated amended complaint. The Court of Chancery of the State of Delaware heard oral argument on the motion on February 15, 2022, and, on June 22, 2022, issued an order staying its decision on our motion to dismiss until after final resolution of the consolidated securities class action lawsuit described above. On December 21, 2022, the parties in the Chancery Court Derivative Lawsuits entered into a Stipulation of Settlement, or the Derivative Stipulation, that, subject to final approval by the Chancery Court, will resolve the Chancery Court Derivative Lawsuits. A final approval hearing regarding the Derivative Stipulation has been scheduled for May 17, 2023. Final approval of the settlement is subject to a number of conditions and contingencies out of our control. There can be no guarantee that all of these conditions and contingencies will occur. Should a material condition or contingency to the settlement fail to occur, one or more of the parties to the settlement may exercise their right to terminate the settlement agreement;</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The consolidated shareholder derivative actions filed in the District of Delaware have been stayed pending the ruling on our motion to dismiss the Chancery Court Derivative Lawsuits. On December 21, 2022, the parties in the consolidated District of Delaware derivative actions entered into the Derivative Stipulation, that, subject to final approval by the Chancery Court, will resolve the consolidated District of Delaware derivative actions;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66</w:t>
      </w:r>
    </w:p>
    <w:p>
      <w:pPr>
        <w:pStyle w:val="HorizontalLine"/>
        <w:rPr/>
      </w:pPr>
      <w:r>
        <w:rPr/>
      </w:r>
    </w:p>
    <w:p>
      <w:pPr>
        <w:pStyle w:val="TextBody"/>
        <w:spacing w:before="0" w:after="0"/>
        <w:jc w:val="left"/>
        <w:rPr/>
      </w:pPr>
      <w:r>
        <w:rPr/>
        <w:t>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consolidated shareholder derivative actions filed in the Northern District were initially stayed through the ruling on our motion to dismiss in the consolidated securities class action lawsuit described above and then subsequently were stayed through the ruling on the lead plaintiffs’ motion for class certification in the securities consolidated class action lawsuit. Subsequent to the grant of class certification in the consolidated class action lawsuit, on May 3, 2022, the Northern District entered an order providing plaintiffs until June 7, 2022, to file an amended complaint. On June 7, 2022, plaintiffs filed an amended shareholder derivative complaint. On July 6, 2022, the Northern District entered an order staying the consolidated shareholder derivative actions filed in the Northern District until the earlier of either a public announcement of a settlement in the consolidated securities class action lawsuit or a final, non-appealable judgment in the consolidated securities class action lawsuit. On December 21, 2022, the parties in the consolidated derivative actions in the Northern District entered into the Derivative Stipulation, that, subject to final approval by the Chancery Court, will resolve the consolidated derivative actions in the Northern District; and </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Our motion to dismiss the shareholder derivative action pursuant to the forum selection clause in our amended and restated bylaws was filed in the San Mateo Superior Court on August 5, 2021. At the hearing on the motion to dismiss on November 2, 2021, the court granted our motion to dismiss and stayed the case until April 19, 2022. At the case management conference on April 19, 2022, the court continued the stay until June 14, 2022. At the case management conference on June 14, 2022, the court continued the stay until December 13, 2022. On December 13, 2022, the court dismissed the action without prejudice.</w:t>
      </w:r>
    </w:p>
    <w:p>
      <w:pPr>
        <w:pStyle w:val="TextBody"/>
        <w:spacing w:before="0" w:after="0"/>
        <w:jc w:val="left"/>
        <w:rPr>
          <w:rFonts w:ascii="Times New Roman;serif" w:hAnsi="Times New Roman;serif"/>
          <w:b w:val="false"/>
          <w:sz w:val="20"/>
        </w:rPr>
      </w:pPr>
      <w:r>
        <w:rPr>
          <w:rFonts w:ascii="Times New Roman;serif" w:hAnsi="Times New Roman;serif"/>
          <w:b w:val="false"/>
          <w:sz w:val="20"/>
        </w:rPr>
        <w:t>It is possible that additional lawsuits will be filed, or allegations received from stockholders, with respect to these same or other matters and also naming us and/or our officers and directors as defendants. Such lawsuits and any other related lawsuits are subject to inherent uncertainties, and the actual defense and disposition costs will depend upon many unknown factors. The outcome of such lawsuits is necessarily uncertain. We could be forced to expend significant resources in the defense of the pending lawsuits and any additional lawsuits, and we may not prevail. In addition, we have and may continue to incur substantial legal fees and costs in connection with such lawsuits. As discussed in Note 5 on Commitments and Contingencies in Notes to Condensed Consolidated Financial Statements of this quarterly report on Form 10-Q, we recorded our portion of the settlement amounts for the Stipulation and the Derivative Stipulation on our consolidated statements of operations for the year ended December 31, 2022, as well as corresponding liabilities on our consolidated balance sheet as of December 31, 2022. We currently are not able to estimate the possible additional costs to us, if any, from these matters, and we cannot be certain how long it may take to resolve the pending lawsuits or the possible amount of any damages or legal costs that we may be required to pay. Monitoring, initiating and defending against legal actions is time-consuming for our management, is likely to be expensive and may detract from our ability to fully focus our internal resources on our business activities. We could be forced to expend significant resources in the settlement or defense of the pending lawsuits and any potential future lawsuits, and we may not prevail in such lawsuits. Additionally, we may not be successful in having any such lawsuits dismissed or settled within the limits of our insurance coverage.</w:t>
      </w:r>
    </w:p>
    <w:p>
      <w:pPr>
        <w:pStyle w:val="TextBody"/>
        <w:spacing w:before="0" w:after="0"/>
        <w:jc w:val="left"/>
        <w:rPr>
          <w:rFonts w:ascii="Times New Roman;serif" w:hAnsi="Times New Roman;serif"/>
          <w:b w:val="false"/>
          <w:sz w:val="20"/>
        </w:rPr>
      </w:pPr>
      <w:r>
        <w:rPr>
          <w:rFonts w:ascii="Times New Roman;serif" w:hAnsi="Times New Roman;serif"/>
          <w:b w:val="false"/>
          <w:sz w:val="20"/>
        </w:rPr>
        <w:t>We have not established any reserve for any potential liability relating to the pending lawsuits or any potential future lawsuits, other than for the total settlement amount under the Stipulation. It is possible that we could, in the future, incur judgments or enter into settlements of claims for monetary damages. A decision adverse to our interests in the pending lawsuits, or in similar or related litigation, could result in the payment of substantial damages, or possibly fines, and could have a material adverse effect on our business, our stock price, cash flow, results of operations and financial condition.</w:t>
      </w:r>
    </w:p>
    <w:p>
      <w:pPr>
        <w:pStyle w:val="TextBody"/>
        <w:spacing w:before="0" w:after="0"/>
        <w:jc w:val="left"/>
        <w:rPr>
          <w:rFonts w:ascii="Times New Roman;serif" w:hAnsi="Times New Roman;serif"/>
          <w:b/>
          <w:i/>
          <w:sz w:val="20"/>
        </w:rPr>
      </w:pPr>
      <w:r>
        <w:rPr>
          <w:rFonts w:ascii="Times New Roman;serif" w:hAnsi="Times New Roman;serif"/>
          <w:b/>
          <w:i/>
          <w:sz w:val="20"/>
        </w:rPr>
        <w:t>We may be subject to third-party litigation, and such litigation would be costly to defend or pursue and uncertain in its outcome.</w:t>
      </w:r>
    </w:p>
    <w:p>
      <w:pPr>
        <w:pStyle w:val="TextBody"/>
        <w:spacing w:before="0" w:after="0"/>
        <w:jc w:val="left"/>
        <w:rPr>
          <w:rFonts w:ascii="Times New Roman;serif" w:hAnsi="Times New Roman;serif"/>
          <w:b w:val="false"/>
          <w:sz w:val="20"/>
        </w:rPr>
      </w:pPr>
      <w:r>
        <w:rPr>
          <w:rFonts w:ascii="Times New Roman;serif" w:hAnsi="Times New Roman;serif"/>
          <w:b w:val="false"/>
          <w:sz w:val="20"/>
        </w:rPr>
        <w:t>Our business may bring us into conflict with our licensees, licensors, or others with whom we have contractual or other business relationships, or with our competitors or others whose interests differ from ours. We may experience employment-related disputes as we seek to expand our personnel resources. We may become involved in performance or other disputes with the CROs we have retained to support our imetelstat clinical development activities, or with other third parties such as service providers, vendors, manufacturers, suppliers or consultants, which could result in a further delay or cessation of current and potential future clinical trials and otherwise significantly further delay our ability to develop imetelstat. If we are unable to resolve those conflicts on terms that are satisfactory to all parties, we may become involved in litigation brought by or against us.</w:t>
      </w:r>
    </w:p>
    <w:p>
      <w:pPr>
        <w:pStyle w:val="TextBody"/>
        <w:spacing w:before="0" w:after="0"/>
        <w:jc w:val="left"/>
        <w:rPr>
          <w:rFonts w:ascii="Times New Roman;serif" w:hAnsi="Times New Roman;serif"/>
          <w:b w:val="false"/>
          <w:sz w:val="20"/>
        </w:rPr>
      </w:pPr>
      <w:r>
        <w:rPr>
          <w:rFonts w:ascii="Times New Roman;serif" w:hAnsi="Times New Roman;serif"/>
          <w:b w:val="false"/>
          <w:sz w:val="20"/>
        </w:rPr>
        <w:t>Lawsuits are subject to inherent uncertainties, and defense and disposition costs depend upon many unknown factors. Despite the availability of insurance, we may incur substantial legal fees and costs in connection with litigation. Lawsuits could result in judgments against us that require us to pay damages, enjoin us from certain activities, or otherwise negatively affect our legal or contractual rights, which could have a significant adverse effect on our business. In addition, the inherent uncertainty of such litigation could lead to increased volatility in our stock price and a decrease in the value of our stockholders’ investment in our securities.</w:t>
      </w:r>
    </w:p>
    <w:p>
      <w:pPr>
        <w:pStyle w:val="TextBody"/>
        <w:spacing w:before="0" w:after="0"/>
        <w:jc w:val="left"/>
        <w:rPr>
          <w:rFonts w:ascii="Times New Roman;serif" w:hAnsi="Times New Roman;serif"/>
          <w:b/>
          <w:i/>
          <w:sz w:val="20"/>
        </w:rPr>
      </w:pPr>
      <w:r>
        <w:rPr>
          <w:rFonts w:ascii="Times New Roman;serif" w:hAnsi="Times New Roman;serif"/>
          <w:b/>
          <w:i/>
          <w:sz w:val="20"/>
        </w:rPr>
        <w:t>We are subject to U.S. and certain foreign export and import controls, sanctions, embargoes, anti-corruption laws, and anti-money laundering laws and regulations. Compliance with these legal standards could impair our ability to compete in domestic and international markets. We can face criminal liability and other serious consequences for violations, which can harm our business.</w:t>
      </w:r>
    </w:p>
    <w:p>
      <w:pPr>
        <w:pStyle w:val="TextBody"/>
        <w:spacing w:before="0" w:after="0"/>
        <w:jc w:val="left"/>
        <w:rPr>
          <w:rFonts w:ascii="Times New Roman" w:hAnsi="Times New Roman"/>
          <w:sz w:val="20"/>
        </w:rPr>
      </w:pPr>
      <w:r>
        <w:rPr>
          <w:rFonts w:ascii="Times New Roman;serif" w:hAnsi="Times New Roman;serif"/>
          <w:b w:val="false"/>
          <w:sz w:val="20"/>
        </w:rPr>
        <w:t>We are subject to export control and import laws and regulations, including the U.S. Export Administration Regulations, U.S. Customs regulations, various economic and trade sanctions regulations administered by the U.S. Treasury Department’s Office of Foreign Assets Controls, the U.S. Foreign Corrupt Practices Act of 1977, as amended, or FCPA, the U.S. domestic bribery statute contained in 18 U.S.C. § 201, the U.S. Travel Act, the USA PATRIOT Act, and other state and national anti-bribery and anti-money</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67</w:t>
      </w:r>
    </w:p>
    <w:p>
      <w:pPr>
        <w:pStyle w:val="HorizontalLine"/>
        <w:rPr/>
      </w:pPr>
      <w:r>
        <w:rPr/>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laundering laws in the countries in which we conduct activities. Anti-corruption laws are interpreted broadly and prohibit companies and their employees, agents, contractors, and other collaborators from authorizing, promising, offering, or providing, directly or indirectly, improper payments or anything else of value to recipients in the public or private sector. We may engage third parties to sell our products outside the United States, to conduct clinical trials, and/or to obtain necessary permits, licenses, patent registrations, and other regulatory approvals. We have direct or indirect interactions with officials and employees of government agencies or government-affiliated hospitals, universities, and other organizations. We can be held liable for the corrupt or other illegal activities of our employees, agents, contractors, and other collaborators, even if we do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r>
        <w:rPr>
          <w:rFonts w:ascii="Times New Roman" w:hAnsi="Times New Roman"/>
          <w:caps/>
          <w:sz w:val="20"/>
        </w:rPr>
        <w:t xml:space="preserve"> </w:t>
      </w:r>
    </w:p>
    <w:p>
      <w:pPr>
        <w:pStyle w:val="TextBody"/>
        <w:spacing w:before="0" w:after="0"/>
        <w:jc w:val="left"/>
        <w:rPr/>
      </w:pPr>
      <w:r>
        <w:rPr/>
        <w:t> </w:t>
      </w:r>
    </w:p>
    <w:p>
      <w:pPr>
        <w:pStyle w:val="TextBody"/>
        <w:spacing w:before="0" w:after="0"/>
        <w:jc w:val="center"/>
        <w:rPr>
          <w:rFonts w:ascii="Times New Roman;serif" w:hAnsi="Times New Roman;serif"/>
          <w:b/>
          <w:caps/>
          <w:sz w:val="20"/>
        </w:rPr>
      </w:pPr>
      <w:r>
        <w:rPr>
          <w:rFonts w:ascii="Times New Roman;serif" w:hAnsi="Times New Roman;serif"/>
          <w:b/>
          <w:caps/>
          <w:sz w:val="20"/>
        </w:rPr>
        <w:t>Risks Related to Competitive Factors</w:t>
      </w:r>
    </w:p>
    <w:p>
      <w:pPr>
        <w:pStyle w:val="TextBody"/>
        <w:spacing w:before="0" w:after="0"/>
        <w:jc w:val="left"/>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If competitors develop products, product candidates or technologies that are superior to or more cost-effective than imetelstat, this would significantly impact the development and commercial viability of imetelstat, which would severely and adversely affect our financial results, business and business prospects, and the future of imetelstat, and might cause us to cease operations.</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The pharmaceutical and biotechnology industries are characterized by intense and dynamic competition with rapidly advancing technologies and a strong emphasis on proprietary products. While we believe our proprietary oligonucleotide chemistry; experience with the biological mechanisms related to imetelstat, telomeres and telomerase; clinical data to date indicating potential disease-modifying activity with imetelstat treatment; and knowledge and expertise around the development of potential treatments for myeloid hematologic malignancies provide us with competitive advantages, we face competition from many different sources, including major pharmaceutical, specialty pharmaceutical and biotechnology companies, academic institutions, governmental agencies, and public and private research institutions. Imetelstat will compete, if approved, with other products and therapies that currently exist, are being developed or will in the future be developed, some of which we may not currently be aware of.</w:t>
      </w:r>
    </w:p>
    <w:p>
      <w:pPr>
        <w:pStyle w:val="TextBody"/>
        <w:spacing w:before="0" w:after="0"/>
        <w:jc w:val="left"/>
        <w:rPr>
          <w:rFonts w:ascii="Times New Roman;serif" w:hAnsi="Times New Roman;serif"/>
          <w:b w:val="false"/>
          <w:sz w:val="20"/>
        </w:rPr>
      </w:pPr>
      <w:r>
        <w:rPr>
          <w:rFonts w:ascii="Times New Roman;serif" w:hAnsi="Times New Roman;serif"/>
          <w:b w:val="false"/>
          <w:sz w:val="20"/>
        </w:rPr>
        <w:t>If approved for commercial sale for the treatment of lower risk MDS, imetelstat would compete against a number of currently existing therapies, including ESAs and other hematopoietic growth factors that are indicated for anemia; immunomodulators, such as Revlimid (lenalidomide) by Celgene Corporation, a Bristol-Myers Squibb Corporation, or Celgene; hypomethylating agents, such as Vidaza (azacitidine) by Celgene and manufacturers of generic azacitidine; Dacogen (decitabine) by Otsuka America Pharmaceutical, Inc. and other manufacturers in the U.S. and Janssen-Cilag NV in the EU; Inqovi (oral combination of decitabine and cedazuridine) by Astex Pharmaceuticals, Inc., or Astex; and Reblozyl (luspatercept), a TGF-beta inhibitor, by Acceleron Pharma, Inc., or Acceleron (acquired by Merck &amp; Co., Inc., or Merck, in November 2021), in collaboration with Celgene. Bristol-Myers Squibb Company, or BMS, has announced that the FDA accepted the supplemental Biologics License Application, or sBLA, for luspatercept for Priority Review in first-line LR-MDS and set a Prescription Drug User Fee Act (PDUFA) review date of August 28, 2023. The announcement also stated that the EMA had validated the equivalent Type II Variation Application, indicating that hte EMA's centralized review can also begin.</w:t>
      </w:r>
    </w:p>
    <w:p>
      <w:pPr>
        <w:pStyle w:val="TextBody"/>
        <w:spacing w:before="0" w:after="0"/>
        <w:jc w:val="left"/>
        <w:rPr>
          <w:rFonts w:ascii="Times New Roman;serif" w:hAnsi="Times New Roman;serif"/>
          <w:b w:val="false"/>
          <w:sz w:val="20"/>
        </w:rPr>
      </w:pPr>
      <w:r>
        <w:rPr>
          <w:rFonts w:ascii="Times New Roman;serif" w:hAnsi="Times New Roman;serif"/>
          <w:b w:val="false"/>
          <w:sz w:val="20"/>
        </w:rPr>
        <w:t>Other therapies currently in Phase 3 development in lower risk MDS, some of which may obtain regulatory approval earlier than imetelstat include roxadustat, a hypoxia-inducible factor prolyl hydroxylase inhibitor, by FibroGen, Inc; Onureg (oral azacitidine) by BMS; and Hengqu (hetrombopag), an oral nonpeptide thrombopoietin receptor agonist, by Jiangsu Hengrui Pharmaceuticals Co., Ltd.</w:t>
      </w:r>
    </w:p>
    <w:p>
      <w:pPr>
        <w:pStyle w:val="TextBody"/>
        <w:spacing w:before="0" w:after="0"/>
        <w:jc w:val="left"/>
        <w:rPr>
          <w:rFonts w:ascii="Times New Roman;serif" w:hAnsi="Times New Roman;serif"/>
          <w:b w:val="false"/>
          <w:sz w:val="20"/>
        </w:rPr>
      </w:pPr>
      <w:r>
        <w:rPr>
          <w:rFonts w:ascii="Times New Roman;serif" w:hAnsi="Times New Roman;serif"/>
          <w:b w:val="false"/>
          <w:sz w:val="20"/>
        </w:rPr>
        <w:t>In addition, there are multiple Phase 1 and Phase 2 clinical trials of other agents being developed for lower risk MDS, including but not limited to: LB‐100, a PP2A inhibitor, by Lixte Biotechnology Holdings, Inc.; bemcentinib, an AXL inhibitor, by BerGenBio ASA; H3B‐8800, a spliceosome inhibitor, by H3 Biomedicine, Inc.; KER-050, a TGF-beta inhibitor, by Keros Therapeutics, Inc., or Keros Therapeutics; TP-0184, an inhibitor of ALK2 or ACVR1 kinase, by Sumitomo Dainippon Pharma Oncology, Inc; ilginatinib (NS-018), a JAK2 inhibitor, by NS Pharma, Inc., a U.S. subsidiary of Nippon Shinyaku Co., Ltd., or NS Pharma; RVT-2001, a SF3B1 modulator, by Roivant Sciences, Ltd.; sabatolimab (MBG453), a TIM-3 inhibitor, by Novartis AG; a lower dose of ASTX727, an oral formulation of decitabine and cedazuridine, referred to as ASTX727 LD, by Astex; ASTX030, an oral formulation of azacitidine and cedazuridine, by Astex; R289, an oral inhibitor of interleukin receptor-associated kinases 1 and 4, or IRAK1/4, by Rigel Pharmaceuticals, Inc.; a combination treatment regimen of luspatercept and lenalidomide by BMS; HuMax-IL8 (BMS-986253), an anti-IL-8 monoclonal antibody, by BMS; etavopivat, an oral, small molecule activator of erythrocyte pyruvate kinase (PKR) by Forma Therapeutics, Inc., a Novo Nordisk Company; canakinumab, an interleukin antagonist, by Novartis AG; and AG946, a next-generation pyruvate kinase-R (PKR) activator, by Agios Pharmaceuticals, Inc.</w:t>
      </w:r>
    </w:p>
    <w:p>
      <w:pPr>
        <w:pStyle w:val="TextBody"/>
        <w:spacing w:before="0" w:after="0"/>
        <w:jc w:val="left"/>
        <w:rPr>
          <w:rFonts w:ascii="Times New Roman" w:hAnsi="Times New Roman"/>
          <w:sz w:val="20"/>
        </w:rPr>
      </w:pPr>
      <w:r>
        <w:rPr>
          <w:rFonts w:ascii="Times New Roman;serif" w:hAnsi="Times New Roman;serif"/>
          <w:b w:val="false"/>
          <w:sz w:val="20"/>
        </w:rPr>
        <w:t>If approved for commercial sale for the treatment of MF, imetelstat would compete against currently approved JAK inhibitors: Jakafi (ruxolitinib) by Incyte Corporation, or Incyte, and Inrebic (fedratinib) by Celgene, as well as a kinase inhibitor, Vonjo (pacritinib), by CTI Biopharma Corp., which was approved in February 2022 for the treatment of adults with Intermediate or High-Risk primary or secondary myelofibrosis with a platelet count below 50 × 10</w:t>
      </w:r>
      <w:r>
        <w:rPr>
          <w:rFonts w:ascii="Times New Roman;serif" w:hAnsi="Times New Roman;serif"/>
          <w:b w:val="false"/>
          <w:sz w:val="13"/>
        </w:rPr>
        <w:t>9</w:t>
      </w:r>
      <w:r>
        <w:rPr>
          <w:rFonts w:ascii="Times New Roman;serif" w:hAnsi="Times New Roman;serif"/>
          <w:b w:val="false"/>
          <w:sz w:val="20"/>
        </w:rPr>
        <w:t>/L. Other treatment modalities for MF include hydroxyurea for the management of splenomegaly, leukocytosis, thrombocytosis and constitutional symptoms; splenectomy and splenic irradiation for the management of splenomegaly and co-existing cytopenias; chemotherapy and pegylated interferon. Drugs for the treatment of MF-associated anemia include ESAs, androgens, danazol, corticosteroids, thalidomide and lenalidomide.</w:t>
      </w:r>
      <w:r>
        <w:rPr>
          <w:rFonts w:ascii="Times New Roman" w:hAnsi="Times New Roman"/>
          <w:sz w:val="20"/>
        </w:rPr>
        <w:t xml:space="preserve"> </w:t>
      </w:r>
    </w:p>
    <w:p>
      <w:pPr>
        <w:pStyle w:val="TextBody"/>
        <w:spacing w:before="0" w:after="0"/>
        <w:jc w:val="left"/>
        <w:rPr>
          <w:rFonts w:ascii="Times New Roman" w:hAnsi="Times New Roman"/>
          <w:sz w:val="20"/>
        </w:rPr>
      </w:pPr>
      <w:r>
        <w:rPr>
          <w:rFonts w:ascii="Times New Roman;serif" w:hAnsi="Times New Roman;serif"/>
          <w:b w:val="false"/>
          <w:sz w:val="20"/>
        </w:rPr>
        <w:t>Other therapies currently in Phase 3 development in MF, some of which may obtain regulatory approval earlier than imetelstat, include momelotinib, a JAK inhibitor, by GlaxoSmithKline plc; or momelotinib plus AZD5153, a BET inhibitor by GlaxoSmithKline</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68</w:t>
      </w:r>
    </w:p>
    <w:p>
      <w:pPr>
        <w:pStyle w:val="HorizontalLine"/>
        <w:rPr/>
      </w:pPr>
      <w:r>
        <w:rPr/>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plc which has a PDUFA date of June 16, 2023 for approval in the U.S.; pelabresib (CPI-0610), a BET inhibitor, by MorphoSys AG; navitoclax, a BCLXL, BCL-2 and BCLW inhibitor, by AbbVie, Inc.; development of parsaclisib, a PI3K delta inhibitor, by Incyte has been discontinued in both the front-line and JAKi treated MF Phase 3 trials. Other approaches for MF currently under investigation that could compete with imetelstat in the future include luspatercept; zinpentraxin alfa (RG6354, formerly PRM-151), an anti-fibrosis antibody, by F. Hoffmann-La Roche, Ltd.; LCL-161, an inhibitor of apoptosis protein (IAP), by Novartis; KRT-232, an inhibitor of MDM2, by Kartos Therapeutics, Inc.; GB2064, a LOXL2 inhibitor, by Galecto Biotech; elraglusib (9-ING-41), a glycogen synthase kinase-3 beta inhibitor, by Actuate Therapeutics, Inc.; XPOVIO (selinexor), a nuclear export inhibitor, by Karyopharm Therapeutics, Inc.; TL-895, an oral tyrosine kinase inhibitor, by Telios Pharma, Inc.; IMG-7289, a LSD1 inhibitor, by Imago Biosciences, Inc.; APG-1252, a dual BCL-2/BCL-XL inhibitor, by Ascentage Pharma; ilginatinib (NS-018), a JAK2 inhibitor by NS Pharma; DISC-0974, a monoclonal antibody against hemojuvelin (HJV) by DISC Management Inc.; KER-050 in combination with ruxolitinib, by Keros Therapeutics; CK0804, an allogeneic T-regulatory cell agent, by Cellenkos, Inc. in collaboration with Incyte; TP-3654, PIM kinase inhibitor by Sumitomo Pharma Co., Ltd.; and a mutated-CALR vaccine, a peptide-based vaccine, from the Icahn School of Medicine at Mount Sinai.</w:t>
      </w:r>
      <w:r>
        <w:rPr>
          <w:rFonts w:ascii="Times New Roman" w:hAnsi="Times New Roman"/>
          <w:sz w:val="20"/>
        </w:rPr>
        <w:t xml:space="preserve">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Smaller companies may also prove to be significant competitors, particularly through collaborative arrangements with large and established companies. We anticipate increased competition in the future as new companies explore treatments for myeloid hematologic malignancies, which may significantly impact the commercial viability of imetelstat. Academic institutions, government agencies and other public and private research organizations may also conduct research, seek patent protection and establish collaborative arrangements for research, clinical development and marketing of products similar to imetelstat. These companies and institutions compete with us in recruiting and retaining qualified development and management personnel as well as in acquiring technologies complementary to the imetelstat program.</w:t>
      </w:r>
    </w:p>
    <w:p>
      <w:pPr>
        <w:pStyle w:val="TextBody"/>
        <w:spacing w:before="0" w:after="0"/>
        <w:jc w:val="left"/>
        <w:rPr>
          <w:rFonts w:ascii="Times New Roman;serif" w:hAnsi="Times New Roman;serif"/>
          <w:b w:val="false"/>
          <w:sz w:val="20"/>
        </w:rPr>
      </w:pPr>
      <w:r>
        <w:rPr>
          <w:rFonts w:ascii="Times New Roman;serif" w:hAnsi="Times New Roman;serif"/>
          <w:b w:val="false"/>
          <w:sz w:val="20"/>
        </w:rPr>
        <w:t>Many of our competitors, either alone or with their strategic partners, could have substantially greater financial, technical and human resources than we do and significantly greater experience in obtaining FDA and other regulatory approvals of treatments and commercializing those treatments. We believe that the commercial success of imetelstat is subject to a number of factors, including:</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product efficacy and safety;</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method of product administration;</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cost of manufacturing;</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timing and scope of regulatory consents;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status of coverage and level of reimbursement;</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level of generic competition;</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price; and</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patent position, including potentially dominant patent positions of others.</w:t>
      </w:r>
    </w:p>
    <w:p>
      <w:pPr>
        <w:pStyle w:val="TextBody"/>
        <w:spacing w:before="0" w:after="0"/>
        <w:jc w:val="left"/>
        <w:rPr>
          <w:rFonts w:ascii="Times New Roman;serif" w:hAnsi="Times New Roman;serif"/>
          <w:b w:val="false"/>
          <w:sz w:val="20"/>
        </w:rPr>
      </w:pPr>
      <w:r>
        <w:rPr>
          <w:rFonts w:ascii="Times New Roman;serif" w:hAnsi="Times New Roman;serif"/>
          <w:b w:val="false"/>
          <w:sz w:val="20"/>
        </w:rPr>
        <w:t>As a result of the foregoing, competitors may develop more commercially desirable or affordable products than imetelstat, or achieve earlier patent protection or product commercialization than we may be able to achieve with imetelstat. Competitors have developed, or are in the process of developing, technologies that are, or in the future may be, competitive to imetelstat. Some of these products may have an entirely different approach or means of accomplishing therapeutic effects similar or superior to those that may be demonstrated by imetelstat. Competitors may develop products that are safer, more effective, or less costly than imetelstat, or more convenient to administer to patients and, therefore, present a serious competitive threat to imetelstat. In addition, competitors may price their products below what we may determine to be an acceptable price for imetelstat, may receive better third-party payor coverage and/or reimbursement, or may be more cost-effective than imetelstat. Such competitive products or activities by competitors may render imetelstat obsolete, which may cause us to cease any further development or future commercialization of imetelstat, which would severely and adversely affect our financial results, business and business prospects, and the future of imetelstat, and might cause us to cease operations.</w:t>
      </w:r>
    </w:p>
    <w:p>
      <w:pPr>
        <w:pStyle w:val="TextBody"/>
        <w:spacing w:before="0" w:after="0"/>
        <w:jc w:val="left"/>
        <w:rPr>
          <w:rFonts w:ascii="Times New Roman;serif" w:hAnsi="Times New Roman;serif"/>
          <w:b/>
          <w:i/>
          <w:sz w:val="20"/>
        </w:rPr>
      </w:pPr>
      <w:r>
        <w:rPr>
          <w:rFonts w:ascii="Times New Roman;serif" w:hAnsi="Times New Roman;serif"/>
          <w:b/>
          <w:i/>
          <w:sz w:val="20"/>
        </w:rPr>
        <w:t>To be commercially successful, imetelstat must be accepted by the healthcare community, which can be very slow to adopt or unreceptive to new technologies and products.</w:t>
      </w:r>
    </w:p>
    <w:p>
      <w:pPr>
        <w:pStyle w:val="TextBody"/>
        <w:spacing w:before="0" w:after="0"/>
        <w:jc w:val="left"/>
        <w:rPr>
          <w:rFonts w:ascii="Times New Roman;serif" w:hAnsi="Times New Roman;serif"/>
          <w:b w:val="false"/>
          <w:sz w:val="20"/>
        </w:rPr>
      </w:pPr>
      <w:r>
        <w:rPr>
          <w:rFonts w:ascii="Times New Roman;serif" w:hAnsi="Times New Roman;serif"/>
          <w:b w:val="false"/>
          <w:sz w:val="20"/>
        </w:rPr>
        <w:t>Even if approved for marketing, imetelstat may not achieve market acceptance, or the potential worldwide or U.S. revenue we believe may be possible, since hospitals, physicians, patients or the medical community in general may decide not to accept and utilize imetelstat. If approved for commercial sale, imetelstat will compete with a number of conventional and widely accepted drugs and therapies manufactured and marketed by major pharmaceutical companies. The degree of market acceptance of imetelstat will depend on a number of factors, including:</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clinical indications for which imetelstat is approved, if any;</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country and/or regions within which imetelstat is approved, if any;</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the establishment and demonstration to the medical community of the clinical efficacy and safety of imetelstat;</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69</w:t>
      </w:r>
    </w:p>
    <w:p>
      <w:pPr>
        <w:pStyle w:val="HorizontalLine"/>
        <w:rPr/>
      </w:pPr>
      <w:r>
        <w:rPr/>
      </w:r>
    </w:p>
    <w:p>
      <w:pPr>
        <w:pStyle w:val="TextBody"/>
        <w:spacing w:before="0" w:after="0"/>
        <w:jc w:val="left"/>
        <w:rPr/>
      </w:pPr>
      <w:r>
        <w:rPr/>
        <w:t>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ability to demonstrate that imetelstat is superior to alternatives on the market at the time;</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ability to establish in the medical community the potential advantages of imetelstat over alternative treatment methods, including with respect to efficacy, safety, cost or route of administration;</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willingness of medical professionals to prescribe, and patients to use, imetelstat, or to continue to use imetelstat;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publication of unfavorable safety or efficacy data concerning imetelstat by third parties or us;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restrictions on use of imetelstat in combination with other products;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label and promotional claims allowed by the FDA or similar international regulatory authorities for imetelstat, if any, including usage for only certain indications and any limitations or warnings about the prevalence or severity of any side effects;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timing of market introduction of imetelstat as well as competitive products, including sequencing of available products;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effectiveness of sales, marketing and distribution support for imetelstat, particularly during the remote COVID-19 environment;</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extent to which imetelstat is approved for inclusion on National Comprehensive Cancer Network Clinical Practice Guidelines in Oncology and formularies in hospitals and managed care organizations;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pricing of imetelstat, both in absolute terms and relative to alternative treatments;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availability of coverage and adequate reimbursement by government and third-party payors; and</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the willingness of patients to pay out-of-pocket in the absence of coverage by third-party payors, including governmental authorities.</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The established use of conventional products competitive with imetelstat may limit or preclude the potential for imetelstat to receive market acceptance upon any commercialization. We may be unable to demonstrate any therapeutic or economic advantage for imetelstat compared to established or standard-of-care therapies, or newly developed therapies, for myeloid hematologic malignancies. Third-party payors may decide that any potential benefit that imetelstat may provide to clinical outcomes in myeloid hematologic malignancies is not adequate to justify the costs of treatment with imetelstat. If the healthcare community does not accept imetelstat for any of the foregoing reasons, or for any other reasons, our ability to further develop or potentially commercialize imetelstat may be negatively impacted or precluded altogether, which would seriously and adversely affect our business and business prospects.</w:t>
      </w:r>
    </w:p>
    <w:p>
      <w:pPr>
        <w:pStyle w:val="TextBody"/>
        <w:spacing w:before="0" w:after="0"/>
        <w:jc w:val="left"/>
        <w:rPr>
          <w:rFonts w:ascii="Times New Roman;serif" w:hAnsi="Times New Roman;serif"/>
          <w:b/>
          <w:i/>
          <w:sz w:val="20"/>
        </w:rPr>
      </w:pPr>
      <w:r>
        <w:rPr>
          <w:rFonts w:ascii="Times New Roman;serif" w:hAnsi="Times New Roman;serif"/>
          <w:b/>
          <w:i/>
          <w:sz w:val="20"/>
        </w:rPr>
        <w:t>If the market opportunities for imetelstat are smaller than we believe, our potential revenue may be adversely affected, and our business may suffer.</w:t>
      </w:r>
    </w:p>
    <w:p>
      <w:pPr>
        <w:pStyle w:val="TextBody"/>
        <w:spacing w:before="0" w:after="0"/>
        <w:jc w:val="left"/>
        <w:rPr>
          <w:rFonts w:ascii="Times New Roman" w:hAnsi="Times New Roman"/>
          <w:sz w:val="20"/>
        </w:rPr>
      </w:pPr>
      <w:r>
        <w:rPr>
          <w:rFonts w:ascii="Times New Roman;serif" w:hAnsi="Times New Roman;serif"/>
          <w:b w:val="false"/>
          <w:sz w:val="20"/>
        </w:rPr>
        <w:t>Our initial focus for imetelstat development has been on the lead indications, lower risk MDS and relapsed/refractory MF. The addressable patient populations, if imetelstat is approved in those indications, are based on our estimates. These estimates, which have been derived from a variety of sources, including scientific literature, surveys of clinics, patient foundations and market research, may prove to be incorrect. Further, new information from us or others may change the estimated incidence or prevalence of those indications.</w:t>
      </w:r>
      <w:r>
        <w:rPr>
          <w:rFonts w:ascii="Times New Roman" w:hAnsi="Times New Roman"/>
          <w:sz w:val="20"/>
        </w:rPr>
        <w:t xml:space="preserve"> </w:t>
      </w:r>
    </w:p>
    <w:p>
      <w:pPr>
        <w:pStyle w:val="TextBody"/>
        <w:spacing w:before="0" w:after="0"/>
        <w:jc w:val="left"/>
        <w:rPr>
          <w:rFonts w:ascii="Times New Roman" w:hAnsi="Times New Roman"/>
          <w:sz w:val="20"/>
        </w:rPr>
      </w:pPr>
      <w:r>
        <w:rPr>
          <w:rFonts w:ascii="Times New Roman;serif" w:hAnsi="Times New Roman;serif"/>
          <w:b w:val="false"/>
          <w:sz w:val="20"/>
        </w:rPr>
        <w:t>Any regulatory approval of imetelstat would be limited to the therapeutic indications examined in our clinical trials and as determined by the FDA and similar international regulatory authorities, which would not permit us to market imetelstat for any other indications not expressly approved by those regulatory authorities. Additionally, the potentially addressable patient population for imetelstat may not ultimately be amenable to treatment with imetelstat. Even if we receive regulatory approval for imetelstat, such approval could be conditioned upon label restrictions that materially limit the addressable patient population.</w:t>
      </w:r>
      <w:r>
        <w:rPr>
          <w:rFonts w:ascii="Times New Roman" w:hAnsi="Times New Roman"/>
          <w:sz w:val="20"/>
        </w:rPr>
        <w:t xml:space="preserve">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Our market opportunity may also be limited by the pricing we are able to achieve for imetelstat, if approved, the quality and expiration of our intellectual property rights and licenses, duration of imetelstat treatment in an indication and future competitor treatments that enter the market. If any of our estimates prove to be inaccurate, the market opportunities for imetelstat that we or any potential future collaborative partners develop could be significantly diminished which would have a material adverse impact on our business and business prospects.</w:t>
      </w:r>
    </w:p>
    <w:p>
      <w:pPr>
        <w:pStyle w:val="TextBody"/>
        <w:spacing w:before="0" w:after="0"/>
        <w:jc w:val="left"/>
        <w:rPr>
          <w:rFonts w:ascii="Times New Roman;serif" w:hAnsi="Times New Roman;serif"/>
          <w:b/>
          <w:i/>
          <w:sz w:val="20"/>
        </w:rPr>
      </w:pPr>
      <w:r>
        <w:rPr>
          <w:rFonts w:ascii="Times New Roman;serif" w:hAnsi="Times New Roman;serif"/>
          <w:b/>
          <w:i/>
          <w:sz w:val="20"/>
        </w:rPr>
        <w:t>The adoption of health policy changes and healthcare reform in the U.S. may adversely affect our business and financial results.</w:t>
      </w:r>
    </w:p>
    <w:p>
      <w:pPr>
        <w:pStyle w:val="TextBody"/>
        <w:spacing w:before="0" w:after="0"/>
        <w:jc w:val="left"/>
        <w:rPr>
          <w:rFonts w:ascii="Times New Roman" w:hAnsi="Times New Roman"/>
          <w:sz w:val="20"/>
        </w:rPr>
      </w:pPr>
      <w:r>
        <w:rPr>
          <w:rFonts w:ascii="Times New Roman;serif" w:hAnsi="Times New Roman;serif"/>
          <w:b w:val="false"/>
          <w:sz w:val="20"/>
        </w:rPr>
        <w:t>In the U.S. and some jurisdictions outside the U.S., there have been a number of legislative and regulatory changes and proposed changes regarding the healthcare system that could impact our business. Generally, there has been increasing legislative and enforcement interest in the U.S. with respect to drug pricing, including specialty drug pricing practices, in light of the rising cost of prescription drugs and biologics. Specifically, there have been U.S. Congressional inquiries and federal and state legislative activity designed to, among other things, bring more transparency to drug pricing, review the relationship between pricing and manufacturer patient programs, reduce the price of drugs under Medicare, and reform government program reimbursement methodologies for drugs</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70</w:t>
      </w:r>
    </w:p>
    <w:p>
      <w:pPr>
        <w:pStyle w:val="HorizontalLine"/>
        <w:rPr/>
      </w:pPr>
      <w:r>
        <w:rPr/>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and biologics. In July 2021, the Biden administration released an executive order, “Promoting Competition in the American Economy,” with multiple provisions aimed at prescription drugs. In response to Biden’s executive order, on September 9, 2021, the Department of Health and Human Services, or HHS, released a Comprehensive Plan for Addressing High Drug Prices that outlines principles for drug pricing reform and sets out a variety of potential legislative policies that Congress could pursue as well as potential administrative actions HHS can take to advance these principles. Furthermore, the Inflation Reduction Act of 2022, or the IRA, signed into law by President Biden on August 16, 2022, includes several provisions to lower prescription drug costs for people with Medicare and reduce drug spending by the federal government. Some of the specific provisions under the IRA that could impact us include:</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Requirement that the federal government negotiate prices for certain high-expenditure single-source drugs covered under Medicare Part B and D with the highest total spending, beginning in 2026; and</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Requirement that drug companies pay rebates to Medicare if prices rise faster than inflation for drugs used by Medicare beneficiaries, beginning in 2023.</w:t>
      </w:r>
    </w:p>
    <w:p>
      <w:pPr>
        <w:pStyle w:val="TextBody"/>
        <w:spacing w:before="0" w:after="0"/>
        <w:jc w:val="left"/>
        <w:rPr>
          <w:rFonts w:ascii="Times New Roman" w:hAnsi="Times New Roman"/>
          <w:sz w:val="20"/>
        </w:rPr>
      </w:pPr>
      <w:r>
        <w:rPr>
          <w:rFonts w:ascii="Times New Roman;serif" w:hAnsi="Times New Roman;serif"/>
          <w:b w:val="false"/>
          <w:sz w:val="20"/>
        </w:rPr>
        <w:t>Furthermore, the Biden administration released an additional executive order on October 14, 2022, directing HHS to submit a report on how the Center for Medicare and Medicaid Innovation can be further leveraged to test new models for lowering drug costs for Medicare and Medicaid beneficiaries. HHS subsequently released a report outlining three new models for testing by the Center for Medicare and Medicaid Innovation which will be evaluated on their ability to lower the cost of drugs, promote accessibility, and improve quality of care. It is unclear whether the models will be utilized in any health reform measures in the future. We expect that additional state and federal healthcare reform measures may be adopted in the future, any of which could limit the amounts that federal and state governments will pay for healthcare products and services, which could affect pricing for imetelstat if it is approved.</w:t>
      </w:r>
      <w:r>
        <w:rPr>
          <w:rFonts w:ascii="Times New Roman" w:hAnsi="Times New Roman"/>
          <w:sz w:val="20"/>
        </w:rPr>
        <w:t xml:space="preserve"> </w:t>
      </w:r>
    </w:p>
    <w:p>
      <w:pPr>
        <w:pStyle w:val="TextBody"/>
        <w:spacing w:before="0" w:after="0"/>
        <w:jc w:val="left"/>
        <w:rPr>
          <w:rFonts w:ascii="Times New Roman" w:hAnsi="Times New Roman"/>
          <w:sz w:val="20"/>
        </w:rPr>
      </w:pPr>
      <w:r>
        <w:rPr>
          <w:rFonts w:ascii="Times New Roman;serif" w:hAnsi="Times New Roman;serif"/>
          <w:b w:val="false"/>
          <w:sz w:val="20"/>
        </w:rPr>
        <w:t>Moreover, the U.S. and some jurisdictions in other countries are considering or have enacted legislative and regulatory proposals to contain healthcare costs, as well as to improve quality and expand access. For example, in March 2010, the Patient Protection and Affordable Care Act, as amended by the Health Care and Education Reconciliation Act, or collectively, the ACA was signed into law, which included a number of provisions of importance to the biopharmaceutical industry. There have been judicial and Congressional challenges to certain aspects of the ACA, and it is possible that the ACA will be subject to judicial or Congressional challenges in the future. In addition, the IRA, among other things, extends enhanced subsidies for individuals purchasing health insurance coverage in ACA marketplaces through plan year 2025. The IRA also eliminates the “donut hole” under the Medicare Part D program beginning in 2025 by significantly lowering the beneficiary maximum out-of-pocket cost and creating a new manufacturer discount program. We expect that other healthcare reform measures that may be adopted in the future may result in more rigorous coverage criteria and lower reimbursement, and additional downward pressure on the price that may be charged for imetelstat.</w:t>
      </w:r>
      <w:r>
        <w:rPr>
          <w:rFonts w:ascii="Times New Roman" w:hAnsi="Times New Roman"/>
          <w:sz w:val="20"/>
        </w:rPr>
        <w:t xml:space="preserve">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If future legislation were to impose direct governmental price controls and access restrictions, it could have a significant adverse impact on our business and financial results. Managed care organizations, as well as Medicaid and other government agencies, continue to seek price discounts. At the state level, legislatures have increasingly passed legislation and implemented regulations designed to control pharmaceutical and biologic product pricing, including price or patient reimbursement constraints, discounts, restrictions on certain product access and marketing cost disclosure and transparency measures, and, in some cases, to encourage importation from other countries and bulk purchasing. Due to the volatility in the current economic and market dynamics, we are unable to predict the impact of any unforeseen or unknown legislative, regulatory, payor or policy actions, which may include cost containment and healthcare reform measures. Such policy actions could have a material adverse impact on future worldwide sales of imetelstat, if approved.</w:t>
      </w:r>
    </w:p>
    <w:p>
      <w:pPr>
        <w:pStyle w:val="TextBody"/>
        <w:spacing w:before="0" w:after="0"/>
        <w:jc w:val="left"/>
        <w:rPr>
          <w:rFonts w:ascii="Times New Roman;serif" w:hAnsi="Times New Roman;serif"/>
          <w:b w:val="false"/>
          <w:sz w:val="20"/>
        </w:rPr>
      </w:pPr>
      <w:r>
        <w:rPr>
          <w:rFonts w:ascii="Times New Roman;serif" w:hAnsi="Times New Roman;serif"/>
          <w:b w:val="false"/>
          <w:sz w:val="20"/>
        </w:rPr>
        <w:t>Cost control initiatives also could decrease the price that we may receive for imetelstat in the future. If imetelstat is not considered cost-effective or adequate third-party reimbursement for the users of imetelstat cannot be obtained, then we may be unable to maintain price levels sufficient to realize an appropriate return on our investment in imetelstat. Any of these events would severely and adversely affect our financial results, business and business prospects, and might cause us to cease operations.</w:t>
      </w:r>
    </w:p>
    <w:p>
      <w:pPr>
        <w:pStyle w:val="TextBody"/>
        <w:spacing w:before="0" w:after="0"/>
        <w:jc w:val="left"/>
        <w:rPr>
          <w:rFonts w:ascii="Times New Roman" w:hAnsi="Times New Roman"/>
          <w:sz w:val="20"/>
        </w:rPr>
      </w:pPr>
      <w:r>
        <w:rPr>
          <w:rFonts w:ascii="Times New Roman;serif" w:hAnsi="Times New Roman;serif"/>
          <w:b/>
          <w:i/>
          <w:sz w:val="20"/>
        </w:rPr>
        <w:t>Our employees, independent contractors, principal investigators, clinical trial sites, contract research organizations, consultants or vendors may engage in misconduct or other improper activities, including noncompliance with regulatory standards and requirements.</w:t>
      </w:r>
      <w:r>
        <w:rPr>
          <w:rFonts w:ascii="Times New Roman" w:hAnsi="Times New Roman"/>
          <w:sz w:val="20"/>
        </w:rPr>
        <w:t xml:space="preserve">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We are exposed to the risk that our employees, independent contractors, principal investigators, clinical trial sites, CROs, consultants or vendors may engage in fraudulent or other illegal activity. Misconduct by these parties could include intentional, reckless and/or negligent conduct or disclosure of unauthorized activities to us that violate the FDA’s or similar international regulatory authorities’ regulations, including those laws requiring the reporting of true, complete and accurate information; manufacturing standards; healthcare fraud and abuse laws and regulations; or laws that require the true, complete and accurate reporting of financial information or data. Specifically,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w:t>
      </w:r>
    </w:p>
    <w:p>
      <w:pPr>
        <w:pStyle w:val="TextBody"/>
        <w:spacing w:before="0" w:after="0"/>
        <w:jc w:val="left"/>
        <w:rPr>
          <w:rFonts w:ascii="Times New Roman" w:hAnsi="Times New Roman"/>
          <w:sz w:val="20"/>
        </w:rPr>
      </w:pPr>
      <w:r>
        <w:rPr>
          <w:rFonts w:ascii="Times New Roman;serif" w:hAnsi="Times New Roman;serif"/>
          <w:b w:val="false"/>
          <w:sz w:val="20"/>
        </w:rPr>
        <w:t>Activities subject to these laws also involve the improper use or misrepresentation of information obtained in the course of clinical trials or creating fraudulent data in our non-clinical studies or clinical trials, which could result in regulatory sanctions and serious harm to our reputation. It is not always possible to identify and deter misconduct by our employees and third parties, and the</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71</w:t>
      </w:r>
    </w:p>
    <w:p>
      <w:pPr>
        <w:pStyle w:val="HorizontalLine"/>
        <w:rPr/>
      </w:pPr>
      <w:r>
        <w:rPr/>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Additionally, we are subject to the risk that a person could allege such fraud or other misconduct, even if none occurred. If any such actions are instituted against us, and we are not successful in defending ourselves or asserting our rights, those actions could adversely affect our business, financial condition, results of operations or prospects through:</w:t>
      </w:r>
      <w:r>
        <w:rPr>
          <w:rFonts w:ascii="Times New Roman" w:hAnsi="Times New Roman"/>
          <w:sz w:val="20"/>
        </w:rPr>
        <w:t xml:space="preserve">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imposition of civil, criminal and administrative penalties, damages, monetary fines;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possible exclusion from participation in Medicare, Medicaid and other federal healthcare programs;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contractual damages;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reputational harm;</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diminished potential profits and future earnings; and</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curtailment of our operations.</w:t>
      </w:r>
    </w:p>
    <w:p>
      <w:pPr>
        <w:pStyle w:val="TextBody"/>
        <w:spacing w:before="0" w:after="0"/>
        <w:jc w:val="center"/>
        <w:rPr>
          <w:rFonts w:ascii="Times New Roman;serif" w:hAnsi="Times New Roman;serif"/>
          <w:b/>
          <w:caps/>
          <w:sz w:val="20"/>
        </w:rPr>
      </w:pPr>
      <w:r>
        <w:rPr>
          <w:rFonts w:ascii="Times New Roman;serif" w:hAnsi="Times New Roman;serif"/>
          <w:b/>
          <w:caps/>
          <w:sz w:val="20"/>
        </w:rPr>
        <w:t>Risks Related to Our Common Stock and Financial Reporting</w:t>
      </w:r>
    </w:p>
    <w:p>
      <w:pPr>
        <w:pStyle w:val="TextBody"/>
        <w:spacing w:before="0" w:after="0"/>
        <w:jc w:val="left"/>
        <w:rPr>
          <w:rFonts w:ascii="Times New Roman;serif" w:hAnsi="Times New Roman;serif"/>
          <w:b/>
          <w:i/>
          <w:sz w:val="20"/>
        </w:rPr>
      </w:pPr>
      <w:r>
        <w:rPr>
          <w:rFonts w:ascii="Times New Roman;serif" w:hAnsi="Times New Roman;serif"/>
          <w:b/>
          <w:i/>
          <w:sz w:val="20"/>
        </w:rPr>
        <w:t>Historically, our stock price has been extremely volatile and your investment may suffer a decline in value.</w:t>
      </w:r>
    </w:p>
    <w:p>
      <w:pPr>
        <w:pStyle w:val="TextBody"/>
        <w:spacing w:before="0" w:after="0"/>
        <w:jc w:val="left"/>
        <w:rPr>
          <w:rFonts w:ascii="Times New Roman;serif" w:hAnsi="Times New Roman;serif"/>
          <w:b w:val="false"/>
          <w:sz w:val="20"/>
        </w:rPr>
      </w:pPr>
      <w:r>
        <w:rPr>
          <w:rFonts w:ascii="Times New Roman;serif" w:hAnsi="Times New Roman;serif"/>
          <w:b w:val="false"/>
          <w:sz w:val="20"/>
        </w:rPr>
        <w:t>Historically, our stock price has been extremely volatile. Between January 1, 2014 and March 31, 2023, our stock has traded as high as $6.99 per share and as low as $0.75 per share. Between April 1, 2022 and March 31, 2023, the price has ranged between a high of $3.84 per share and a low of $1.18 per share. The significant market price fluctuations of our common stock have been due to and may in the future be influenced by a variety of factors, including:</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announcements regarding our ability to timely submit applications for regulatory approvals of imetelstat in lower risk MDS;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regulatory approval or non-approval of imetelstat, specific label indications for or restrictions, warnings or limitations in its use, or delays in the regulatory review process;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announcements regarding the research and development of imetelstat, or adverse efficacy or safety results of, further delays in the commencement, enrollment or conduct of, discontinuation of, or further modifications or refinements to any current clinical trials of imetelstat, including IMerge Phase 3, IMpactMF, IMproveMF and IMpress, or for potential future clinical trials of imetelstat, for any reason, or our inability, for any reason, to successfully continue the development of imetelstat;</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obtaining additional capital on commercially reasonable terms to further advance the imetelstat program, including through the completion of IMpactMF, IMproveMF and IMpress, and to conduct the clinical, regulatory and potential commercialization activities necessary to potentially bring imetelstat to market in relapsed/refractory MF and other future indications;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timeliness of preliminary, interim or final clinical trial data expected to be reported with respect to current or potential future clinical trials of imetelstat, and investor perceptions thereof;</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not receiving timely regulatory clearances or approvals in any jurisdiction, whether within or outside of the U.S. to continue clinical development of imetelstat in relapsed/refractory MF, lower risk MDS or any additional myeloid hematologic malignancies in a timely manner or at all;</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changes in laws or regulations applicable to imetelstat, including but not limited to clinical trial requirements for approval;</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announcements regarding the safety of imetelstat and partial or full clinical holds placed on the imetelstat INDs by the FDA or similar international regulatory authorities, or other regulatory developments related to imetelstat;</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successful completion of any clinical trials, regulatory approval and commercialization of imetelstat for one or more label expansion indications;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announcements of technological innovations, new commercial products, or clinical progress or lack thereof by us, potential future collaborative partners or our competitors;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adverse developments concerning our manufacturers, including our inability to obtain adequate product supply for imetelstat or inability to do so at acceptable prices;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failure to launch and commercialize imetelstat on the timelines anticipated, or at all;</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size and growth of our lead indications, lower risk MDS and relapsed/refractory MF;</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disputes or other developments relating to imetelstat proprietary rights, including patents, litigation matters and our ability to obtain patent protection for our technologies;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72</w:t>
      </w:r>
    </w:p>
    <w:p>
      <w:pPr>
        <w:pStyle w:val="HorizontalLine"/>
        <w:rPr/>
      </w:pPr>
      <w:r>
        <w:rPr/>
      </w:r>
    </w:p>
    <w:p>
      <w:pPr>
        <w:pStyle w:val="TextBody"/>
        <w:spacing w:before="0" w:after="0"/>
        <w:jc w:val="left"/>
        <w:rPr/>
      </w:pPr>
      <w:r>
        <w:rPr/>
        <w:t>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terms and timing of any future collaboration agreements for the development and potential commercialization of imetelstat that we may establish;</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announcements of significant acquisitions, strategic partnerships, collaborations, joint ventures or capital commitments by us or our competitors;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our ability to acquire or in-license new product candidates to grow our pipeline;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demand in the market for our common stock;</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fluctuations in our operating results;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increased or continuing operating losses;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general domestic and international market conditions or market conditions relating to the biopharmaceutical and pharmaceutical industries, especially given the volatility caused by macroeconomic conditions like the COVID-19 pandemic, civil or political unrest or military conflicts around the world, such as the military conflict between Ukraine and Russia, inflation, rising interest rates or prospects of a recession;</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perceptions of the biotechnology and pharmaceutical industry by the public, legislature, regulators and the investment community;</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comments by securities analysts or other third parties, including blogs, articles and other media;</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failure to meet the estimates and projections of the investment community or that we may otherwise provide to the public;</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publication of research reports about us or our industry, or positive or negative recommendations or withdrawal of research coverage by securities analysts;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large stockholders increasing or exiting their position in our common stock or an increase in the short interest in our common stock;</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changes in the market valuations of similar companies;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announcements of or developments concerning pending and potential future litigation;</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actions instituted by activist shareholders or others;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issuance of common stock to partners, vendors or investors to raise additional capital;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other events or factors that are beyond our control; and</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the occurrence of any other risks and uncertainties discussed under the heading “Risk Factors.”</w:t>
      </w:r>
    </w:p>
    <w:p>
      <w:pPr>
        <w:pStyle w:val="TextBody"/>
        <w:spacing w:before="0" w:after="0"/>
        <w:jc w:val="left"/>
        <w:rPr>
          <w:rFonts w:ascii="Times New Roman;serif" w:hAnsi="Times New Roman;serif"/>
          <w:b w:val="false"/>
          <w:sz w:val="20"/>
        </w:rPr>
      </w:pPr>
      <w:r>
        <w:rPr>
          <w:rFonts w:ascii="Times New Roman;serif" w:hAnsi="Times New Roman;serif"/>
          <w:b w:val="false"/>
          <w:sz w:val="20"/>
        </w:rPr>
        <w:t>Stock prices and trading volumes for many biopharmaceutical companies fluctuate widely for a number of reasons, including factors which may be unrelated to their businesses or results of operations, such as media coverage, statements made on message boards and social media forums, legislative and regulatory measures and the activities of various interest groups or organizations. In addition to the risk factors described in this section, overall market volatility, as well as general domestic or international economic, market and political conditions, including those resulting from the effects of macroeconomic conditions like the COVID-19 pandemic, civil or political unrest or military conflicts around the world, such as the military conflict between Ukraine and Russia, inflation, rising interest rates or prospects of a recession, could materially and adversely affect the market price of our common stock and the return on your investment in our securities.</w:t>
      </w:r>
    </w:p>
    <w:p>
      <w:pPr>
        <w:pStyle w:val="TextBody"/>
        <w:spacing w:before="0" w:after="0"/>
        <w:jc w:val="left"/>
        <w:rPr>
          <w:rFonts w:ascii="Times New Roman" w:hAnsi="Times New Roman"/>
          <w:sz w:val="20"/>
        </w:rPr>
      </w:pPr>
      <w:r>
        <w:rPr>
          <w:rFonts w:ascii="Times New Roman;serif" w:hAnsi="Times New Roman;serif"/>
          <w:b w:val="false"/>
          <w:sz w:val="20"/>
        </w:rPr>
        <w:t xml:space="preserve">In addition, as further discussed in the Risk Factor above entitled </w:t>
      </w:r>
      <w:r>
        <w:rPr>
          <w:rFonts w:ascii="Times New Roman" w:hAnsi="Times New Roman"/>
          <w:sz w:val="20"/>
        </w:rPr>
        <w:t>“</w:t>
      </w:r>
      <w:r>
        <w:rPr>
          <w:rFonts w:ascii="Times New Roman;serif" w:hAnsi="Times New Roman;serif"/>
          <w:b w:val="false"/>
          <w:i/>
          <w:sz w:val="20"/>
        </w:rPr>
        <w:t>We and certain of our officers have been named as defendants in pending securities class action lawsuits and shareholder derivative lawsuits. These lawsuits, and potential similar or related lawsuits, could result in substantial damages, divert management’s time and attention from our business, and have a material adverse effect on our results of operations. These lawsuits, and any other lawsuits to which we are subject, will be costly to defend or pursue and are uncertain in their outcome”</w:t>
      </w:r>
      <w:r>
        <w:rPr>
          <w:rFonts w:ascii="Times New Roman;serif" w:hAnsi="Times New Roman;serif"/>
          <w:b w:val="false"/>
          <w:sz w:val="20"/>
        </w:rPr>
        <w:t>,</w:t>
      </w:r>
      <w:r>
        <w:rPr>
          <w:rFonts w:ascii="Times New Roman" w:hAnsi="Times New Roman"/>
          <w:sz w:val="20"/>
        </w:rPr>
        <w:t xml:space="preserve"> </w:t>
      </w:r>
      <w:r>
        <w:rPr>
          <w:rFonts w:ascii="Times New Roman;serif" w:hAnsi="Times New Roman;serif"/>
          <w:b w:val="false"/>
          <w:sz w:val="20"/>
        </w:rPr>
        <w:t>we and one of our officers have been named as defendants in pending securities class action lawsuits. In addition, certain of our current officers and current and former board members have been named as defendants in the pending Derivative Lawsuits filed in the Northern District, the Court of Chancery of the State of Delaware, and the District Court for the District of Delaware, respectively. Such lawsuits have often been instituted against companies, including us, whose securities have experienced periods of volatility in market price. The pending lawsuits and any lawsuits brought against us in the future could result in substantial costs, which would hurt our financial condition and results of operations and divert management’s attention and resources, which could result in delays of IMpactMF, IMproveMF and IMpress, and/or could preclude or delay potential future clinical trials, or could preclude or delay commercialization efforts.</w:t>
      </w:r>
    </w:p>
    <w:p>
      <w:pPr>
        <w:pStyle w:val="TextBody"/>
        <w:spacing w:before="0" w:after="0"/>
        <w:jc w:val="left"/>
        <w:rPr>
          <w:rFonts w:ascii="Times New Roman;serif" w:hAnsi="Times New Roman;serif"/>
          <w:b/>
          <w:i/>
          <w:sz w:val="20"/>
        </w:rPr>
      </w:pPr>
      <w:r>
        <w:rPr>
          <w:rFonts w:ascii="Times New Roman;serif" w:hAnsi="Times New Roman;serif"/>
          <w:b/>
          <w:i/>
          <w:sz w:val="20"/>
        </w:rPr>
        <w:t>The sale of a substantial number of shares may adversely affect the market price of our common stock.</w:t>
      </w:r>
    </w:p>
    <w:p>
      <w:pPr>
        <w:pStyle w:val="TextBody"/>
        <w:spacing w:before="0" w:after="0"/>
        <w:jc w:val="left"/>
        <w:rPr>
          <w:rFonts w:ascii="Times New Roman;serif" w:hAnsi="Times New Roman;serif"/>
          <w:b w:val="false"/>
          <w:sz w:val="20"/>
        </w:rPr>
      </w:pPr>
      <w:r>
        <w:rPr>
          <w:rFonts w:ascii="Times New Roman;serif" w:hAnsi="Times New Roman;serif"/>
          <w:b w:val="false"/>
          <w:sz w:val="20"/>
        </w:rPr>
        <w:t>As of March 31, 2023, 508,731,846 shares of common stock are issued and outstanding, and we had reserved 166,198,154 shares of our common stock for future issuance pursuant to our stock option and equity incentive plans and outstanding warrants.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73</w:t>
      </w:r>
    </w:p>
    <w:p>
      <w:pPr>
        <w:pStyle w:val="HorizontalLine"/>
        <w:rPr/>
      </w:pPr>
      <w:r>
        <w:rPr/>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Future sales of our common stock or the perception that such sales could occur, or the issuance of common stock to fund our operations and imetelstat development, including pursuant to the 2020 Sales Agreement with B. Riley or upon the potential exercise of currently outstanding warrants, could cause immediate dilution and adversely affect the market price of our common stock. The sale or issuance of our securities, as well as the existence of outstanding stock options and shares of common stock reserved for issuance under our stock option and equity incentive plans and outstanding warrants, also may adversely affect the terms upon which we are able to obtain additional capital through the sale of equity securities, which could negatively affect the market price of our common stock and the return on stockholders’ investment.</w:t>
      </w:r>
    </w:p>
    <w:p>
      <w:pPr>
        <w:pStyle w:val="TextBody"/>
        <w:spacing w:before="0" w:after="0"/>
        <w:jc w:val="left"/>
        <w:rPr>
          <w:rFonts w:ascii="Times New Roman;serif" w:hAnsi="Times New Roman;serif"/>
          <w:b/>
          <w:i/>
          <w:sz w:val="20"/>
        </w:rPr>
      </w:pPr>
      <w:r>
        <w:rPr>
          <w:rFonts w:ascii="Times New Roman;serif" w:hAnsi="Times New Roman;serif"/>
          <w:b/>
          <w:i/>
          <w:sz w:val="20"/>
        </w:rPr>
        <w:t>Our undesignated preferred stock may inhibit potential acquisition bids; this may adversely affect the market price of our common stock and the voting rights of holders of our common stock.</w:t>
      </w:r>
    </w:p>
    <w:p>
      <w:pPr>
        <w:pStyle w:val="TextBody"/>
        <w:spacing w:before="0" w:after="0"/>
        <w:jc w:val="left"/>
        <w:rPr>
          <w:rFonts w:ascii="Times New Roman;serif" w:hAnsi="Times New Roman;serif"/>
          <w:b w:val="false"/>
          <w:sz w:val="20"/>
        </w:rPr>
      </w:pPr>
      <w:r>
        <w:rPr>
          <w:rFonts w:ascii="Times New Roman;serif" w:hAnsi="Times New Roman;serif"/>
          <w:b w:val="false"/>
          <w:sz w:val="20"/>
        </w:rPr>
        <w:t>Our certificate of incorporation provides our board of directors with the authority to issue up to 3,000,000 shares of undesignated preferred stock and to determine or alter the rights, preferences, privileges and restrictions granted to or imported upon these shares without further vote or action by our stockholders. The issuance of shares of preferred stock may delay or prevent a change in control transaction without further action by our stockholders. As a result, the market price of our common stock may be adversely affected.</w:t>
      </w:r>
    </w:p>
    <w:p>
      <w:pPr>
        <w:pStyle w:val="TextBody"/>
        <w:spacing w:before="0" w:after="0"/>
        <w:jc w:val="left"/>
        <w:rPr>
          <w:rFonts w:ascii="Times New Roman;serif" w:hAnsi="Times New Roman;serif"/>
          <w:b w:val="false"/>
          <w:sz w:val="20"/>
        </w:rPr>
      </w:pPr>
      <w:r>
        <w:rPr>
          <w:rFonts w:ascii="Times New Roman;serif" w:hAnsi="Times New Roman;serif"/>
          <w:b w:val="false"/>
          <w:sz w:val="20"/>
        </w:rPr>
        <w:t>In addition, if in the future, we issue preferred stock that has preference over our common stock with respect to the payment of dividends or upon our liquidation, dissolution or winding up, or if we issue preferred stock with voting rights that dilute the voting power of our common stock, the rights of holders of our common stock or the market price of our common stock could be adversely affected.</w:t>
      </w:r>
    </w:p>
    <w:p>
      <w:pPr>
        <w:pStyle w:val="TextBody"/>
        <w:spacing w:before="0" w:after="0"/>
        <w:jc w:val="left"/>
        <w:rPr>
          <w:rFonts w:ascii="Times New Roman;serif" w:hAnsi="Times New Roman;serif"/>
          <w:b/>
          <w:i/>
          <w:sz w:val="20"/>
        </w:rPr>
      </w:pPr>
      <w:r>
        <w:rPr>
          <w:rFonts w:ascii="Times New Roman;serif" w:hAnsi="Times New Roman;serif"/>
          <w:b/>
          <w:i/>
          <w:sz w:val="20"/>
        </w:rPr>
        <w:t>Provisions in our charter, bylaws and Delaware law may inhibit potential acquisition bids for us, which may prevent holders of our common stock from benefiting from what they believe may be the positive aspects of acquisitions and takeovers.</w:t>
      </w:r>
    </w:p>
    <w:p>
      <w:pPr>
        <w:pStyle w:val="TextBody"/>
        <w:spacing w:before="0" w:after="0"/>
        <w:jc w:val="left"/>
        <w:rPr>
          <w:rFonts w:ascii="Times New Roman;serif" w:hAnsi="Times New Roman;serif"/>
          <w:b w:val="false"/>
          <w:sz w:val="20"/>
        </w:rPr>
      </w:pPr>
      <w:r>
        <w:rPr>
          <w:rFonts w:ascii="Times New Roman;serif" w:hAnsi="Times New Roman;serif"/>
          <w:b w:val="false"/>
          <w:sz w:val="20"/>
        </w:rPr>
        <w:t>Provisions of our charter documents and bylaws may make it substantially more difficult for a third-party to acquire control of us and may prevent changes in our management, including provisions that:</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prevent stockholders from taking actions by written consent;</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divide the board of directors into separate classes with terms of office that are structured to prevent all of the directors from being elected in any one year; and</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set forth procedures for nominating directors and submitting proposals for consideration at stockholders’ meetings.</w:t>
      </w:r>
    </w:p>
    <w:p>
      <w:pPr>
        <w:pStyle w:val="TextBody"/>
        <w:spacing w:before="0" w:after="0"/>
        <w:jc w:val="left"/>
        <w:rPr>
          <w:rFonts w:ascii="Times New Roman;serif" w:hAnsi="Times New Roman;serif"/>
          <w:b w:val="false"/>
          <w:sz w:val="20"/>
        </w:rPr>
      </w:pPr>
      <w:r>
        <w:rPr>
          <w:rFonts w:ascii="Times New Roman;serif" w:hAnsi="Times New Roman;serif"/>
          <w:b w:val="false"/>
          <w:sz w:val="20"/>
        </w:rPr>
        <w:t>Provisions of Delaware law may also inhibit potential acquisition bids for us or prevent us from engaging in business combinations. In addition, we have individual severance agreements with our executive officers and a company-wide severance plan, either of which could require a potential acquirer to pay a higher price. Either collectively or individually, these provisions may prevent holders of our common stock from benefiting from what they may believe are the positive aspects of acquisitions and takeovers, including the potential realization of a higher rate of return on their investment from these types of transactions.</w:t>
      </w:r>
    </w:p>
    <w:p>
      <w:pPr>
        <w:pStyle w:val="TextBody"/>
        <w:spacing w:before="0" w:after="0"/>
        <w:jc w:val="left"/>
        <w:rPr>
          <w:rFonts w:ascii="Times New Roman;serif" w:hAnsi="Times New Roman;serif"/>
          <w:b/>
          <w:i/>
          <w:sz w:val="20"/>
        </w:rPr>
      </w:pPr>
      <w:r>
        <w:rPr>
          <w:rFonts w:ascii="Times New Roman;serif" w:hAnsi="Times New Roman;serif"/>
          <w:b/>
          <w:i/>
          <w:sz w:val="20"/>
        </w:rPr>
        <w:t>Our amended and restated bylaws provide that the Court of Chancery of the State of Delaware will be the sole and exclusive forum for certain types of actions and proceedings that may be initiated by our stockholders, which could limit our stockholders’ ability to obtain a favorable judicial forum for disputes with us or our directors, officers, or employees.</w:t>
      </w:r>
    </w:p>
    <w:p>
      <w:pPr>
        <w:pStyle w:val="TextBody"/>
        <w:spacing w:before="0" w:after="0"/>
        <w:jc w:val="left"/>
        <w:rPr>
          <w:rFonts w:ascii="Times New Roman;serif" w:hAnsi="Times New Roman;serif"/>
          <w:b w:val="false"/>
          <w:sz w:val="20"/>
        </w:rPr>
      </w:pPr>
      <w:r>
        <w:rPr>
          <w:rFonts w:ascii="Times New Roman;serif" w:hAnsi="Times New Roman;serif"/>
          <w:b w:val="false"/>
          <w:sz w:val="20"/>
        </w:rPr>
        <w:t>Our amended and restated bylaws provide that, unless we consent to the selection of an alternative forum, the Court of Chancery of the State of Delaware will be the sole and exclusive forum for:</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any derivative action or proceeding brought on our behalf;</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any action asserting a claim of breach of a fiduciary duty owed by any of our directors, officers or other employees to us or to our stockholders;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any action asserting a claim arising pursuant to any provision of the General Corporation Law of the State of Delaware, our certificate of incorporation, or our bylaws; or</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any action asserting a claim governed by the internal affairs doctrine.</w:t>
      </w:r>
    </w:p>
    <w:p>
      <w:pPr>
        <w:pStyle w:val="TextBody"/>
        <w:spacing w:before="0" w:after="0"/>
        <w:jc w:val="left"/>
        <w:rPr>
          <w:rFonts w:ascii="Times New Roman;serif" w:hAnsi="Times New Roman;serif"/>
          <w:b w:val="false"/>
          <w:sz w:val="20"/>
        </w:rPr>
      </w:pPr>
      <w:r>
        <w:rPr>
          <w:rFonts w:ascii="Times New Roman;serif" w:hAnsi="Times New Roman;serif"/>
          <w:b w:val="false"/>
          <w:sz w:val="20"/>
        </w:rPr>
        <w:t>While the exclusive forum provisions in our bylaws do not apply to lawsuits brought to enforce a duty or liability created by the Exchange Act or the Securities Act of 1933, as amended, or any claim for which the federal courts have exclusive jurisdiction, these provisions may nonetheless limit a stockholder’s ability to bring a claim in a judicial forum that it finds favorable for disputes with us or our current or former directors, officers, or other employees, which may discourage such lawsuits against us and our current or former directors, officers, and other employees. Alternatively, if a court were to find the exclusive forum provisions contained in our bylaws to be inapplicable or unenforceable in an action, we may incur additional costs associated with resolving such action in other jurisdictions, which could have a material and adverse impact on our business and our financial condition.</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74</w:t>
      </w:r>
    </w:p>
    <w:p>
      <w:pPr>
        <w:pStyle w:val="HorizontalLine"/>
        <w:rPr/>
      </w:pPr>
      <w:r>
        <w:rPr/>
      </w:r>
    </w:p>
    <w:p>
      <w:pPr>
        <w:pStyle w:val="TextBody"/>
        <w:spacing w:before="0" w:after="0"/>
        <w:jc w:val="left"/>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We do not intend to pay cash dividends on our common stock in the foreseeable future.</w:t>
      </w:r>
    </w:p>
    <w:p>
      <w:pPr>
        <w:pStyle w:val="TextBody"/>
        <w:spacing w:before="0" w:after="0"/>
        <w:jc w:val="left"/>
        <w:rPr>
          <w:rFonts w:ascii="Times New Roman" w:hAnsi="Times New Roman"/>
          <w:sz w:val="20"/>
        </w:rPr>
      </w:pPr>
      <w:r>
        <w:rPr>
          <w:rFonts w:ascii="Times New Roman;serif" w:hAnsi="Times New Roman;serif"/>
          <w:b w:val="false"/>
          <w:sz w:val="20"/>
        </w:rPr>
        <w:t>We do not anticipate paying cash dividends on our common stock in the foreseeable future. Any payment of cash dividends will depend upon our financial condition, results of operations, capital requirements and other factors, and will be at the discretion of our board of directors. In addition, the terms of our Loan Agreement prevent us from paying dividends and any future debt agreements may continue to preclude us from paying dividends. As a result, capital appreciation, if any, of our common stock will be the sole source of gain for our stockholders for the foreseeable future.</w:t>
      </w:r>
      <w:r>
        <w:rPr>
          <w:rFonts w:ascii="Times New Roman" w:hAnsi="Times New Roman"/>
          <w:sz w:val="20"/>
        </w:rPr>
        <w:t xml:space="preserve"> </w:t>
      </w:r>
    </w:p>
    <w:p>
      <w:pPr>
        <w:pStyle w:val="TextBody"/>
        <w:spacing w:before="0" w:after="0"/>
        <w:jc w:val="center"/>
        <w:rPr/>
      </w:pPr>
      <w:r>
        <w:rPr/>
        <w:t> </w:t>
      </w:r>
    </w:p>
    <w:p>
      <w:pPr>
        <w:pStyle w:val="TextBody"/>
        <w:spacing w:before="0" w:after="0"/>
        <w:jc w:val="center"/>
        <w:rPr>
          <w:rFonts w:ascii="Times New Roman;serif" w:hAnsi="Times New Roman;serif"/>
          <w:b/>
          <w:sz w:val="20"/>
        </w:rPr>
      </w:pPr>
      <w:r>
        <w:rPr>
          <w:rFonts w:ascii="Times New Roman;serif" w:hAnsi="Times New Roman;serif"/>
          <w:b/>
          <w:sz w:val="20"/>
        </w:rPr>
        <w:t>RISKS RELATED TO INFORMATION TECHNOLOGY SYSTEMS, DATA SECURITY AND DATA PRIVACY</w:t>
      </w:r>
    </w:p>
    <w:p>
      <w:pPr>
        <w:pStyle w:val="TextBody"/>
        <w:spacing w:before="0" w:after="0"/>
        <w:jc w:val="left"/>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If our information technology systems or data, or those of third parties upon which we rely, are or were compromised, we could experience adverse consequences resulting from such compromise, including, but not limited to, regulatory investigations and actions; litigation; fines and penalties; a disruption of our business operations such as our clinical trials; reputational harm; loss of revenue and profits; and other adverse consequences.</w:t>
      </w:r>
    </w:p>
    <w:p>
      <w:pPr>
        <w:pStyle w:val="TextBody"/>
        <w:spacing w:before="0" w:after="0"/>
        <w:jc w:val="left"/>
        <w:rPr>
          <w:rFonts w:ascii="Times New Roman;serif" w:hAnsi="Times New Roman;serif"/>
          <w:b w:val="false"/>
          <w:sz w:val="20"/>
        </w:rPr>
      </w:pPr>
      <w:r>
        <w:rPr>
          <w:rFonts w:ascii="Times New Roman;serif" w:hAnsi="Times New Roman;serif"/>
          <w:b w:val="false"/>
          <w:sz w:val="20"/>
        </w:rPr>
        <w:t>In the ordinary course of our business, we (and third parties upon which we rely) may collect, receive, store, process, use, transfer, make accessible, protect, secure, dispose of, transmit, disclose, or otherwise process (commonly known as processing) proprietary, confidential, and sensitive data, including personal data (such as health-related data and participant study related data), intellectual property, and trade secrets (collectively, sensitive information). In addition, we rely on third-party service providers to establish and maintain appropriate information technology and data security protections over the information technology systems they provide us to operate our critical business systems, including cloud-based infrastructure and systems, employee email, and data storage and management systems. However, except for contractual duties and obligations, we have limited ability to control their safeguards and actions related to such matters, and these third parties may not have adequate information security measures in place. Furthermore, while we may be entitled to damages if our third-party service providers fail to satisfy their privacy or security-related obligations to us, any award may be insufficient to cover our damages, or we may be unable to recover such award. We may share or receive sensitive information with or from third parties. In particular, the COVID-19 pandemic has caused us to modify our business and information technology practices, including that most of our employees continue to work remotely, which has increased risks to our information technology systems and data, as employees utilize network connections, computers, and devices outside our premises and networks, including working at home, while in transit and in public locations. Additionally, the prevalent use of mobile devices that access our sensitive information increases the risk of breaches.</w:t>
      </w:r>
    </w:p>
    <w:p>
      <w:pPr>
        <w:pStyle w:val="TextBody"/>
        <w:spacing w:before="0" w:after="0"/>
        <w:jc w:val="left"/>
        <w:rPr>
          <w:rFonts w:ascii="Times New Roman;serif" w:hAnsi="Times New Roman;serif"/>
          <w:b w:val="false"/>
          <w:sz w:val="20"/>
        </w:rPr>
      </w:pPr>
      <w:r>
        <w:rPr>
          <w:rFonts w:ascii="Times New Roman;serif" w:hAnsi="Times New Roman;serif"/>
          <w:b w:val="false"/>
          <w:sz w:val="20"/>
        </w:rPr>
        <w:t>Our information technology systems, including in our remote work environment as a result of the COVID-19 pandemic, and those of the third parties upon which we rely, are potentially vulnerable to evolving threats. These threats are prevalent, continue to increase, and come from a variety of sources such as “hackers,” threat or internal bad actors, personnel (such as through theft, error or misuse), sophisticated nation states and nation-state-supported actors. These threats include, but are not limited to, social-engineering attacks, malicious code or malware, unauthorized intrusions, denial-of-service attacks, personnel misconduct or errors, ransomware attacks, supply-chain attacks, software bugs, computer viruses, server malfunctions, software, hardware or data center failures, loss of data or other information technology assets, natural disasters, terrorism, war, and telecommunication and electrical failures. In particular, ransomware attacks are becoming increasingly prevalent and severe and can lead to significant interruptions in operations, loss of data and income, reputational harm, and diversion of funds. If we were to experience such an attack, extortion payments might alleviate the negative impact of a ransomware attack, but we might be unwilling or unable to make such payments due to, for example, applicable laws or regulations prohibiting such payments. Similarly, supply-chain attacks and attacks on clinical trial sites as well as regulatory and health authorities have increased in frequency and severity, and we cannot guarantee that third parties and infrastructure in our supply chain or our third-party partners’ supply chains, or of clinical trial sites and regulatory and health authorities, have not been compromised or that they do not contain exploitable defects or bugs that could result in a breach of or disruption to our information technology systems (including those related to imetelstat) or the third-party information technology systems that support us and the services provided to us. Any of the aforementioned threats may result in unauthorized, unlawful or accidental loss, corruption, access, modification, destruction, alteration, acquisition or disclosure of sensitive information, such as clinical trial data or information, intellectual property, proprietary business data and personal data. The costs to us to attempt to protect against such breaches could be significant, including potentially requiring us to modify our business (including non-clinical and clinical trial activities), and while we have implemented security measures designed to protect our information technology systems and to identify and remediate vulnerabilities, such measures may not be successful. We may be unable in the future to detect vulnerabilities in our information technology systems because such threats and techniques change frequently, are sophisticated in nature, and may not be detected until after a security incident has occurred.</w:t>
      </w:r>
    </w:p>
    <w:p>
      <w:pPr>
        <w:pStyle w:val="TextBody"/>
        <w:spacing w:before="0" w:after="0"/>
        <w:jc w:val="left"/>
        <w:rPr>
          <w:rFonts w:ascii="Times New Roman;serif" w:hAnsi="Times New Roman;serif"/>
          <w:b w:val="false"/>
          <w:sz w:val="20"/>
        </w:rPr>
      </w:pPr>
      <w:r>
        <w:rPr>
          <w:rFonts w:ascii="Times New Roman;serif" w:hAnsi="Times New Roman;serif"/>
          <w:b w:val="false"/>
          <w:sz w:val="20"/>
        </w:rPr>
        <w:t>If we or third parties upon which we rely experience or are perceived to have experienced a breach, we may experience adverse consequences. These consequences may include: government enforcement actions (for example, investigations, fines, penalties, audits, and inspections), interruptions in our operations, including disruption of our imetelstat development program, interruptions or restrictions on processing sensitive data (which could result in delays in obtaining, or our inability to obtain, regulatory approvals and significantly increase our costs to recover or reproduce the data), reputational harm, litigation (including class action claims), indemnification obligations, negative publicity, monetary fund diversions, financial loss, and other harms. In addition, such a breach may require notification of the breach to relevant stakeholders. Such disclosures are costly, and the disclosure or the failure to comply with such requirements could lead to adverse consequences.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75</w:t>
      </w:r>
    </w:p>
    <w:p>
      <w:pPr>
        <w:pStyle w:val="HorizontalLine"/>
        <w:rPr/>
      </w:pPr>
      <w:r>
        <w:rPr/>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Many of our contracts with relevant stakeholders include obligations relating to the safeguard of sensitive information, and a breach could lead to claims against us by such stakeholders. There can be no assurance that the limitations of liability in our contracts would be enforceable or adequate or would otherwise protect us from liabilities, damages, or claims relating to our data privacy and security obligations. In addition, failure to maintain effective internal accounting controls related to data security breaches and cybersecurity in general could impact our ability to produce timely and accurate financial statements and could subject us to regulatory scrutiny.</w:t>
      </w:r>
    </w:p>
    <w:p>
      <w:pPr>
        <w:pStyle w:val="TextBody"/>
        <w:spacing w:before="0" w:after="0"/>
        <w:jc w:val="left"/>
        <w:rPr>
          <w:rFonts w:ascii="Times New Roman;serif" w:hAnsi="Times New Roman;serif"/>
          <w:b/>
          <w:i/>
          <w:sz w:val="20"/>
        </w:rPr>
      </w:pPr>
      <w:r>
        <w:rPr>
          <w:rFonts w:ascii="Times New Roman;serif" w:hAnsi="Times New Roman;serif"/>
          <w:b/>
          <w:i/>
          <w:sz w:val="20"/>
        </w:rPr>
        <w:t>We are subject to stringent and changing U.S. and foreign laws, regulations, rules, contractual obligations, policies and other obligations related to data privacy and security. Our actual or perceived failure to comply with such obligations could lead to regulatory investigations and actions; litigation; fines and penalties; disruptions to our business operations; reputational harm; loss of revenue and profits; and other adverse business impacts.</w:t>
      </w:r>
    </w:p>
    <w:p>
      <w:pPr>
        <w:pStyle w:val="TextBody"/>
        <w:spacing w:before="0" w:after="0"/>
        <w:jc w:val="left"/>
        <w:rPr>
          <w:rFonts w:ascii="Times New Roman;serif" w:hAnsi="Times New Roman;serif"/>
          <w:b w:val="false"/>
          <w:sz w:val="20"/>
        </w:rPr>
      </w:pPr>
      <w:r>
        <w:rPr>
          <w:rFonts w:ascii="Times New Roman;serif" w:hAnsi="Times New Roman;serif"/>
          <w:b w:val="false"/>
          <w:sz w:val="20"/>
        </w:rPr>
        <w:t>In the ordinary course of business, we process personal data and other sensitive data, including proprietary and confidential business data, trade secrets, intellectual property, data we collect about trial participants in connection with clinical trials, and sensitive third-party data. We are therefore subject to or affected by numerous data privacy and security obligations, such as various federal, state, local and foreign laws, regulations, guidances, industry standards, external and internal privacy and security policies, contracts, and other obligations governing the processing of personal data by us and on our behalf. These obligations may change, are subject to differing interpretations and may be inconsistent among jurisdictions or conflict. The global data protection landscape is rapidly evolving, and implementation standards and enforcement practices are likely to remain uncertain for the foreseeable future. This evolution may create uncertainty in our business; affect us or our collaborators’, service providers’ and contractors’ ability to operate in certain jurisdictions or to collect, store, transfer, use and share personal data; necessitate the acceptance of more onerous obligations in our contracts; result in liability; or impose additional costs on us. The cost of compliance with these laws, regulations and guidances is high and is likely to increase in the future. These obligations may necessitate changes to our information technologies, systems, and practices and to those of any third parties that process personal data on our behalf. In addition, these obligations may require us to change our business model.</w:t>
      </w:r>
    </w:p>
    <w:p>
      <w:pPr>
        <w:pStyle w:val="TextBody"/>
        <w:spacing w:before="0" w:after="0"/>
        <w:jc w:val="left"/>
        <w:rPr>
          <w:rFonts w:ascii="Times New Roman;serif" w:hAnsi="Times New Roman;serif"/>
          <w:b w:val="false"/>
          <w:sz w:val="20"/>
        </w:rPr>
      </w:pPr>
      <w:r>
        <w:rPr>
          <w:rFonts w:ascii="Times New Roman;serif" w:hAnsi="Times New Roman;serif"/>
          <w:b w:val="false"/>
          <w:sz w:val="20"/>
        </w:rPr>
        <w:t>Outside the U.S., an increasing number of laws, regulations, and industry standards apply to data privacy and security. For example, the European Union’s General Data Protection Regulation (GDPR) (EU) 2016/679, or the EU GDPR, imposes strict requirements on the processing of personal data. Under the EU GDPR, government regulators may impose temporary or definitive bans on data processing, as well as fines of up to €20 million or 4% of the annual global revenues of the noncompliant company, whichever is greater.</w:t>
      </w:r>
    </w:p>
    <w:p>
      <w:pPr>
        <w:pStyle w:val="TextBody"/>
        <w:spacing w:before="0" w:after="0"/>
        <w:jc w:val="left"/>
        <w:rPr>
          <w:rFonts w:ascii="Times New Roman" w:hAnsi="Times New Roman"/>
          <w:sz w:val="20"/>
        </w:rPr>
      </w:pPr>
      <w:r>
        <w:rPr>
          <w:rFonts w:ascii="Times New Roman;serif" w:hAnsi="Times New Roman;serif"/>
          <w:b w:val="false"/>
          <w:sz w:val="20"/>
        </w:rPr>
        <w:t>In addition, we may be unable to transfer personal data from Europe and other jurisdictions to the U.S. or other countries due to data localization requirements or limitations on cross-border data flows. Europe and other jurisdictions have enacted laws requiring data to be localized or limiting the transfer of personal data to other countries. In particular, the European Economic Area, or the EEA, and the United Kingdom, or UK, have significantly restricted the transfer of personal data to the United States and other countries whose privacy laws it believes are inadequate. Other jurisdictions may adopt similarly stringent interpretations of their data localization and cross-border data transfer laws. Although there are currently various mechanisms that may be used to transfer personal data from the EEA and UK to the U.S. in compliance with law, such as the EEA and UK’s standard contractual clauses, these mechanisms are subject to legal challenges, and there is no assurance that we can satisfy or rely on these measures to lawfully transfer personal data to the U.S. If there is no lawful manner for us to transfer personal data from the EEA, the UK, or other jurisdictions to the U.S.,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at 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w:t>
      </w:r>
      <w:r>
        <w:rPr>
          <w:rFonts w:ascii="Times New Roman" w:hAnsi="Times New Roman"/>
          <w:sz w:val="20"/>
        </w:rPr>
        <w:t xml:space="preserve"> </w:t>
      </w:r>
      <w:r>
        <w:rPr>
          <w:rFonts w:ascii="Times New Roman;serif" w:hAnsi="Times New Roman;serif"/>
          <w:b w:val="false"/>
          <w:sz w:val="20"/>
        </w:rPr>
        <w:t>Some European regulators have prevented companies from transferring personal data out of Europe for allegedly violating the GDPR’s cross-border data transfer limitations.</w:t>
      </w:r>
    </w:p>
    <w:p>
      <w:pPr>
        <w:pStyle w:val="TextBody"/>
        <w:spacing w:before="0" w:after="0"/>
        <w:jc w:val="left"/>
        <w:rPr>
          <w:rFonts w:ascii="Times New Roman;serif" w:hAnsi="Times New Roman;serif"/>
          <w:b w:val="false"/>
          <w:sz w:val="20"/>
        </w:rPr>
      </w:pPr>
      <w:r>
        <w:rPr>
          <w:rFonts w:ascii="Times New Roman;serif" w:hAnsi="Times New Roman;serif"/>
          <w:b w:val="false"/>
          <w:sz w:val="20"/>
        </w:rPr>
        <w:t>Likewise, we expect that there will continue to be new proposed laws, regulations and industry standards relating to privacy and data protection in the U.S. For example, HIPAA, as amended by HITECH, imposes specific requirements relating to the privacy, security, and transmission of individually identifiable health data. Additionally, the California Consumer Privacy Act of 2018, or CCPA, imposes obligations on businesses to which it applies. These obligations include, but are not limited to, providing specific disclosures in privacy notices and affording California residents certain rights related to their personal data. The CCPA allows for statutory fines for noncompliance (up to $7,500 per violation). While the CCPA contains limited exceptions for clinical trial data, the CCPA’s implementation standards and enforcement practices are likely to remain uncertain for the foreseeable future. It is anticipated that the California Privacy Rights Act of 2020, or CPRA, will expand the CCPA. For example, the CPRA establishes a new California Privacy Protection Agency to implement and enforce the CPRA, which could increase the risk of an enforcement action, and applies to personal information of business representatives and employees. Other states have also enacted data privacy laws. For example, Virginia passed the Consumer Data Protection Act, and Colorado passed the Colorado Privacy Act, both of which differ from the CPRA and become effective in 2023. If we become subject to new data privacy laws, at the state level or otherwise, the risk of enforcement action against us could increase because we may become subject to additional obligations, and the number of individuals or entities that can initiate actions against us may increase (including individuals, via a private right of action, and state actors).</w:t>
      </w:r>
    </w:p>
    <w:p>
      <w:pPr>
        <w:pStyle w:val="TextBody"/>
        <w:spacing w:before="0" w:after="0"/>
        <w:jc w:val="left"/>
        <w:rPr>
          <w:rFonts w:ascii="Times New Roman" w:hAnsi="Times New Roman"/>
          <w:sz w:val="20"/>
        </w:rPr>
      </w:pPr>
      <w:r>
        <w:rPr>
          <w:rFonts w:ascii="Times New Roman;serif" w:hAnsi="Times New Roman;serif"/>
          <w:b w:val="false"/>
          <w:sz w:val="20"/>
        </w:rPr>
        <w:t>In addition to data privacy and security laws, we may be contractually subject to industry standards adopted by industry groups and may become subject to such obligations in the future. We may also be bound by other contractual obligations related to data</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76</w:t>
      </w:r>
    </w:p>
    <w:p>
      <w:pPr>
        <w:pStyle w:val="HorizontalLine"/>
        <w:rPr/>
      </w:pPr>
      <w:r>
        <w:rPr/>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privacy and security, and our efforts to comply with such obligations may not be successful. We may publish privacy policies, marketing materials, and other statements, such as compliance with certain certifications or self-regulatory principles, regarding data privacy and security. If these policies, materials or statements are found to be deficient, lacking in transparency, deceptive, unfair, or misrepresentative of our practices, we may be subject to investigation, enforcement actions by regulators, or other adverse consequences.</w:t>
      </w:r>
    </w:p>
    <w:p>
      <w:pPr>
        <w:pStyle w:val="TextBody"/>
        <w:spacing w:before="0" w:after="0"/>
        <w:jc w:val="left"/>
        <w:rPr>
          <w:rFonts w:ascii="Times New Roman;serif" w:hAnsi="Times New Roman;serif"/>
          <w:b w:val="false"/>
          <w:sz w:val="20"/>
        </w:rPr>
      </w:pPr>
      <w:r>
        <w:rPr>
          <w:rFonts w:ascii="Times New Roman;serif" w:hAnsi="Times New Roman;serif"/>
          <w:b w:val="false"/>
          <w:sz w:val="20"/>
        </w:rPr>
        <w:t>Although we endeavor to comply with all applicable data privacy and security obligations, we may at times fail to do so or may be perceived to have failed to do so. Moreover, despite our efforts, we may not be successful in achieving compliance if our personnel or third parties whom we rely on fail to comply with such obligations, which could negatively impact our business operations and compliance posture. For example, any failure by a third-party processor, including our clinical trial sites, to comply with applicable law, regulations, or contractual obligations could result in adverse effects, including inability to operate our business and proceedings against us by governmental entities or others. If we fail, or are perceived to have failed, to address or comply with data privacy and security obligations, we could face significant consequences. These consequences may include, but are not limited to, government enforcement actions (e.g., investigations, fines, penalties, audits, inspections, and similar activities); litigation (including class-related claims); additional reporting requirements and/or oversight; bans on processing personal data; orders to destroy or not use personal data; and imprisonment of company officials. Any of these events could have a material adverse effect on our reputation, business, or financial condition, including but not limited to: interruptions or stoppages in our business operations (including, as relevant, our clinical trials if any); inability to process personal data or to operate in certain jurisdictions; limited ability to develop or commercialize imetelstat; expenditure of time and resources to defend any claim or inquiry; adverse publicity; or revision or restructuring of our operations. Moreover, clinical trial participants or research subjects about whom we or our vendors obtain information, as well as the providers who share this information with us, may contractually limit our ability to use and disclose the information.</w:t>
      </w:r>
    </w:p>
    <w:p>
      <w:pPr>
        <w:pStyle w:val="TextBody"/>
        <w:spacing w:before="0" w:after="0"/>
        <w:jc w:val="center"/>
        <w:rPr>
          <w:rFonts w:ascii="Times New Roman;serif" w:hAnsi="Times New Roman;serif"/>
          <w:b/>
          <w:caps/>
          <w:sz w:val="20"/>
        </w:rPr>
      </w:pPr>
      <w:r>
        <w:rPr>
          <w:rFonts w:ascii="Times New Roman;serif" w:hAnsi="Times New Roman;serif"/>
          <w:b/>
          <w:caps/>
          <w:sz w:val="20"/>
        </w:rPr>
        <w:t>General Risk FACTORs</w:t>
      </w:r>
    </w:p>
    <w:p>
      <w:pPr>
        <w:pStyle w:val="TextBody"/>
        <w:spacing w:before="0" w:after="0"/>
        <w:jc w:val="left"/>
        <w:rPr>
          <w:rFonts w:ascii="Times New Roman" w:hAnsi="Times New Roman"/>
          <w:sz w:val="20"/>
        </w:rPr>
      </w:pPr>
      <w:r>
        <w:rPr>
          <w:rFonts w:ascii="Times New Roman;serif" w:hAnsi="Times New Roman;serif"/>
          <w:b/>
          <w:i/>
          <w:sz w:val="20"/>
        </w:rPr>
        <w:t>Business disruptions could seriously harm our future revenue and financial condition and increase our costs and expenses.</w:t>
      </w:r>
      <w:r>
        <w:rPr>
          <w:rFonts w:ascii="Times New Roman" w:hAnsi="Times New Roman"/>
          <w:sz w:val="20"/>
        </w:rPr>
        <w:t xml:space="preserve"> </w:t>
      </w:r>
    </w:p>
    <w:p>
      <w:pPr>
        <w:pStyle w:val="TextBody"/>
        <w:spacing w:before="0" w:after="0"/>
        <w:jc w:val="left"/>
        <w:rPr>
          <w:rFonts w:ascii="Times New Roman" w:hAnsi="Times New Roman"/>
          <w:sz w:val="20"/>
        </w:rPr>
      </w:pPr>
      <w:r>
        <w:rPr>
          <w:rFonts w:ascii="Times New Roman;serif" w:hAnsi="Times New Roman;serif"/>
          <w:b w:val="false"/>
          <w:sz w:val="20"/>
        </w:rPr>
        <w:t>Our operations, and those of our CROs, suppliers, and other contractors and consultants, could be subject to earthquakes, power shortages, telecommunications failures, water shortages, floods, hurricanes, typhoons, fires, extreme weather conditions, public health pandemics or epidemics (including, for example, the ongoing COVID-19 pandemic), civil or political unrest or military conflicts around the world (such as the current military conflict between Ukraine and Russia), terrorism, insurrection or war, and other natural or man-made disasters or business interruptions. Furthermore, other events, such as the armed conflict between Russia and Ukraine, could lead to sanctions, embargoes, supply shortages, regional instability, geopolitical shifts, cyberattacks, other retaliatory actions, and adverse effects on macroeconomic conditions, currency exchange rates, and financial markets, which could adversely impact our operations and financial results, as well as those of third parties with whom we conduct business. There is a risk that one or more of our CROs, suppliers, and other contractors and consultants might not survive an economic downturn. The occurrence of any of these business disruptions could seriously harm our operations and financial condition and increase our costs and expenses.</w:t>
      </w:r>
      <w:r>
        <w:rPr>
          <w:rFonts w:ascii="Times New Roman" w:hAnsi="Times New Roman"/>
          <w:sz w:val="20"/>
        </w:rPr>
        <w:t xml:space="preserve"> </w:t>
      </w:r>
    </w:p>
    <w:p>
      <w:pPr>
        <w:pStyle w:val="TextBody"/>
        <w:spacing w:before="0" w:after="0"/>
        <w:jc w:val="left"/>
        <w:rPr>
          <w:rFonts w:ascii="Times New Roman" w:hAnsi="Times New Roman"/>
          <w:sz w:val="20"/>
        </w:rPr>
      </w:pPr>
      <w:r>
        <w:rPr>
          <w:rFonts w:ascii="Times New Roman;serif" w:hAnsi="Times New Roman;serif"/>
          <w:b w:val="false"/>
          <w:sz w:val="20"/>
        </w:rPr>
        <w:t>Our ability to develop and potentially commercialize imetelstat could be disrupted if our operations or those of our CROs and other contractors or consultants are affected by geopolitical events, man-made or natural disasters or other business interruptions. Our corporate headquarters are located in California near major earthquake faults and fire zones. The ultimate impact on us, our CROs, contractors and consultants, and our general infrastructure of being located near major earthquake faults and fire zones and being consolidated in certain geographical areas is unknown, but our operations and financial condition could suffer in the event of a major earthquake, fire or other natural disaster.</w:t>
      </w:r>
      <w:r>
        <w:rPr>
          <w:rFonts w:ascii="Times New Roman" w:hAnsi="Times New Roman"/>
          <w:sz w:val="20"/>
        </w:rPr>
        <w:t xml:space="preserve"> </w:t>
      </w:r>
    </w:p>
    <w:p>
      <w:pPr>
        <w:pStyle w:val="TextBody"/>
        <w:spacing w:before="0" w:after="0"/>
        <w:jc w:val="left"/>
        <w:rPr>
          <w:rFonts w:ascii="Times New Roman;serif" w:hAnsi="Times New Roman;serif"/>
          <w:b/>
          <w:i/>
          <w:sz w:val="20"/>
        </w:rPr>
      </w:pPr>
      <w:r>
        <w:rPr>
          <w:rFonts w:ascii="Times New Roman;serif" w:hAnsi="Times New Roman;serif"/>
          <w:b/>
          <w:i/>
          <w:sz w:val="20"/>
        </w:rPr>
        <w:t>Changes in tax laws or regulations that are applied adversely to us or our customers may have a material adverse effect on our business, cash flow, financial condition or results of operations.*</w:t>
      </w:r>
    </w:p>
    <w:p>
      <w:pPr>
        <w:pStyle w:val="TextBody"/>
        <w:spacing w:before="0" w:after="0"/>
        <w:jc w:val="left"/>
        <w:rPr>
          <w:rFonts w:ascii="Times New Roman" w:hAnsi="Times New Roman"/>
          <w:sz w:val="20"/>
        </w:rPr>
      </w:pPr>
      <w:r>
        <w:rPr>
          <w:rFonts w:ascii="Times New Roman;serif" w:hAnsi="Times New Roman;serif"/>
          <w:b w:val="false"/>
          <w:sz w:val="20"/>
        </w:rPr>
        <w:t>New income, sales, use, excise or other tax laws, statutes, rules, regulations or ordinances could be enacted at any time, which could affect the tax treatment of our domestic and foreign sales and earnings. Any new taxes could adversely affect our domestic and international business operations and our business and financial condition. Further, existing tax laws, statutes, rules, regulations or ordinances could be interpreted, changed, modified or applied adversely to us. For example, the Tax Act, as modified by the CARES Act, significantly revised the Code, and recently enacted federal tax legislation made additional changes. Future guidance from the U.S. Internal Revenue Service and other tax authorities with respect to such legislation may adversely affect us, and certain aspects of such legislation could be repealed or modified in the future, which could have an adverse effect on us. For example, the recently enacted Inflation Reduction Act of 2022, or the Inflation Reduction Act, includes provisions that will impact the U.S. federal income taxation of corporations, including imposing a minimum tax on the book income of certain large corporations and an excise tax on certain corporate stock repurchases that would be imposed on the corporation repurchasing such stock. It is uncertain if and to what extent various states will conform to the Tax Act, the CARES Act, the Inflation Reduction Act or any newly enacted federal tax legislation. Changes in corporate tax rates, the realization of net deferred tax assets relating to our U.S. operations, the taxation of earnings from other countries, and the deductibility of expenses under the Tax Act or future tax reform legislation could have a material impact on the value of our deferred tax assets, could result in significant one-time charges in the current or future taxable years, and could increase our future U.S. tax expense.</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77</w:t>
      </w:r>
    </w:p>
    <w:p>
      <w:pPr>
        <w:pStyle w:val="HorizontalLine"/>
        <w:rPr/>
      </w:pPr>
      <w:r>
        <w:rPr/>
      </w:r>
    </w:p>
    <w:p>
      <w:pPr>
        <w:pStyle w:val="TextBody"/>
        <w:spacing w:before="0" w:after="0"/>
        <w:jc w:val="left"/>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Failure to achieve and maintain effective internal controls in accordance with Section 404 of the Sarbanes-Oxley Act of 2002 could have a material adverse effect on our business and stock price.</w:t>
      </w:r>
    </w:p>
    <w:p>
      <w:pPr>
        <w:pStyle w:val="TextBody"/>
        <w:spacing w:before="0" w:after="0"/>
        <w:jc w:val="left"/>
        <w:rPr>
          <w:rFonts w:ascii="Times New Roman;serif" w:hAnsi="Times New Roman;serif"/>
          <w:b w:val="false"/>
          <w:sz w:val="20"/>
        </w:rPr>
      </w:pPr>
      <w:r>
        <w:rPr>
          <w:rFonts w:ascii="Times New Roman;serif" w:hAnsi="Times New Roman;serif"/>
          <w:b w:val="false"/>
          <w:sz w:val="20"/>
        </w:rPr>
        <w:t>Section 404 of the Sarbanes-Oxley Act of 2002, or Section 404, requires that we establish and maintain an adequate internal control structure and procedures for financial reporting. Our Annual Reports on Form 10-K must contain an annual assessment by management of the effectiveness of our internal control over financial reporting and must include disclosure of any material weaknesses in internal control over financial reporting that we have identified. In the past, our independent registered public accounting firm provided an opinion annually on the effectiveness of our internal control over financial reporting. As a smaller reporting company, we are no longer subject to this requirement.</w:t>
      </w:r>
    </w:p>
    <w:p>
      <w:pPr>
        <w:pStyle w:val="TextBody"/>
        <w:spacing w:before="0" w:after="0"/>
        <w:jc w:val="left"/>
        <w:rPr>
          <w:rFonts w:ascii="Times New Roman" w:hAnsi="Times New Roman"/>
          <w:sz w:val="20"/>
        </w:rPr>
      </w:pPr>
      <w:r>
        <w:rPr>
          <w:rFonts w:ascii="Times New Roman;serif" w:hAnsi="Times New Roman;serif"/>
          <w:b w:val="false"/>
          <w:sz w:val="20"/>
        </w:rPr>
        <w:t>The requirements of Section 404 are ongoing and also apply to future years. We expect that our internal control over financial reporting will continue to evolve as our business develops. Although we are committed to continue to improve our internal control processes and we will continue to diligently and vigorously review our internal control over financial reporting in order to ensure compliance with Section 404 requirements, any control system, regardless of how well designed, operated and evaluated, can provide only reasonable, not absolute, assurance that its objectives will be met. Therefore, we cannot assure you that material weaknesses or significant deficiencies will not exist or otherwise be discovered in the future, particularly in light of our increased reliance on personnel working remotely as a result of the COVID-19 pandemic. If material weaknesses or other significant deficiencies occur, such weaknesses or deficiencies could result in misstatements of our results of operations, restatements of our financial statements, a decline in our stock price, or other material adverse effects on our business, reputation, results of operations, financial condition or liquidity.</w:t>
      </w:r>
      <w:r>
        <w:rPr>
          <w:rFonts w:ascii="Times New Roman" w:hAnsi="Times New Roman"/>
          <w:sz w:val="20"/>
        </w:rPr>
        <w:t xml:space="preserve"> </w:t>
      </w:r>
    </w:p>
    <w:p>
      <w:pPr>
        <w:pStyle w:val="TextBody"/>
        <w:spacing w:before="360" w:after="0"/>
        <w:jc w:val="left"/>
        <w:rPr>
          <w:rFonts w:ascii="Times New Roman;serif" w:hAnsi="Times New Roman;serif"/>
          <w:b/>
          <w:sz w:val="20"/>
        </w:rPr>
      </w:pPr>
      <w:bookmarkStart w:id="17" w:name="item2_unregisteredsalesofequitys_115807"/>
      <w:bookmarkEnd w:id="17"/>
      <w:r>
        <w:rPr>
          <w:rFonts w:ascii="Times New Roman;serif" w:hAnsi="Times New Roman;serif"/>
          <w:b/>
          <w:sz w:val="20"/>
        </w:rPr>
        <w:t>ITEM 2. UNREGISTERED SALES OF EQUITY SECURITIES AND USE OF PROCEEDS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None.</w:t>
      </w:r>
    </w:p>
    <w:p>
      <w:pPr>
        <w:pStyle w:val="TextBody"/>
        <w:spacing w:before="360" w:after="0"/>
        <w:jc w:val="left"/>
        <w:rPr>
          <w:rFonts w:ascii="Times New Roman;serif" w:hAnsi="Times New Roman;serif"/>
          <w:b/>
          <w:sz w:val="20"/>
        </w:rPr>
      </w:pPr>
      <w:bookmarkStart w:id="18" w:name="item3_defaultsuponseniorsecuriti_115814"/>
      <w:bookmarkEnd w:id="18"/>
      <w:r>
        <w:rPr>
          <w:rFonts w:ascii="Times New Roman;serif" w:hAnsi="Times New Roman;serif"/>
          <w:b/>
          <w:sz w:val="20"/>
        </w:rPr>
        <w:t>ITEM 3. DEFAULTS UPON SENIOR SECURITIES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None.</w:t>
      </w:r>
    </w:p>
    <w:p>
      <w:pPr>
        <w:pStyle w:val="TextBody"/>
        <w:spacing w:before="360" w:after="0"/>
        <w:jc w:val="left"/>
        <w:rPr>
          <w:rFonts w:ascii="Times New Roman;serif" w:hAnsi="Times New Roman;serif"/>
          <w:b/>
          <w:sz w:val="20"/>
        </w:rPr>
      </w:pPr>
      <w:bookmarkStart w:id="19" w:name="item4_minesafetydisclosures_115825"/>
      <w:bookmarkEnd w:id="19"/>
      <w:r>
        <w:rPr>
          <w:rFonts w:ascii="Times New Roman;serif" w:hAnsi="Times New Roman;serif"/>
          <w:b/>
          <w:sz w:val="20"/>
        </w:rPr>
        <w:t>ITEM 4. MINE SAFETY DISCLOSURES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Not applicable.</w:t>
      </w:r>
    </w:p>
    <w:p>
      <w:pPr>
        <w:pStyle w:val="TextBody"/>
        <w:spacing w:before="360" w:after="0"/>
        <w:jc w:val="left"/>
        <w:rPr>
          <w:rFonts w:ascii="Times New Roman;serif" w:hAnsi="Times New Roman;serif"/>
          <w:b/>
          <w:sz w:val="20"/>
        </w:rPr>
      </w:pPr>
      <w:bookmarkStart w:id="20" w:name="item5_otherinformation_115829"/>
      <w:bookmarkEnd w:id="20"/>
      <w:r>
        <w:rPr>
          <w:rFonts w:ascii="Times New Roman;serif" w:hAnsi="Times New Roman;serif"/>
          <w:b/>
          <w:sz w:val="20"/>
        </w:rPr>
        <w:t>ITEM 5. OTHER INFORMATION</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None.</w:t>
      </w:r>
    </w:p>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78</w:t>
      </w:r>
    </w:p>
    <w:p>
      <w:pPr>
        <w:pStyle w:val="HorizontalLine"/>
        <w:rPr/>
      </w:pPr>
      <w:r>
        <w:rPr/>
      </w:r>
    </w:p>
    <w:p>
      <w:pPr>
        <w:pStyle w:val="TextBody"/>
        <w:spacing w:before="0" w:after="0"/>
        <w:jc w:val="left"/>
        <w:rPr/>
      </w:pPr>
      <w:r>
        <w:rPr/>
        <w:t> </w:t>
      </w:r>
    </w:p>
    <w:p>
      <w:pPr>
        <w:pStyle w:val="TextBody"/>
        <w:spacing w:before="360" w:after="120"/>
        <w:jc w:val="left"/>
        <w:rPr>
          <w:rFonts w:ascii="Times New Roman" w:hAnsi="Times New Roman"/>
          <w:sz w:val="20"/>
        </w:rPr>
      </w:pPr>
      <w:bookmarkStart w:id="21" w:name="item6_exhibits"/>
      <w:bookmarkEnd w:id="21"/>
      <w:r>
        <w:rPr>
          <w:rFonts w:ascii="Times New Roman;serif" w:hAnsi="Times New Roman;serif"/>
          <w:b/>
          <w:sz w:val="20"/>
        </w:rPr>
        <w:t>ITEM 6. EXHIBITS</w:t>
      </w:r>
      <w:r>
        <w:rPr>
          <w:rFonts w:ascii="Times New Roman" w:hAnsi="Times New Roman"/>
          <w:sz w:val="20"/>
        </w:rPr>
        <w:t xml:space="preserve"> </w:t>
      </w:r>
    </w:p>
    <w:tbl>
      <w:tblPr>
        <w:tblW w:w="10539" w:type="dxa"/>
        <w:jc w:val="left"/>
        <w:tblInd w:w="0" w:type="dxa"/>
        <w:tblCellMar>
          <w:top w:w="28" w:type="dxa"/>
          <w:left w:w="28" w:type="dxa"/>
          <w:bottom w:w="28" w:type="dxa"/>
          <w:right w:w="28" w:type="dxa"/>
        </w:tblCellMar>
      </w:tblPr>
      <w:tblGrid>
        <w:gridCol w:w="706"/>
        <w:gridCol w:w="6767"/>
        <w:gridCol w:w="691"/>
        <w:gridCol w:w="526"/>
        <w:gridCol w:w="797"/>
        <w:gridCol w:w="1052"/>
      </w:tblGrid>
      <w:tr>
        <w:trPr/>
        <w:tc>
          <w:tcPr>
            <w:tcW w:w="706" w:type="dxa"/>
            <w:tcBorders/>
            <w:shd w:fill="auto" w:val="clear"/>
            <w:vAlign w:val="center"/>
          </w:tcPr>
          <w:p>
            <w:pPr>
              <w:pStyle w:val="TableContents"/>
              <w:spacing w:before="0" w:after="283"/>
              <w:rPr>
                <w:sz w:val="4"/>
                <w:szCs w:val="4"/>
              </w:rPr>
            </w:pPr>
            <w:r>
              <w:rPr>
                <w:sz w:val="4"/>
                <w:szCs w:val="4"/>
              </w:rPr>
            </w:r>
          </w:p>
        </w:tc>
        <w:tc>
          <w:tcPr>
            <w:tcW w:w="6767"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797" w:type="dxa"/>
            <w:tcBorders/>
            <w:shd w:fill="auto" w:val="clear"/>
            <w:vAlign w:val="center"/>
          </w:tcPr>
          <w:p>
            <w:pPr>
              <w:pStyle w:val="TableContents"/>
              <w:spacing w:before="0" w:after="283"/>
              <w:rPr>
                <w:sz w:val="4"/>
                <w:szCs w:val="4"/>
              </w:rPr>
            </w:pPr>
            <w:r>
              <w:rPr>
                <w:sz w:val="4"/>
                <w:szCs w:val="4"/>
              </w:rPr>
            </w:r>
          </w:p>
        </w:tc>
        <w:tc>
          <w:tcPr>
            <w:tcW w:w="1052" w:type="dxa"/>
            <w:tcBorders/>
            <w:shd w:fill="auto" w:val="clear"/>
            <w:vAlign w:val="center"/>
          </w:tcPr>
          <w:p>
            <w:pPr>
              <w:pStyle w:val="TableContents"/>
              <w:spacing w:before="0" w:after="283"/>
              <w:rPr>
                <w:sz w:val="4"/>
                <w:szCs w:val="4"/>
              </w:rPr>
            </w:pPr>
            <w:r>
              <w:rPr>
                <w:sz w:val="4"/>
                <w:szCs w:val="4"/>
              </w:rPr>
            </w:r>
          </w:p>
        </w:tc>
      </w:tr>
      <w:tr>
        <w:trPr/>
        <w:tc>
          <w:tcPr>
            <w:tcW w:w="706" w:type="dxa"/>
            <w:tcBorders>
              <w:top w:val="single" w:sz="4" w:space="0" w:color="000000"/>
              <w:left w:val="single" w:sz="4" w:space="0" w:color="000000"/>
              <w:bottom w:val="single" w:sz="4" w:space="0" w:color="000000"/>
              <w:right w:val="single" w:sz="4" w:space="0" w:color="000000"/>
            </w:tcBorders>
            <w:shd w:fill="auto" w:val="clear"/>
            <w:vAlign w:val="center"/>
          </w:tcPr>
          <w:p>
            <w:pPr>
              <w:pStyle w:val="TableContents"/>
              <w:spacing w:before="0" w:after="283"/>
              <w:ind w:left="0" w:right="0" w:hanging="0"/>
              <w:rPr>
                <w:sz w:val="4"/>
                <w:szCs w:val="4"/>
              </w:rPr>
            </w:pPr>
            <w:r>
              <w:rPr>
                <w:sz w:val="4"/>
                <w:szCs w:val="4"/>
              </w:rPr>
            </w:r>
          </w:p>
        </w:tc>
        <w:tc>
          <w:tcPr>
            <w:tcW w:w="6767" w:type="dxa"/>
            <w:tcBorders>
              <w:top w:val="single" w:sz="4" w:space="0" w:color="000000"/>
              <w:bottom w:val="single" w:sz="4" w:space="0" w:color="000000"/>
              <w:right w:val="single" w:sz="4" w:space="0" w:color="000000"/>
            </w:tcBorders>
            <w:shd w:fill="auto" w:val="clear"/>
            <w:tcMar>
              <w:left w:w="0" w:type="dxa"/>
            </w:tcMar>
            <w:vAlign w:val="center"/>
          </w:tcPr>
          <w:p>
            <w:pPr>
              <w:pStyle w:val="TableContents"/>
              <w:spacing w:before="0" w:after="283"/>
              <w:ind w:left="0" w:right="0" w:hanging="0"/>
              <w:rPr>
                <w:sz w:val="4"/>
                <w:szCs w:val="4"/>
              </w:rPr>
            </w:pPr>
            <w:r>
              <w:rPr>
                <w:sz w:val="4"/>
                <w:szCs w:val="4"/>
              </w:rPr>
            </w:r>
          </w:p>
        </w:tc>
        <w:tc>
          <w:tcPr>
            <w:tcW w:w="3066" w:type="dxa"/>
            <w:gridSpan w:val="4"/>
            <w:tcBorders>
              <w:top w:val="single" w:sz="4" w:space="0" w:color="000000"/>
              <w:bottom w:val="single" w:sz="4" w:space="0" w:color="000000"/>
              <w:right w:val="single" w:sz="4" w:space="0" w:color="000000"/>
            </w:tcBorders>
            <w:shd w:fill="auto" w:val="clear"/>
            <w:tcMar>
              <w:lef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Incorporation by Reference</w:t>
            </w:r>
          </w:p>
        </w:tc>
      </w:tr>
      <w:tr>
        <w:trPr/>
        <w:tc>
          <w:tcPr>
            <w:tcW w:w="706" w:type="dxa"/>
            <w:tcBorders>
              <w:left w:val="single" w:sz="4" w:space="0" w:color="000000"/>
              <w:bottom w:val="single" w:sz="4" w:space="0" w:color="000000"/>
              <w:right w:val="single" w:sz="4" w:space="0" w:color="000000"/>
            </w:tcBorders>
            <w:shd w:fill="auto" w:val="clear"/>
            <w:tcMar>
              <w:top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Exhibit</w:t>
              <w:br/>
              <w:t>Number</w:t>
            </w:r>
          </w:p>
        </w:tc>
        <w:tc>
          <w:tcPr>
            <w:tcW w:w="6767" w:type="dxa"/>
            <w:tcBorders>
              <w:bottom w:val="single" w:sz="4" w:space="0" w:color="000000"/>
              <w:right w:val="single" w:sz="4" w:space="0" w:color="000000"/>
            </w:tcBorders>
            <w:shd w:fill="auto" w:val="clear"/>
            <w:tcMar>
              <w:top w:w="0" w:type="dxa"/>
              <w:lef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Description</w:t>
            </w:r>
          </w:p>
        </w:tc>
        <w:tc>
          <w:tcPr>
            <w:tcW w:w="691" w:type="dxa"/>
            <w:tcBorders>
              <w:bottom w:val="single" w:sz="4" w:space="0" w:color="000000"/>
              <w:right w:val="single" w:sz="4" w:space="0" w:color="000000"/>
            </w:tcBorders>
            <w:shd w:fill="auto" w:val="clear"/>
            <w:tcMar>
              <w:top w:w="0" w:type="dxa"/>
              <w:lef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Exhibit</w:t>
              <w:br/>
              <w:t>Number</w:t>
            </w:r>
          </w:p>
        </w:tc>
        <w:tc>
          <w:tcPr>
            <w:tcW w:w="526" w:type="dxa"/>
            <w:tcBorders>
              <w:bottom w:val="single" w:sz="4" w:space="0" w:color="000000"/>
              <w:right w:val="single" w:sz="4" w:space="0" w:color="000000"/>
            </w:tcBorders>
            <w:shd w:fill="auto" w:val="clear"/>
            <w:tcMar>
              <w:top w:w="0" w:type="dxa"/>
              <w:left w:w="0" w:type="dxa"/>
            </w:tcMar>
            <w:vAlign w:val="center"/>
          </w:tcPr>
          <w:p>
            <w:pPr>
              <w:pStyle w:val="TableContents"/>
              <w:spacing w:before="0" w:after="0"/>
              <w:ind w:left="0" w:right="0" w:hanging="0"/>
              <w:jc w:val="center"/>
              <w:rPr/>
            </w:pPr>
            <w:r>
              <w:rPr/>
              <w:t> </w:t>
            </w:r>
          </w:p>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Filing</w:t>
            </w:r>
          </w:p>
        </w:tc>
        <w:tc>
          <w:tcPr>
            <w:tcW w:w="797" w:type="dxa"/>
            <w:tcBorders>
              <w:bottom w:val="single" w:sz="4" w:space="0" w:color="000000"/>
              <w:right w:val="single" w:sz="4" w:space="0" w:color="000000"/>
            </w:tcBorders>
            <w:shd w:fill="auto" w:val="clear"/>
            <w:tcMar>
              <w:top w:w="0" w:type="dxa"/>
              <w:left w:w="0" w:type="dxa"/>
            </w:tcMar>
            <w:vAlign w:val="center"/>
          </w:tcPr>
          <w:p>
            <w:pPr>
              <w:pStyle w:val="TableContents"/>
              <w:spacing w:before="0" w:after="0"/>
              <w:ind w:left="0" w:right="0" w:hanging="0"/>
              <w:jc w:val="center"/>
              <w:rPr/>
            </w:pPr>
            <w:r>
              <w:rPr/>
              <w:t> </w:t>
            </w:r>
          </w:p>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Filing Date</w:t>
            </w:r>
          </w:p>
        </w:tc>
        <w:tc>
          <w:tcPr>
            <w:tcW w:w="1052" w:type="dxa"/>
            <w:tcBorders>
              <w:bottom w:val="single" w:sz="4" w:space="0" w:color="000000"/>
              <w:right w:val="single" w:sz="4" w:space="0" w:color="000000"/>
            </w:tcBorders>
            <w:shd w:fill="auto" w:val="clear"/>
            <w:tcMar>
              <w:top w:w="0" w:type="dxa"/>
              <w:left w:w="0" w:type="dxa"/>
            </w:tcMar>
            <w:vAlign w:val="center"/>
          </w:tcPr>
          <w:p>
            <w:pPr>
              <w:pStyle w:val="TableContents"/>
              <w:spacing w:before="0" w:after="0"/>
              <w:ind w:left="0" w:right="0" w:hanging="0"/>
              <w:jc w:val="center"/>
              <w:rPr/>
            </w:pPr>
            <w:r>
              <w:rPr/>
              <w:t> </w:t>
            </w:r>
          </w:p>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File No.</w:t>
            </w:r>
          </w:p>
        </w:tc>
      </w:tr>
      <w:tr>
        <w:trPr/>
        <w:tc>
          <w:tcPr>
            <w:tcW w:w="706" w:type="dxa"/>
            <w:tcBorders>
              <w:left w:val="single" w:sz="4" w:space="0" w:color="000000"/>
              <w:bottom w:val="single" w:sz="4" w:space="0" w:color="000000"/>
              <w:right w:val="single" w:sz="4" w:space="0" w:color="000000"/>
            </w:tcBorders>
            <w:shd w:fill="auto" w:val="clear"/>
            <w:tcMar>
              <w:top w:w="0" w:type="dxa"/>
            </w:tcMar>
            <w:vAlign w:val="center"/>
          </w:tcPr>
          <w:p>
            <w:pPr>
              <w:pStyle w:val="TableContents"/>
              <w:spacing w:before="0" w:after="0"/>
              <w:ind w:left="0" w:right="0" w:hanging="0"/>
              <w:jc w:val="center"/>
              <w:rPr/>
            </w:pPr>
            <w:r>
              <w:rPr/>
              <w:t> </w:t>
            </w:r>
            <w:r>
              <w:rPr>
                <w:rFonts w:ascii="Times New Roman;serif" w:hAnsi="Times New Roman;serif"/>
                <w:b w:val="false"/>
                <w:sz w:val="20"/>
              </w:rPr>
              <w:t>4.1</w:t>
            </w:r>
          </w:p>
        </w:tc>
        <w:tc>
          <w:tcPr>
            <w:tcW w:w="6767" w:type="dxa"/>
            <w:tcBorders>
              <w:bottom w:val="single" w:sz="4" w:space="0" w:color="000000"/>
              <w:right w:val="single" w:sz="4" w:space="0" w:color="000000"/>
            </w:tcBorders>
            <w:shd w:fill="auto" w:val="clear"/>
            <w:tcMar>
              <w:top w:w="0" w:type="dxa"/>
              <w:left w:w="0" w:type="dxa"/>
            </w:tcMar>
            <w:vAlign w:val="center"/>
          </w:tcPr>
          <w:p>
            <w:pPr>
              <w:pStyle w:val="TableContents"/>
              <w:spacing w:before="0" w:after="0"/>
              <w:ind w:left="0" w:right="0" w:hanging="0"/>
              <w:jc w:val="left"/>
              <w:rPr/>
            </w:pPr>
            <w:hyperlink r:id="rId2">
              <w:r>
                <w:rPr>
                  <w:rStyle w:val="InternetLink"/>
                  <w:rFonts w:ascii="Times New Roman;serif" w:hAnsi="Times New Roman;serif"/>
                  <w:b w:val="false"/>
                  <w:sz w:val="20"/>
                  <w:u w:val="single"/>
                </w:rPr>
                <w:t>Form of Pre-Funded Warrant to Purchase Common Stock</w:t>
              </w:r>
            </w:hyperlink>
          </w:p>
        </w:tc>
        <w:tc>
          <w:tcPr>
            <w:tcW w:w="691" w:type="dxa"/>
            <w:tcBorders>
              <w:bottom w:val="single" w:sz="4" w:space="0" w:color="000000"/>
              <w:right w:val="single" w:sz="4" w:space="0" w:color="000000"/>
            </w:tcBorders>
            <w:shd w:fill="auto" w:val="clear"/>
            <w:tcMar>
              <w:top w:w="0" w:type="dxa"/>
              <w:lef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4.1</w:t>
            </w:r>
          </w:p>
        </w:tc>
        <w:tc>
          <w:tcPr>
            <w:tcW w:w="526" w:type="dxa"/>
            <w:tcBorders>
              <w:bottom w:val="single" w:sz="4" w:space="0" w:color="000000"/>
              <w:right w:val="single" w:sz="4" w:space="0" w:color="000000"/>
            </w:tcBorders>
            <w:shd w:fill="auto" w:val="clear"/>
            <w:tcMar>
              <w:top w:w="0" w:type="dxa"/>
              <w:lef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8-K</w:t>
            </w:r>
          </w:p>
        </w:tc>
        <w:tc>
          <w:tcPr>
            <w:tcW w:w="797" w:type="dxa"/>
            <w:tcBorders>
              <w:bottom w:val="single" w:sz="4" w:space="0" w:color="000000"/>
              <w:right w:val="single" w:sz="4" w:space="0" w:color="000000"/>
            </w:tcBorders>
            <w:shd w:fill="auto" w:val="clear"/>
            <w:tcMar>
              <w:top w:w="0" w:type="dxa"/>
              <w:lef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January 6, 2023</w:t>
            </w:r>
          </w:p>
        </w:tc>
        <w:tc>
          <w:tcPr>
            <w:tcW w:w="1052" w:type="dxa"/>
            <w:tcBorders>
              <w:bottom w:val="single" w:sz="4" w:space="0" w:color="000000"/>
              <w:right w:val="single" w:sz="4" w:space="0" w:color="000000"/>
            </w:tcBorders>
            <w:shd w:fill="auto" w:val="clear"/>
            <w:tcMar>
              <w:top w:w="0" w:type="dxa"/>
              <w:lef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000</w:t>
              <w:noBreakHyphen/>
              <w:t>20859</w:t>
            </w:r>
          </w:p>
        </w:tc>
      </w:tr>
      <w:tr>
        <w:trPr/>
        <w:tc>
          <w:tcPr>
            <w:tcW w:w="706" w:type="dxa"/>
            <w:tcBorders>
              <w:left w:val="single" w:sz="4" w:space="0" w:color="000000"/>
              <w:bottom w:val="single" w:sz="4" w:space="0" w:color="000000"/>
              <w:right w:val="single" w:sz="4" w:space="0" w:color="000000"/>
            </w:tcBorders>
            <w:shd w:fill="auto" w:val="clear"/>
            <w:tcMar>
              <w:top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31.1+</w:t>
            </w:r>
          </w:p>
        </w:tc>
        <w:tc>
          <w:tcPr>
            <w:tcW w:w="6767" w:type="dxa"/>
            <w:tcBorders>
              <w:bottom w:val="single" w:sz="4" w:space="0" w:color="000000"/>
              <w:right w:val="single" w:sz="4" w:space="0" w:color="000000"/>
            </w:tcBorders>
            <w:shd w:fill="auto" w:val="clear"/>
            <w:tcMar>
              <w:top w:w="0" w:type="dxa"/>
              <w:left w:w="0" w:type="dxa"/>
            </w:tcMar>
            <w:vAlign w:val="center"/>
          </w:tcPr>
          <w:p>
            <w:pPr>
              <w:pStyle w:val="TableContents"/>
              <w:spacing w:before="0" w:after="0"/>
              <w:ind w:left="0" w:right="0" w:hanging="0"/>
              <w:jc w:val="left"/>
              <w:rPr/>
            </w:pPr>
            <w:hyperlink w:anchor="gern-ex31_1.htm">
              <w:r>
                <w:rPr>
                  <w:rStyle w:val="InternetLink"/>
                  <w:rFonts w:ascii="Times New Roman;serif" w:hAnsi="Times New Roman;serif"/>
                  <w:b w:val="false"/>
                  <w:sz w:val="20"/>
                  <w:u w:val="single"/>
                </w:rPr>
                <w:t>Certification of Chief Executive Officer pursuant to Form of Rule 13a</w:t>
                <w:noBreakHyphen/>
                <w:t>14(a), as Adopted Pursuant to Section 302(a) of the Sarbanes</w:t>
                <w:noBreakHyphen/>
                <w:t>Oxley Act of 2002, dated May 11, 2023</w:t>
              </w:r>
            </w:hyperlink>
          </w:p>
        </w:tc>
        <w:tc>
          <w:tcPr>
            <w:tcW w:w="691" w:type="dxa"/>
            <w:tcBorders>
              <w:bottom w:val="single" w:sz="4" w:space="0" w:color="000000"/>
              <w:right w:val="single" w:sz="4" w:space="0" w:color="000000"/>
            </w:tcBorders>
            <w:shd w:fill="auto" w:val="clear"/>
            <w:tcMar>
              <w:top w:w="0" w:type="dxa"/>
              <w:left w:w="0" w:type="dxa"/>
            </w:tcMar>
            <w:vAlign w:val="center"/>
          </w:tcPr>
          <w:p>
            <w:pPr>
              <w:pStyle w:val="TableContents"/>
              <w:spacing w:before="0" w:after="283"/>
              <w:ind w:left="0" w:right="0" w:hanging="0"/>
              <w:rPr>
                <w:sz w:val="4"/>
                <w:szCs w:val="4"/>
              </w:rPr>
            </w:pPr>
            <w:r>
              <w:rPr>
                <w:sz w:val="4"/>
                <w:szCs w:val="4"/>
              </w:rPr>
            </w:r>
          </w:p>
        </w:tc>
        <w:tc>
          <w:tcPr>
            <w:tcW w:w="526" w:type="dxa"/>
            <w:tcBorders>
              <w:bottom w:val="single" w:sz="4" w:space="0" w:color="000000"/>
              <w:right w:val="single" w:sz="4" w:space="0" w:color="000000"/>
            </w:tcBorders>
            <w:shd w:fill="auto" w:val="clear"/>
            <w:tcMar>
              <w:top w:w="0" w:type="dxa"/>
              <w:left w:w="0" w:type="dxa"/>
            </w:tcMar>
            <w:vAlign w:val="center"/>
          </w:tcPr>
          <w:p>
            <w:pPr>
              <w:pStyle w:val="TableContents"/>
              <w:spacing w:before="0" w:after="283"/>
              <w:ind w:left="0" w:right="0" w:hanging="0"/>
              <w:rPr>
                <w:sz w:val="4"/>
                <w:szCs w:val="4"/>
              </w:rPr>
            </w:pPr>
            <w:r>
              <w:rPr>
                <w:sz w:val="4"/>
                <w:szCs w:val="4"/>
              </w:rPr>
            </w:r>
          </w:p>
        </w:tc>
        <w:tc>
          <w:tcPr>
            <w:tcW w:w="797" w:type="dxa"/>
            <w:tcBorders>
              <w:bottom w:val="single" w:sz="4" w:space="0" w:color="000000"/>
              <w:right w:val="single" w:sz="4" w:space="0" w:color="000000"/>
            </w:tcBorders>
            <w:shd w:fill="auto" w:val="clear"/>
            <w:tcMar>
              <w:top w:w="0" w:type="dxa"/>
              <w:left w:w="0" w:type="dxa"/>
            </w:tcMar>
            <w:vAlign w:val="center"/>
          </w:tcPr>
          <w:p>
            <w:pPr>
              <w:pStyle w:val="TableContents"/>
              <w:spacing w:before="0" w:after="283"/>
              <w:ind w:left="0" w:right="0" w:hanging="0"/>
              <w:rPr>
                <w:sz w:val="4"/>
                <w:szCs w:val="4"/>
              </w:rPr>
            </w:pPr>
            <w:r>
              <w:rPr>
                <w:sz w:val="4"/>
                <w:szCs w:val="4"/>
              </w:rPr>
            </w:r>
          </w:p>
        </w:tc>
        <w:tc>
          <w:tcPr>
            <w:tcW w:w="1052" w:type="dxa"/>
            <w:tcBorders>
              <w:bottom w:val="single" w:sz="4" w:space="0" w:color="000000"/>
              <w:right w:val="single" w:sz="4" w:space="0" w:color="000000"/>
            </w:tcBorders>
            <w:shd w:fill="auto" w:val="clear"/>
            <w:tcMar>
              <w:top w:w="0" w:type="dxa"/>
              <w:left w:w="0" w:type="dxa"/>
            </w:tcMar>
            <w:vAlign w:val="center"/>
          </w:tcPr>
          <w:p>
            <w:pPr>
              <w:pStyle w:val="TableContents"/>
              <w:spacing w:before="0" w:after="283"/>
              <w:ind w:left="0" w:right="0" w:hanging="0"/>
              <w:rPr>
                <w:sz w:val="4"/>
                <w:szCs w:val="4"/>
              </w:rPr>
            </w:pPr>
            <w:r>
              <w:rPr>
                <w:sz w:val="4"/>
                <w:szCs w:val="4"/>
              </w:rPr>
            </w:r>
          </w:p>
        </w:tc>
      </w:tr>
      <w:tr>
        <w:trPr/>
        <w:tc>
          <w:tcPr>
            <w:tcW w:w="706" w:type="dxa"/>
            <w:tcBorders>
              <w:left w:val="single" w:sz="4" w:space="0" w:color="000000"/>
              <w:bottom w:val="single" w:sz="4" w:space="0" w:color="000000"/>
              <w:right w:val="single" w:sz="4" w:space="0" w:color="000000"/>
            </w:tcBorders>
            <w:shd w:fill="auto" w:val="clear"/>
            <w:tcMar>
              <w:top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31.2+</w:t>
            </w:r>
          </w:p>
        </w:tc>
        <w:tc>
          <w:tcPr>
            <w:tcW w:w="6767" w:type="dxa"/>
            <w:tcBorders>
              <w:bottom w:val="single" w:sz="4" w:space="0" w:color="000000"/>
              <w:right w:val="single" w:sz="4" w:space="0" w:color="000000"/>
            </w:tcBorders>
            <w:shd w:fill="auto" w:val="clear"/>
            <w:tcMar>
              <w:top w:w="0" w:type="dxa"/>
              <w:left w:w="0" w:type="dxa"/>
            </w:tcMar>
            <w:vAlign w:val="center"/>
          </w:tcPr>
          <w:p>
            <w:pPr>
              <w:pStyle w:val="TableContents"/>
              <w:spacing w:before="0" w:after="0"/>
              <w:ind w:left="0" w:right="0" w:hanging="0"/>
              <w:jc w:val="left"/>
              <w:rPr/>
            </w:pPr>
            <w:hyperlink w:anchor="gern-ex31_2.htm">
              <w:r>
                <w:rPr>
                  <w:rStyle w:val="InternetLink"/>
                  <w:rFonts w:ascii="Times New Roman;serif" w:hAnsi="Times New Roman;serif"/>
                  <w:b w:val="false"/>
                  <w:sz w:val="20"/>
                  <w:u w:val="single"/>
                </w:rPr>
                <w:t>Certification of Chief Financial Officer pursuant to Form of Rule 13a</w:t>
                <w:noBreakHyphen/>
                <w:t>14(a), as Adopted Pursuant to Section 302(a) of the Sarbanes</w:t>
                <w:noBreakHyphen/>
                <w:t>Oxley Act of 2002, dated May 11, 2023</w:t>
              </w:r>
            </w:hyperlink>
          </w:p>
        </w:tc>
        <w:tc>
          <w:tcPr>
            <w:tcW w:w="691" w:type="dxa"/>
            <w:tcBorders>
              <w:bottom w:val="single" w:sz="4" w:space="0" w:color="000000"/>
              <w:right w:val="single" w:sz="4" w:space="0" w:color="000000"/>
            </w:tcBorders>
            <w:shd w:fill="auto" w:val="clear"/>
            <w:tcMar>
              <w:top w:w="0" w:type="dxa"/>
              <w:left w:w="0" w:type="dxa"/>
            </w:tcMar>
            <w:vAlign w:val="center"/>
          </w:tcPr>
          <w:p>
            <w:pPr>
              <w:pStyle w:val="TableContents"/>
              <w:spacing w:before="0" w:after="283"/>
              <w:ind w:left="0" w:right="0" w:hanging="0"/>
              <w:rPr>
                <w:sz w:val="4"/>
                <w:szCs w:val="4"/>
              </w:rPr>
            </w:pPr>
            <w:r>
              <w:rPr>
                <w:sz w:val="4"/>
                <w:szCs w:val="4"/>
              </w:rPr>
            </w:r>
          </w:p>
        </w:tc>
        <w:tc>
          <w:tcPr>
            <w:tcW w:w="526" w:type="dxa"/>
            <w:tcBorders>
              <w:bottom w:val="single" w:sz="4" w:space="0" w:color="000000"/>
              <w:right w:val="single" w:sz="4" w:space="0" w:color="000000"/>
            </w:tcBorders>
            <w:shd w:fill="auto" w:val="clear"/>
            <w:tcMar>
              <w:top w:w="0" w:type="dxa"/>
              <w:left w:w="0" w:type="dxa"/>
            </w:tcMar>
            <w:vAlign w:val="center"/>
          </w:tcPr>
          <w:p>
            <w:pPr>
              <w:pStyle w:val="TableContents"/>
              <w:spacing w:before="0" w:after="283"/>
              <w:ind w:left="0" w:right="0" w:hanging="0"/>
              <w:rPr>
                <w:sz w:val="4"/>
                <w:szCs w:val="4"/>
              </w:rPr>
            </w:pPr>
            <w:r>
              <w:rPr>
                <w:sz w:val="4"/>
                <w:szCs w:val="4"/>
              </w:rPr>
            </w:r>
          </w:p>
        </w:tc>
        <w:tc>
          <w:tcPr>
            <w:tcW w:w="797" w:type="dxa"/>
            <w:tcBorders>
              <w:bottom w:val="single" w:sz="4" w:space="0" w:color="000000"/>
              <w:right w:val="single" w:sz="4" w:space="0" w:color="000000"/>
            </w:tcBorders>
            <w:shd w:fill="auto" w:val="clear"/>
            <w:tcMar>
              <w:top w:w="0" w:type="dxa"/>
              <w:left w:w="0" w:type="dxa"/>
            </w:tcMar>
            <w:vAlign w:val="center"/>
          </w:tcPr>
          <w:p>
            <w:pPr>
              <w:pStyle w:val="TableContents"/>
              <w:spacing w:before="0" w:after="283"/>
              <w:ind w:left="0" w:right="0" w:hanging="0"/>
              <w:rPr>
                <w:sz w:val="4"/>
                <w:szCs w:val="4"/>
              </w:rPr>
            </w:pPr>
            <w:r>
              <w:rPr>
                <w:sz w:val="4"/>
                <w:szCs w:val="4"/>
              </w:rPr>
            </w:r>
          </w:p>
        </w:tc>
        <w:tc>
          <w:tcPr>
            <w:tcW w:w="1052" w:type="dxa"/>
            <w:tcBorders>
              <w:bottom w:val="single" w:sz="4" w:space="0" w:color="000000"/>
              <w:right w:val="single" w:sz="4" w:space="0" w:color="000000"/>
            </w:tcBorders>
            <w:shd w:fill="auto" w:val="clear"/>
            <w:tcMar>
              <w:top w:w="0" w:type="dxa"/>
              <w:left w:w="0" w:type="dxa"/>
            </w:tcMar>
            <w:vAlign w:val="center"/>
          </w:tcPr>
          <w:p>
            <w:pPr>
              <w:pStyle w:val="TableContents"/>
              <w:spacing w:before="0" w:after="283"/>
              <w:ind w:left="0" w:right="0" w:hanging="0"/>
              <w:rPr>
                <w:sz w:val="4"/>
                <w:szCs w:val="4"/>
              </w:rPr>
            </w:pPr>
            <w:r>
              <w:rPr>
                <w:sz w:val="4"/>
                <w:szCs w:val="4"/>
              </w:rPr>
            </w:r>
          </w:p>
        </w:tc>
      </w:tr>
      <w:tr>
        <w:trPr/>
        <w:tc>
          <w:tcPr>
            <w:tcW w:w="706" w:type="dxa"/>
            <w:tcBorders>
              <w:left w:val="single" w:sz="4" w:space="0" w:color="000000"/>
              <w:bottom w:val="single" w:sz="4" w:space="0" w:color="000000"/>
              <w:right w:val="single" w:sz="4" w:space="0" w:color="000000"/>
            </w:tcBorders>
            <w:shd w:fill="auto" w:val="clear"/>
            <w:tcMar>
              <w:top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32.1+</w:t>
            </w:r>
          </w:p>
        </w:tc>
        <w:tc>
          <w:tcPr>
            <w:tcW w:w="6767" w:type="dxa"/>
            <w:tcBorders>
              <w:bottom w:val="single" w:sz="4" w:space="0" w:color="000000"/>
              <w:right w:val="single" w:sz="4" w:space="0" w:color="000000"/>
            </w:tcBorders>
            <w:shd w:fill="auto" w:val="clear"/>
            <w:tcMar>
              <w:top w:w="0" w:type="dxa"/>
              <w:left w:w="0" w:type="dxa"/>
            </w:tcMar>
            <w:vAlign w:val="center"/>
          </w:tcPr>
          <w:p>
            <w:pPr>
              <w:pStyle w:val="TableContents"/>
              <w:spacing w:before="0" w:after="0"/>
              <w:ind w:left="0" w:right="0" w:hanging="0"/>
              <w:jc w:val="left"/>
              <w:rPr/>
            </w:pPr>
            <w:hyperlink w:anchor="gern-ex32_1.htm">
              <w:r>
                <w:rPr>
                  <w:rStyle w:val="InternetLink"/>
                  <w:rFonts w:ascii="Times New Roman;serif" w:hAnsi="Times New Roman;serif"/>
                  <w:b w:val="false"/>
                  <w:sz w:val="20"/>
                  <w:u w:val="single"/>
                </w:rPr>
                <w:t>Certification of Chief Executive Officer pursuant to 18 U.S.C. Section 1350, as Adopted Pursuant to Section 906 of the Sarbanes</w:t>
                <w:noBreakHyphen/>
                <w:t>Oxley Act of 2002, dated May 11, 2023**</w:t>
              </w:r>
            </w:hyperlink>
          </w:p>
        </w:tc>
        <w:tc>
          <w:tcPr>
            <w:tcW w:w="691" w:type="dxa"/>
            <w:tcBorders>
              <w:bottom w:val="single" w:sz="4" w:space="0" w:color="000000"/>
              <w:right w:val="single" w:sz="4" w:space="0" w:color="000000"/>
            </w:tcBorders>
            <w:shd w:fill="auto" w:val="clear"/>
            <w:tcMar>
              <w:top w:w="0" w:type="dxa"/>
              <w:left w:w="0" w:type="dxa"/>
            </w:tcMar>
            <w:vAlign w:val="center"/>
          </w:tcPr>
          <w:p>
            <w:pPr>
              <w:pStyle w:val="TableContents"/>
              <w:spacing w:before="0" w:after="283"/>
              <w:ind w:left="0" w:right="0" w:hanging="0"/>
              <w:rPr>
                <w:sz w:val="4"/>
                <w:szCs w:val="4"/>
              </w:rPr>
            </w:pPr>
            <w:r>
              <w:rPr>
                <w:sz w:val="4"/>
                <w:szCs w:val="4"/>
              </w:rPr>
            </w:r>
          </w:p>
        </w:tc>
        <w:tc>
          <w:tcPr>
            <w:tcW w:w="526" w:type="dxa"/>
            <w:tcBorders>
              <w:bottom w:val="single" w:sz="4" w:space="0" w:color="000000"/>
              <w:right w:val="single" w:sz="4" w:space="0" w:color="000000"/>
            </w:tcBorders>
            <w:shd w:fill="auto" w:val="clear"/>
            <w:tcMar>
              <w:top w:w="0" w:type="dxa"/>
              <w:left w:w="0" w:type="dxa"/>
            </w:tcMar>
            <w:vAlign w:val="center"/>
          </w:tcPr>
          <w:p>
            <w:pPr>
              <w:pStyle w:val="TableContents"/>
              <w:spacing w:before="0" w:after="283"/>
              <w:ind w:left="0" w:right="0" w:hanging="0"/>
              <w:rPr>
                <w:sz w:val="4"/>
                <w:szCs w:val="4"/>
              </w:rPr>
            </w:pPr>
            <w:r>
              <w:rPr>
                <w:sz w:val="4"/>
                <w:szCs w:val="4"/>
              </w:rPr>
            </w:r>
          </w:p>
        </w:tc>
        <w:tc>
          <w:tcPr>
            <w:tcW w:w="797" w:type="dxa"/>
            <w:tcBorders>
              <w:bottom w:val="single" w:sz="4" w:space="0" w:color="000000"/>
              <w:right w:val="single" w:sz="4" w:space="0" w:color="000000"/>
            </w:tcBorders>
            <w:shd w:fill="auto" w:val="clear"/>
            <w:tcMar>
              <w:top w:w="0" w:type="dxa"/>
              <w:left w:w="0" w:type="dxa"/>
            </w:tcMar>
            <w:vAlign w:val="center"/>
          </w:tcPr>
          <w:p>
            <w:pPr>
              <w:pStyle w:val="TableContents"/>
              <w:spacing w:before="0" w:after="283"/>
              <w:ind w:left="0" w:right="0" w:hanging="0"/>
              <w:rPr>
                <w:sz w:val="4"/>
                <w:szCs w:val="4"/>
              </w:rPr>
            </w:pPr>
            <w:r>
              <w:rPr>
                <w:sz w:val="4"/>
                <w:szCs w:val="4"/>
              </w:rPr>
            </w:r>
          </w:p>
        </w:tc>
        <w:tc>
          <w:tcPr>
            <w:tcW w:w="1052" w:type="dxa"/>
            <w:tcBorders>
              <w:bottom w:val="single" w:sz="4" w:space="0" w:color="000000"/>
              <w:right w:val="single" w:sz="4" w:space="0" w:color="000000"/>
            </w:tcBorders>
            <w:shd w:fill="auto" w:val="clear"/>
            <w:tcMar>
              <w:top w:w="0" w:type="dxa"/>
              <w:left w:w="0" w:type="dxa"/>
            </w:tcMar>
            <w:vAlign w:val="center"/>
          </w:tcPr>
          <w:p>
            <w:pPr>
              <w:pStyle w:val="TableContents"/>
              <w:spacing w:before="0" w:after="283"/>
              <w:ind w:left="0" w:right="0" w:hanging="0"/>
              <w:rPr>
                <w:sz w:val="4"/>
                <w:szCs w:val="4"/>
              </w:rPr>
            </w:pPr>
            <w:r>
              <w:rPr>
                <w:sz w:val="4"/>
                <w:szCs w:val="4"/>
              </w:rPr>
            </w:r>
          </w:p>
        </w:tc>
      </w:tr>
      <w:tr>
        <w:trPr/>
        <w:tc>
          <w:tcPr>
            <w:tcW w:w="706" w:type="dxa"/>
            <w:tcBorders>
              <w:left w:val="single" w:sz="4" w:space="0" w:color="000000"/>
              <w:bottom w:val="single" w:sz="4" w:space="0" w:color="000000"/>
              <w:right w:val="single" w:sz="4" w:space="0" w:color="000000"/>
            </w:tcBorders>
            <w:shd w:fill="auto" w:val="clear"/>
            <w:tcMar>
              <w:top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32.2+</w:t>
            </w:r>
          </w:p>
        </w:tc>
        <w:tc>
          <w:tcPr>
            <w:tcW w:w="6767" w:type="dxa"/>
            <w:tcBorders>
              <w:bottom w:val="single" w:sz="4" w:space="0" w:color="000000"/>
              <w:right w:val="single" w:sz="4" w:space="0" w:color="000000"/>
            </w:tcBorders>
            <w:shd w:fill="auto" w:val="clear"/>
            <w:tcMar>
              <w:top w:w="0" w:type="dxa"/>
              <w:left w:w="0" w:type="dxa"/>
            </w:tcMar>
            <w:vAlign w:val="center"/>
          </w:tcPr>
          <w:p>
            <w:pPr>
              <w:pStyle w:val="TableContents"/>
              <w:spacing w:before="0" w:after="0"/>
              <w:ind w:left="0" w:right="0" w:hanging="0"/>
              <w:jc w:val="left"/>
              <w:rPr/>
            </w:pPr>
            <w:hyperlink w:anchor="gern-ex32_2.htm">
              <w:r>
                <w:rPr>
                  <w:rStyle w:val="InternetLink"/>
                  <w:rFonts w:ascii="Times New Roman;serif" w:hAnsi="Times New Roman;serif"/>
                  <w:b w:val="false"/>
                  <w:sz w:val="20"/>
                  <w:u w:val="single"/>
                </w:rPr>
                <w:t>Certification of Chief Financial Officer pursuant to 18 U.S.C. Section 1350, as Adopted Pursuant to Section 906 of the Sarbanes</w:t>
                <w:noBreakHyphen/>
                <w:t>Oxley Act of 2002, dated May 11, 2023**</w:t>
              </w:r>
            </w:hyperlink>
          </w:p>
        </w:tc>
        <w:tc>
          <w:tcPr>
            <w:tcW w:w="691" w:type="dxa"/>
            <w:tcBorders>
              <w:bottom w:val="single" w:sz="4" w:space="0" w:color="000000"/>
              <w:right w:val="single" w:sz="4" w:space="0" w:color="000000"/>
            </w:tcBorders>
            <w:shd w:fill="auto" w:val="clear"/>
            <w:tcMar>
              <w:top w:w="0" w:type="dxa"/>
              <w:left w:w="0" w:type="dxa"/>
            </w:tcMar>
            <w:vAlign w:val="center"/>
          </w:tcPr>
          <w:p>
            <w:pPr>
              <w:pStyle w:val="TableContents"/>
              <w:spacing w:before="0" w:after="283"/>
              <w:ind w:left="0" w:right="0" w:hanging="0"/>
              <w:rPr>
                <w:sz w:val="4"/>
                <w:szCs w:val="4"/>
              </w:rPr>
            </w:pPr>
            <w:r>
              <w:rPr>
                <w:sz w:val="4"/>
                <w:szCs w:val="4"/>
              </w:rPr>
            </w:r>
          </w:p>
        </w:tc>
        <w:tc>
          <w:tcPr>
            <w:tcW w:w="526" w:type="dxa"/>
            <w:tcBorders>
              <w:bottom w:val="single" w:sz="4" w:space="0" w:color="000000"/>
              <w:right w:val="single" w:sz="4" w:space="0" w:color="000000"/>
            </w:tcBorders>
            <w:shd w:fill="auto" w:val="clear"/>
            <w:tcMar>
              <w:top w:w="0" w:type="dxa"/>
              <w:left w:w="0" w:type="dxa"/>
            </w:tcMar>
            <w:vAlign w:val="center"/>
          </w:tcPr>
          <w:p>
            <w:pPr>
              <w:pStyle w:val="TableContents"/>
              <w:spacing w:before="0" w:after="283"/>
              <w:ind w:left="0" w:right="0" w:hanging="0"/>
              <w:rPr>
                <w:sz w:val="4"/>
                <w:szCs w:val="4"/>
              </w:rPr>
            </w:pPr>
            <w:r>
              <w:rPr>
                <w:sz w:val="4"/>
                <w:szCs w:val="4"/>
              </w:rPr>
            </w:r>
          </w:p>
        </w:tc>
        <w:tc>
          <w:tcPr>
            <w:tcW w:w="797" w:type="dxa"/>
            <w:tcBorders>
              <w:bottom w:val="single" w:sz="4" w:space="0" w:color="000000"/>
              <w:right w:val="single" w:sz="4" w:space="0" w:color="000000"/>
            </w:tcBorders>
            <w:shd w:fill="auto" w:val="clear"/>
            <w:tcMar>
              <w:top w:w="0" w:type="dxa"/>
              <w:left w:w="0" w:type="dxa"/>
            </w:tcMar>
            <w:vAlign w:val="center"/>
          </w:tcPr>
          <w:p>
            <w:pPr>
              <w:pStyle w:val="TableContents"/>
              <w:spacing w:before="0" w:after="283"/>
              <w:ind w:left="0" w:right="0" w:hanging="0"/>
              <w:rPr>
                <w:sz w:val="4"/>
                <w:szCs w:val="4"/>
              </w:rPr>
            </w:pPr>
            <w:r>
              <w:rPr>
                <w:sz w:val="4"/>
                <w:szCs w:val="4"/>
              </w:rPr>
            </w:r>
          </w:p>
        </w:tc>
        <w:tc>
          <w:tcPr>
            <w:tcW w:w="1052" w:type="dxa"/>
            <w:tcBorders>
              <w:bottom w:val="single" w:sz="4" w:space="0" w:color="000000"/>
              <w:right w:val="single" w:sz="4" w:space="0" w:color="000000"/>
            </w:tcBorders>
            <w:shd w:fill="auto" w:val="clear"/>
            <w:tcMar>
              <w:top w:w="0" w:type="dxa"/>
              <w:left w:w="0" w:type="dxa"/>
            </w:tcMar>
            <w:vAlign w:val="center"/>
          </w:tcPr>
          <w:p>
            <w:pPr>
              <w:pStyle w:val="TableContents"/>
              <w:spacing w:before="0" w:after="283"/>
              <w:ind w:left="0" w:right="0" w:hanging="0"/>
              <w:rPr>
                <w:sz w:val="4"/>
                <w:szCs w:val="4"/>
              </w:rPr>
            </w:pPr>
            <w:r>
              <w:rPr>
                <w:sz w:val="4"/>
                <w:szCs w:val="4"/>
              </w:rPr>
            </w:r>
          </w:p>
        </w:tc>
      </w:tr>
      <w:tr>
        <w:trPr/>
        <w:tc>
          <w:tcPr>
            <w:tcW w:w="706" w:type="dxa"/>
            <w:tcBorders>
              <w:left w:val="single" w:sz="4" w:space="0" w:color="000000"/>
              <w:bottom w:val="single" w:sz="4" w:space="0" w:color="000000"/>
              <w:right w:val="single" w:sz="4" w:space="0" w:color="000000"/>
            </w:tcBorders>
            <w:shd w:fill="auto" w:val="clear"/>
            <w:tcMar>
              <w:top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101</w:t>
            </w:r>
          </w:p>
        </w:tc>
        <w:tc>
          <w:tcPr>
            <w:tcW w:w="6767" w:type="dxa"/>
            <w:tcBorders>
              <w:bottom w:val="single" w:sz="4" w:space="0" w:color="000000"/>
              <w:right w:val="single" w:sz="4" w:space="0" w:color="000000"/>
            </w:tcBorders>
            <w:shd w:fill="auto" w:val="clear"/>
            <w:tcMar>
              <w:top w:w="0" w:type="dxa"/>
              <w:lef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The following materials from the Registrant’s March 31, 2023 Quarterly Report on Form 10-Q for the quarter ended March 31, 2023 formatted in Inline Extensible Business Reporting Language (iXBRL) include: (i) Condensed Consolidated Balance Sheets as of March 31, 2023 and December 31, 2022, (ii) Condensed Consolidated Statements of Operations and Comprehensive Loss for the three months ended March 31, 2023 and 2022, (iii) Condensed Consolidated Statements of Stockholders’ Equity for the three months ended March 31, 2023 and 2022, (iv) Condensed Consolidated Statements of Cash Flows for the three months ended March 31, 2023 and 2022 and (v) Notes to Condensed Consolidated Financial Statements.</w:t>
            </w:r>
          </w:p>
        </w:tc>
        <w:tc>
          <w:tcPr>
            <w:tcW w:w="691" w:type="dxa"/>
            <w:tcBorders>
              <w:bottom w:val="single" w:sz="4" w:space="0" w:color="000000"/>
              <w:right w:val="single" w:sz="4" w:space="0" w:color="000000"/>
            </w:tcBorders>
            <w:shd w:fill="auto" w:val="clear"/>
            <w:tcMar>
              <w:top w:w="0" w:type="dxa"/>
              <w:left w:w="0" w:type="dxa"/>
            </w:tcMar>
            <w:vAlign w:val="center"/>
          </w:tcPr>
          <w:p>
            <w:pPr>
              <w:pStyle w:val="TableContents"/>
              <w:spacing w:before="0" w:after="283"/>
              <w:ind w:left="0" w:right="0" w:hanging="0"/>
              <w:rPr>
                <w:sz w:val="4"/>
                <w:szCs w:val="4"/>
              </w:rPr>
            </w:pPr>
            <w:r>
              <w:rPr>
                <w:sz w:val="4"/>
                <w:szCs w:val="4"/>
              </w:rPr>
            </w:r>
          </w:p>
        </w:tc>
        <w:tc>
          <w:tcPr>
            <w:tcW w:w="526" w:type="dxa"/>
            <w:tcBorders>
              <w:bottom w:val="single" w:sz="4" w:space="0" w:color="000000"/>
              <w:right w:val="single" w:sz="4" w:space="0" w:color="000000"/>
            </w:tcBorders>
            <w:shd w:fill="auto" w:val="clear"/>
            <w:tcMar>
              <w:top w:w="0" w:type="dxa"/>
              <w:left w:w="0" w:type="dxa"/>
            </w:tcMar>
            <w:vAlign w:val="center"/>
          </w:tcPr>
          <w:p>
            <w:pPr>
              <w:pStyle w:val="TableContents"/>
              <w:spacing w:before="0" w:after="283"/>
              <w:ind w:left="0" w:right="0" w:hanging="0"/>
              <w:rPr>
                <w:sz w:val="4"/>
                <w:szCs w:val="4"/>
              </w:rPr>
            </w:pPr>
            <w:r>
              <w:rPr>
                <w:sz w:val="4"/>
                <w:szCs w:val="4"/>
              </w:rPr>
            </w:r>
          </w:p>
        </w:tc>
        <w:tc>
          <w:tcPr>
            <w:tcW w:w="797" w:type="dxa"/>
            <w:tcBorders>
              <w:bottom w:val="single" w:sz="4" w:space="0" w:color="000000"/>
              <w:right w:val="single" w:sz="4" w:space="0" w:color="000000"/>
            </w:tcBorders>
            <w:shd w:fill="auto" w:val="clear"/>
            <w:tcMar>
              <w:top w:w="0" w:type="dxa"/>
              <w:left w:w="0" w:type="dxa"/>
            </w:tcMar>
            <w:vAlign w:val="center"/>
          </w:tcPr>
          <w:p>
            <w:pPr>
              <w:pStyle w:val="TableContents"/>
              <w:spacing w:before="0" w:after="283"/>
              <w:ind w:left="0" w:right="0" w:hanging="0"/>
              <w:rPr>
                <w:sz w:val="4"/>
                <w:szCs w:val="4"/>
              </w:rPr>
            </w:pPr>
            <w:r>
              <w:rPr>
                <w:sz w:val="4"/>
                <w:szCs w:val="4"/>
              </w:rPr>
            </w:r>
          </w:p>
        </w:tc>
        <w:tc>
          <w:tcPr>
            <w:tcW w:w="1052" w:type="dxa"/>
            <w:tcBorders>
              <w:bottom w:val="single" w:sz="4" w:space="0" w:color="000000"/>
              <w:right w:val="single" w:sz="4" w:space="0" w:color="000000"/>
            </w:tcBorders>
            <w:shd w:fill="auto" w:val="clear"/>
            <w:tcMar>
              <w:top w:w="0" w:type="dxa"/>
              <w:left w:w="0" w:type="dxa"/>
            </w:tcMar>
            <w:vAlign w:val="center"/>
          </w:tcPr>
          <w:p>
            <w:pPr>
              <w:pStyle w:val="TableContents"/>
              <w:spacing w:before="0" w:after="283"/>
              <w:ind w:left="0" w:right="0" w:hanging="0"/>
              <w:rPr>
                <w:sz w:val="4"/>
                <w:szCs w:val="4"/>
              </w:rPr>
            </w:pPr>
            <w:r>
              <w:rPr>
                <w:sz w:val="4"/>
                <w:szCs w:val="4"/>
              </w:rPr>
            </w:r>
          </w:p>
        </w:tc>
      </w:tr>
      <w:tr>
        <w:trPr/>
        <w:tc>
          <w:tcPr>
            <w:tcW w:w="706" w:type="dxa"/>
            <w:tcBorders>
              <w:left w:val="single" w:sz="4" w:space="0" w:color="000000"/>
              <w:bottom w:val="single" w:sz="4" w:space="0" w:color="000000"/>
              <w:right w:val="single" w:sz="4" w:space="0" w:color="000000"/>
            </w:tcBorders>
            <w:shd w:fill="auto" w:val="clear"/>
            <w:tcMar>
              <w:top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104</w:t>
            </w:r>
          </w:p>
        </w:tc>
        <w:tc>
          <w:tcPr>
            <w:tcW w:w="6767" w:type="dxa"/>
            <w:tcBorders>
              <w:bottom w:val="single" w:sz="4" w:space="0" w:color="000000"/>
              <w:right w:val="single" w:sz="4" w:space="0" w:color="000000"/>
            </w:tcBorders>
            <w:shd w:fill="auto" w:val="clear"/>
            <w:tcMar>
              <w:top w:w="0" w:type="dxa"/>
              <w:lef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Cover Page Interactive Data File (embedded within the Inline XBRL document)</w:t>
            </w:r>
          </w:p>
        </w:tc>
        <w:tc>
          <w:tcPr>
            <w:tcW w:w="691" w:type="dxa"/>
            <w:tcBorders>
              <w:bottom w:val="single" w:sz="4" w:space="0" w:color="000000"/>
              <w:right w:val="single" w:sz="4" w:space="0" w:color="000000"/>
            </w:tcBorders>
            <w:shd w:fill="auto" w:val="clear"/>
            <w:tcMar>
              <w:top w:w="0" w:type="dxa"/>
              <w:left w:w="0" w:type="dxa"/>
            </w:tcMar>
            <w:vAlign w:val="center"/>
          </w:tcPr>
          <w:p>
            <w:pPr>
              <w:pStyle w:val="TableContents"/>
              <w:spacing w:before="0" w:after="283"/>
              <w:ind w:left="0" w:right="0" w:hanging="0"/>
              <w:rPr>
                <w:sz w:val="4"/>
                <w:szCs w:val="4"/>
              </w:rPr>
            </w:pPr>
            <w:r>
              <w:rPr>
                <w:sz w:val="4"/>
                <w:szCs w:val="4"/>
              </w:rPr>
            </w:r>
          </w:p>
        </w:tc>
        <w:tc>
          <w:tcPr>
            <w:tcW w:w="526" w:type="dxa"/>
            <w:tcBorders>
              <w:bottom w:val="single" w:sz="4" w:space="0" w:color="000000"/>
              <w:right w:val="single" w:sz="4" w:space="0" w:color="000000"/>
            </w:tcBorders>
            <w:shd w:fill="auto" w:val="clear"/>
            <w:tcMar>
              <w:top w:w="0" w:type="dxa"/>
              <w:left w:w="0" w:type="dxa"/>
            </w:tcMar>
            <w:vAlign w:val="center"/>
          </w:tcPr>
          <w:p>
            <w:pPr>
              <w:pStyle w:val="TableContents"/>
              <w:spacing w:before="0" w:after="283"/>
              <w:ind w:left="0" w:right="0" w:hanging="0"/>
              <w:rPr>
                <w:sz w:val="4"/>
                <w:szCs w:val="4"/>
              </w:rPr>
            </w:pPr>
            <w:r>
              <w:rPr>
                <w:sz w:val="4"/>
                <w:szCs w:val="4"/>
              </w:rPr>
            </w:r>
          </w:p>
        </w:tc>
        <w:tc>
          <w:tcPr>
            <w:tcW w:w="797" w:type="dxa"/>
            <w:tcBorders>
              <w:bottom w:val="single" w:sz="4" w:space="0" w:color="000000"/>
              <w:right w:val="single" w:sz="4" w:space="0" w:color="000000"/>
            </w:tcBorders>
            <w:shd w:fill="auto" w:val="clear"/>
            <w:tcMar>
              <w:top w:w="0" w:type="dxa"/>
              <w:left w:w="0" w:type="dxa"/>
            </w:tcMar>
            <w:vAlign w:val="center"/>
          </w:tcPr>
          <w:p>
            <w:pPr>
              <w:pStyle w:val="TableContents"/>
              <w:spacing w:before="0" w:after="283"/>
              <w:ind w:left="0" w:right="0" w:hanging="0"/>
              <w:rPr>
                <w:sz w:val="4"/>
                <w:szCs w:val="4"/>
              </w:rPr>
            </w:pPr>
            <w:r>
              <w:rPr>
                <w:sz w:val="4"/>
                <w:szCs w:val="4"/>
              </w:rPr>
            </w:r>
          </w:p>
        </w:tc>
        <w:tc>
          <w:tcPr>
            <w:tcW w:w="1052" w:type="dxa"/>
            <w:tcBorders>
              <w:bottom w:val="single" w:sz="4" w:space="0" w:color="000000"/>
              <w:right w:val="single" w:sz="4" w:space="0" w:color="000000"/>
            </w:tcBorders>
            <w:shd w:fill="auto" w:val="clear"/>
            <w:tcMar>
              <w:top w:w="0" w:type="dxa"/>
              <w:left w:w="0" w:type="dxa"/>
            </w:tcMar>
            <w:vAlign w:val="center"/>
          </w:tcPr>
          <w:p>
            <w:pPr>
              <w:pStyle w:val="TableContents"/>
              <w:spacing w:before="0" w:after="283"/>
              <w:ind w:left="0" w:right="0" w:hanging="0"/>
              <w:rPr>
                <w:sz w:val="4"/>
                <w:szCs w:val="4"/>
              </w:rPr>
            </w:pPr>
            <w:r>
              <w:rPr>
                <w:sz w:val="4"/>
                <w:szCs w:val="4"/>
              </w:rPr>
            </w:r>
          </w:p>
        </w:tc>
      </w:tr>
    </w:tbl>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 Filed herewith.</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 The certifications attached as Exhibits 32.1 and 32.2 that accompany this Quarterly Report on Form 10-Q, are not deemed filed with the Securities and Exchange Commission and are not to be incorporated by reference into any filing of the Company under the Securities Act of 1933, as amended, or the Securities Exchange Act of 1934, as amended (whether made before or after the date of this Form 10-Q), irrespective of any general incorporation language contained in such filing.</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79</w:t>
      </w:r>
    </w:p>
    <w:p>
      <w:pPr>
        <w:pStyle w:val="HorizontalLine"/>
        <w:rPr/>
      </w:pPr>
      <w:r>
        <w:rPr/>
      </w:r>
    </w:p>
    <w:p>
      <w:pPr>
        <w:pStyle w:val="TextBody"/>
        <w:spacing w:before="0" w:after="0"/>
        <w:jc w:val="left"/>
        <w:rPr/>
      </w:pPr>
      <w:r>
        <w:rPr/>
        <w:t> </w:t>
      </w:r>
    </w:p>
    <w:p>
      <w:pPr>
        <w:pStyle w:val="TextBody"/>
        <w:spacing w:before="360" w:after="0"/>
        <w:jc w:val="center"/>
        <w:rPr>
          <w:rFonts w:ascii="Times New Roman;serif" w:hAnsi="Times New Roman;serif"/>
          <w:b/>
          <w:sz w:val="20"/>
        </w:rPr>
      </w:pPr>
      <w:bookmarkStart w:id="22" w:name="signature_125425"/>
      <w:bookmarkEnd w:id="22"/>
      <w:r>
        <w:rPr>
          <w:rFonts w:ascii="Times New Roman;serif" w:hAnsi="Times New Roman;serif"/>
          <w:b/>
          <w:sz w:val="20"/>
        </w:rPr>
        <w:t>SIGNATURES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Pursuant to the requirements of the Securities Exchange Act of 1934, the registrant has duly caused this Report to be signed on its behalf by the undersigned, thereunto duly authorized.</w:t>
      </w:r>
    </w:p>
    <w:p>
      <w:pPr>
        <w:pStyle w:val="TextBody"/>
        <w:spacing w:before="0" w:after="0"/>
        <w:jc w:val="left"/>
        <w:rPr/>
      </w:pPr>
      <w:r>
        <w:rPr/>
        <w:t> </w:t>
      </w:r>
    </w:p>
    <w:tbl>
      <w:tblPr>
        <w:tblW w:w="8373" w:type="dxa"/>
        <w:jc w:val="left"/>
        <w:tblInd w:w="0" w:type="dxa"/>
        <w:tblCellMar>
          <w:top w:w="28" w:type="dxa"/>
          <w:left w:w="28" w:type="dxa"/>
          <w:bottom w:w="28" w:type="dxa"/>
          <w:right w:w="28" w:type="dxa"/>
        </w:tblCellMar>
      </w:tblPr>
      <w:tblGrid>
        <w:gridCol w:w="1741"/>
        <w:gridCol w:w="406"/>
        <w:gridCol w:w="6226"/>
      </w:tblGrid>
      <w:tr>
        <w:trPr/>
        <w:tc>
          <w:tcPr>
            <w:tcW w:w="174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6226" w:type="dxa"/>
            <w:tcBorders/>
            <w:shd w:fill="auto" w:val="clear"/>
            <w:vAlign w:val="center"/>
          </w:tcPr>
          <w:p>
            <w:pPr>
              <w:pStyle w:val="TableContents"/>
              <w:spacing w:before="0" w:after="283"/>
              <w:rPr>
                <w:sz w:val="4"/>
                <w:szCs w:val="4"/>
              </w:rPr>
            </w:pPr>
            <w:r>
              <w:rPr>
                <w:sz w:val="4"/>
                <w:szCs w:val="4"/>
              </w:rPr>
            </w:r>
          </w:p>
        </w:tc>
      </w:tr>
      <w:tr>
        <w:trPr/>
        <w:tc>
          <w:tcPr>
            <w:tcW w:w="1741" w:type="dxa"/>
            <w:tcBorders/>
            <w:shd w:fill="auto" w:val="clear"/>
            <w:vAlign w:val="center"/>
          </w:tcPr>
          <w:p>
            <w:pPr>
              <w:pStyle w:val="TableContents"/>
              <w:spacing w:before="0" w:after="0"/>
              <w:ind w:left="0" w:right="0" w:hanging="0"/>
              <w:jc w:val="left"/>
              <w:rPr/>
            </w:pPr>
            <w:r>
              <w:rPr/>
              <w:t> </w:t>
            </w:r>
          </w:p>
        </w:tc>
        <w:tc>
          <w:tcPr>
            <w:tcW w:w="6632" w:type="dxa"/>
            <w:gridSpan w:val="2"/>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GERON CORPORATION</w:t>
            </w:r>
          </w:p>
        </w:tc>
      </w:tr>
      <w:tr>
        <w:trPr/>
        <w:tc>
          <w:tcPr>
            <w:tcW w:w="1741" w:type="dxa"/>
            <w:tcBorders/>
            <w:shd w:fill="auto" w:val="clear"/>
            <w:vAlign w:val="center"/>
          </w:tcPr>
          <w:p>
            <w:pPr>
              <w:pStyle w:val="TableContents"/>
              <w:spacing w:before="0" w:after="0"/>
              <w:ind w:left="0" w:right="0" w:hanging="0"/>
              <w:jc w:val="left"/>
              <w:rPr/>
            </w:pPr>
            <w:r>
              <w:rPr/>
              <w:t> </w:t>
            </w:r>
          </w:p>
        </w:tc>
        <w:tc>
          <w:tcPr>
            <w:tcW w:w="406" w:type="dxa"/>
            <w:tcBorders/>
            <w:shd w:fill="auto" w:val="clear"/>
            <w:vAlign w:val="center"/>
          </w:tcPr>
          <w:p>
            <w:pPr>
              <w:pStyle w:val="TableContents"/>
              <w:spacing w:before="0" w:after="0"/>
              <w:ind w:left="0" w:right="0" w:hanging="0"/>
              <w:jc w:val="left"/>
              <w:rPr/>
            </w:pPr>
            <w:r>
              <w:rPr/>
              <w:t> </w:t>
            </w:r>
          </w:p>
        </w:tc>
        <w:tc>
          <w:tcPr>
            <w:tcW w:w="6226" w:type="dxa"/>
            <w:tcBorders/>
            <w:shd w:fill="auto" w:val="clear"/>
            <w:vAlign w:val="center"/>
          </w:tcPr>
          <w:p>
            <w:pPr>
              <w:pStyle w:val="TableContents"/>
              <w:spacing w:before="0" w:after="0"/>
              <w:ind w:left="0" w:right="0" w:hanging="0"/>
              <w:jc w:val="left"/>
              <w:rPr/>
            </w:pPr>
            <w:r>
              <w:rPr/>
              <w:t> </w:t>
            </w:r>
          </w:p>
        </w:tc>
      </w:tr>
      <w:tr>
        <w:trPr/>
        <w:tc>
          <w:tcPr>
            <w:tcW w:w="17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Date: May 11, 2023</w:t>
            </w:r>
          </w:p>
        </w:tc>
        <w:tc>
          <w:tcPr>
            <w:tcW w:w="4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62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 OLIVIA BLOOM</w:t>
            </w:r>
          </w:p>
        </w:tc>
      </w:tr>
      <w:tr>
        <w:trPr/>
        <w:tc>
          <w:tcPr>
            <w:tcW w:w="1741" w:type="dxa"/>
            <w:tcBorders/>
            <w:shd w:fill="auto" w:val="clear"/>
            <w:vAlign w:val="center"/>
          </w:tcPr>
          <w:p>
            <w:pPr>
              <w:pStyle w:val="TableContents"/>
              <w:spacing w:before="0" w:after="0"/>
              <w:ind w:left="0" w:right="0" w:hanging="0"/>
              <w:jc w:val="left"/>
              <w:rPr/>
            </w:pPr>
            <w:r>
              <w:rPr/>
              <w:t> </w:t>
            </w:r>
          </w:p>
        </w:tc>
        <w:tc>
          <w:tcPr>
            <w:tcW w:w="406" w:type="dxa"/>
            <w:tcBorders/>
            <w:shd w:fill="auto" w:val="clear"/>
            <w:vAlign w:val="center"/>
          </w:tcPr>
          <w:p>
            <w:pPr>
              <w:pStyle w:val="TableContents"/>
              <w:spacing w:before="0" w:after="0"/>
              <w:ind w:left="0" w:right="0" w:hanging="0"/>
              <w:jc w:val="left"/>
              <w:rPr/>
            </w:pPr>
            <w:r>
              <w:rPr/>
              <w:t> </w:t>
            </w:r>
          </w:p>
        </w:tc>
        <w:tc>
          <w:tcPr>
            <w:tcW w:w="62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OLIVIA K. BLOOM</w:t>
            </w:r>
          </w:p>
        </w:tc>
      </w:tr>
      <w:tr>
        <w:trPr/>
        <w:tc>
          <w:tcPr>
            <w:tcW w:w="1741" w:type="dxa"/>
            <w:tcBorders/>
            <w:shd w:fill="auto" w:val="clear"/>
            <w:vAlign w:val="center"/>
          </w:tcPr>
          <w:p>
            <w:pPr>
              <w:pStyle w:val="TableContents"/>
              <w:spacing w:before="0" w:after="0"/>
              <w:ind w:left="0" w:right="0" w:hanging="0"/>
              <w:jc w:val="left"/>
              <w:rPr/>
            </w:pPr>
            <w:r>
              <w:rPr/>
              <w:t> </w:t>
            </w:r>
          </w:p>
        </w:tc>
        <w:tc>
          <w:tcPr>
            <w:tcW w:w="406" w:type="dxa"/>
            <w:tcBorders/>
            <w:shd w:fill="auto" w:val="clear"/>
            <w:vAlign w:val="center"/>
          </w:tcPr>
          <w:p>
            <w:pPr>
              <w:pStyle w:val="TableContents"/>
              <w:spacing w:before="0" w:after="0"/>
              <w:ind w:left="0" w:right="0" w:hanging="0"/>
              <w:jc w:val="left"/>
              <w:rPr/>
            </w:pPr>
            <w:r>
              <w:rPr/>
              <w:t> </w:t>
            </w:r>
          </w:p>
        </w:tc>
        <w:tc>
          <w:tcPr>
            <w:tcW w:w="6226" w:type="dxa"/>
            <w:tcBorders/>
            <w:shd w:fill="auto" w:val="clear"/>
            <w:vAlign w:val="center"/>
          </w:tcPr>
          <w:p>
            <w:pPr>
              <w:pStyle w:val="TableContents"/>
              <w:spacing w:before="0" w:after="0"/>
              <w:ind w:left="0" w:right="0" w:hanging="0"/>
              <w:jc w:val="left"/>
              <w:rPr>
                <w:rFonts w:ascii="Times New Roman;serif" w:hAnsi="Times New Roman;serif"/>
                <w:b w:val="false"/>
                <w:i/>
                <w:sz w:val="20"/>
              </w:rPr>
            </w:pPr>
            <w:r>
              <w:rPr>
                <w:rFonts w:ascii="Times New Roman;serif" w:hAnsi="Times New Roman;serif"/>
                <w:b w:val="false"/>
                <w:i/>
                <w:sz w:val="20"/>
              </w:rPr>
              <w:t>Executive Vice President, Finance, Chief Financial Officer and Treasurer</w:t>
            </w:r>
          </w:p>
          <w:p>
            <w:pPr>
              <w:pStyle w:val="TableContents"/>
              <w:spacing w:before="0" w:after="0"/>
              <w:ind w:left="0" w:right="0" w:hanging="0"/>
              <w:jc w:val="left"/>
              <w:rPr>
                <w:rFonts w:ascii="Times New Roman;serif" w:hAnsi="Times New Roman;serif"/>
                <w:b w:val="false"/>
                <w:i/>
                <w:sz w:val="20"/>
              </w:rPr>
            </w:pPr>
            <w:r>
              <w:rPr>
                <w:rFonts w:ascii="Times New Roman;serif" w:hAnsi="Times New Roman;serif"/>
                <w:b w:val="false"/>
                <w:i/>
                <w:sz w:val="20"/>
              </w:rPr>
              <w:t>(Duly Authorized Officer and Principal Financial and Accounting Officer)</w:t>
            </w:r>
          </w:p>
        </w:tc>
      </w:tr>
    </w:tbl>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80</w:t>
      </w:r>
    </w:p>
    <w:p>
      <w:pPr>
        <w:pStyle w:val="HorizontalLine"/>
        <w:rPr/>
      </w:pPr>
      <w:r>
        <w:rPr/>
      </w:r>
      <w:r>
        <w:br w:type="page"/>
      </w:r>
    </w:p>
    <w:p>
      <w:pPr>
        <w:pStyle w:val="TextBody"/>
        <w:spacing w:before="0" w:after="0"/>
        <w:jc w:val="left"/>
        <w:rPr/>
      </w:pPr>
      <w:bookmarkStart w:id="23" w:name="gern-ex31_1.htm"/>
      <w:bookmarkStart w:id="24" w:name="ksgernex31_1"/>
      <w:bookmarkEnd w:id="23"/>
      <w:bookmarkEnd w:id="24"/>
      <w:r>
        <w:rPr/>
        <w:t> </w:t>
      </w:r>
    </w:p>
    <w:p>
      <w:pPr>
        <w:pStyle w:val="TextBody"/>
        <w:spacing w:before="0" w:after="0"/>
        <w:jc w:val="right"/>
        <w:rPr>
          <w:rFonts w:ascii="Times New Roman;serif" w:hAnsi="Times New Roman;serif"/>
          <w:b/>
          <w:sz w:val="20"/>
        </w:rPr>
      </w:pPr>
      <w:r>
        <w:rPr>
          <w:rFonts w:ascii="Times New Roman;serif" w:hAnsi="Times New Roman;serif"/>
          <w:b/>
          <w:sz w:val="20"/>
        </w:rPr>
        <w:t>EXHIBIT 31.1</w:t>
      </w:r>
    </w:p>
    <w:p>
      <w:pPr>
        <w:pStyle w:val="TextBody"/>
        <w:spacing w:before="240" w:after="0"/>
        <w:jc w:val="center"/>
        <w:rPr>
          <w:rFonts w:ascii="Times New Roman;serif" w:hAnsi="Times New Roman;serif"/>
          <w:b/>
          <w:sz w:val="20"/>
        </w:rPr>
      </w:pPr>
      <w:r>
        <w:rPr>
          <w:rFonts w:ascii="Times New Roman;serif" w:hAnsi="Times New Roman;serif"/>
          <w:b/>
          <w:sz w:val="20"/>
        </w:rPr>
        <w:t>CERTIFICATION PURSUANT TO</w:t>
        <w:br/>
        <w:t>FORM OF RULE 13A-14(A)</w:t>
        <w:br/>
        <w:t>AS ADOPTED PURSUANT TO</w:t>
        <w:br/>
        <w:t>SECTION 302(A) OF THE SARBANES-OXLEY ACT OF 2002</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I, John A. Scarlett, M.D., certify that:</w:t>
      </w:r>
    </w:p>
    <w:p>
      <w:pPr>
        <w:pStyle w:val="TextBody"/>
        <w:spacing w:before="120" w:after="0"/>
        <w:jc w:val="left"/>
        <w:rPr>
          <w:rFonts w:ascii="Times New Roman" w:hAnsi="Times New Roman"/>
          <w:b w:val="false"/>
          <w:sz w:val="20"/>
        </w:rPr>
      </w:pPr>
      <w:r>
        <w:rPr>
          <w:rFonts w:ascii="Times New Roman" w:hAnsi="Times New Roman"/>
          <w:b w:val="false"/>
          <w:sz w:val="20"/>
        </w:rPr>
        <w:t>1.</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 have reviewed this quarterly report on Form 10-Q of Geron Corporation;</w:t>
      </w:r>
    </w:p>
    <w:p>
      <w:pPr>
        <w:pStyle w:val="TextBody"/>
        <w:spacing w:before="120" w:after="0"/>
        <w:jc w:val="left"/>
        <w:rPr>
          <w:rFonts w:ascii="Times New Roman" w:hAnsi="Times New Roman"/>
          <w:b w:val="false"/>
          <w:sz w:val="20"/>
        </w:rPr>
      </w:pPr>
      <w:r>
        <w:rPr>
          <w:rFonts w:ascii="Times New Roman" w:hAnsi="Times New Roman"/>
          <w:b w:val="false"/>
          <w:sz w:val="20"/>
        </w:rPr>
        <w:t>2.</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120" w:after="0"/>
        <w:jc w:val="left"/>
        <w:rPr>
          <w:rFonts w:ascii="Times New Roman" w:hAnsi="Times New Roman"/>
          <w:b w:val="false"/>
          <w:sz w:val="20"/>
        </w:rPr>
      </w:pPr>
      <w:r>
        <w:rPr>
          <w:rFonts w:ascii="Times New Roman" w:hAnsi="Times New Roman"/>
          <w:b w:val="false"/>
          <w:sz w:val="20"/>
        </w:rPr>
        <w:t>3.</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before="120" w:after="0"/>
        <w:jc w:val="left"/>
        <w:rPr>
          <w:rFonts w:ascii="Times New Roman" w:hAnsi="Times New Roman"/>
          <w:b w:val="false"/>
          <w:sz w:val="20"/>
        </w:rPr>
      </w:pPr>
      <w:r>
        <w:rPr>
          <w:rFonts w:ascii="Times New Roman" w:hAnsi="Times New Roman"/>
          <w:b w:val="false"/>
          <w:sz w:val="20"/>
        </w:rPr>
        <w:t>4.</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before="120" w:after="0"/>
        <w:jc w:val="left"/>
        <w:rPr>
          <w:rFonts w:ascii="Times New Roman" w:hAnsi="Times New Roman"/>
          <w:b w:val="false"/>
          <w:sz w:val="20"/>
        </w:rPr>
      </w:pPr>
      <w:r>
        <w:rPr>
          <w:rFonts w:ascii="Times New Roman" w:hAnsi="Times New Roman"/>
          <w:b w:val="false"/>
          <w:sz w:val="20"/>
        </w:rPr>
        <w:t>(a)</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before="120" w:after="0"/>
        <w:jc w:val="left"/>
        <w:rPr>
          <w:rFonts w:ascii="Times New Roman" w:hAnsi="Times New Roman"/>
          <w:b w:val="false"/>
          <w:sz w:val="20"/>
        </w:rPr>
      </w:pPr>
      <w:r>
        <w:rPr>
          <w:rFonts w:ascii="Times New Roman" w:hAnsi="Times New Roman"/>
          <w:b w:val="false"/>
          <w:sz w:val="20"/>
        </w:rPr>
        <w:t>(b)</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before="120" w:after="0"/>
        <w:jc w:val="left"/>
        <w:rPr>
          <w:rFonts w:ascii="Times New Roman" w:hAnsi="Times New Roman"/>
          <w:b w:val="false"/>
          <w:sz w:val="20"/>
        </w:rPr>
      </w:pPr>
      <w:r>
        <w:rPr>
          <w:rFonts w:ascii="Times New Roman" w:hAnsi="Times New Roman"/>
          <w:b w:val="false"/>
          <w:sz w:val="20"/>
        </w:rPr>
        <w:t>(c)</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120" w:after="0"/>
        <w:jc w:val="left"/>
        <w:rPr>
          <w:rFonts w:ascii="Times New Roman" w:hAnsi="Times New Roman"/>
          <w:b w:val="false"/>
          <w:sz w:val="20"/>
        </w:rPr>
      </w:pPr>
      <w:r>
        <w:rPr>
          <w:rFonts w:ascii="Times New Roman" w:hAnsi="Times New Roman"/>
          <w:b w:val="false"/>
          <w:sz w:val="20"/>
        </w:rPr>
        <w:t>(d)</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before="120" w:after="0"/>
        <w:jc w:val="left"/>
        <w:rPr>
          <w:rFonts w:ascii="Times New Roman" w:hAnsi="Times New Roman"/>
          <w:b w:val="false"/>
          <w:sz w:val="20"/>
        </w:rPr>
      </w:pPr>
      <w:r>
        <w:rPr>
          <w:rFonts w:ascii="Times New Roman" w:hAnsi="Times New Roman"/>
          <w:b w:val="false"/>
          <w:sz w:val="20"/>
        </w:rPr>
        <w:t>5.</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before="120" w:after="0"/>
        <w:jc w:val="left"/>
        <w:rPr>
          <w:rFonts w:ascii="Times New Roman" w:hAnsi="Times New Roman"/>
          <w:b w:val="false"/>
          <w:sz w:val="20"/>
        </w:rPr>
      </w:pPr>
      <w:r>
        <w:rPr>
          <w:rFonts w:ascii="Times New Roman" w:hAnsi="Times New Roman"/>
          <w:b w:val="false"/>
          <w:sz w:val="20"/>
        </w:rPr>
        <w:t>(a)</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before="120" w:after="0"/>
        <w:jc w:val="left"/>
        <w:rPr>
          <w:rFonts w:ascii="Times New Roman" w:hAnsi="Times New Roman"/>
          <w:b w:val="false"/>
          <w:sz w:val="20"/>
        </w:rPr>
      </w:pPr>
      <w:r>
        <w:rPr>
          <w:rFonts w:ascii="Times New Roman" w:hAnsi="Times New Roman"/>
          <w:b w:val="false"/>
          <w:sz w:val="20"/>
        </w:rPr>
        <w:t>(b)</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Any fraud, whether or not material, that involves management or other employees who have a significant role in the registrant’s internal control over financial reporting.</w:t>
      </w:r>
    </w:p>
    <w:p>
      <w:pPr>
        <w:pStyle w:val="TextBody"/>
        <w:spacing w:before="0" w:after="0"/>
        <w:jc w:val="left"/>
        <w:rPr/>
      </w:pPr>
      <w:r>
        <w:rPr/>
        <w:t> </w:t>
      </w:r>
    </w:p>
    <w:tbl>
      <w:tblPr>
        <w:tblW w:w="3548" w:type="dxa"/>
        <w:jc w:val="left"/>
        <w:tblInd w:w="0" w:type="dxa"/>
        <w:tblCellMar>
          <w:top w:w="28" w:type="dxa"/>
          <w:left w:w="28" w:type="dxa"/>
          <w:bottom w:w="28" w:type="dxa"/>
          <w:right w:w="28" w:type="dxa"/>
        </w:tblCellMar>
      </w:tblPr>
      <w:tblGrid>
        <w:gridCol w:w="3211"/>
        <w:gridCol w:w="146"/>
        <w:gridCol w:w="191"/>
      </w:tblGrid>
      <w:tr>
        <w:trPr/>
        <w:tc>
          <w:tcPr>
            <w:tcW w:w="32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3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Date: May 11, 2023</w:t>
            </w:r>
          </w:p>
        </w:tc>
        <w:tc>
          <w:tcPr>
            <w:tcW w:w="146" w:type="dxa"/>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3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3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 JOHN A. SCARLETT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3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JOHN A. SCARLETT, M.D.</w:t>
            </w:r>
          </w:p>
        </w:tc>
        <w:tc>
          <w:tcPr>
            <w:tcW w:w="146" w:type="dxa"/>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3211" w:type="dxa"/>
            <w:tcBorders/>
            <w:shd w:fill="auto" w:val="clear"/>
            <w:vAlign w:val="center"/>
          </w:tcPr>
          <w:p>
            <w:pPr>
              <w:pStyle w:val="TableContents"/>
              <w:spacing w:before="0" w:after="0"/>
              <w:ind w:left="0" w:right="0" w:hanging="0"/>
              <w:jc w:val="left"/>
              <w:rPr>
                <w:rFonts w:ascii="Times New Roman;serif" w:hAnsi="Times New Roman;serif"/>
                <w:b w:val="false"/>
                <w:i/>
                <w:sz w:val="20"/>
              </w:rPr>
            </w:pPr>
            <w:r>
              <w:rPr>
                <w:rFonts w:ascii="Times New Roman;serif" w:hAnsi="Times New Roman;serif"/>
                <w:b w:val="false"/>
                <w:i/>
                <w:sz w:val="20"/>
              </w:rPr>
              <w:t>President and Chief Executive Officer</w:t>
            </w:r>
          </w:p>
        </w:tc>
        <w:tc>
          <w:tcPr>
            <w:tcW w:w="146" w:type="dxa"/>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left"/>
        <w:rPr/>
      </w:pPr>
      <w:r>
        <w:rPr/>
        <w:t> </w:t>
      </w:r>
    </w:p>
    <w:p>
      <w:pPr>
        <w:pStyle w:val="HorizontalLine"/>
        <w:rPr/>
      </w:pPr>
      <w:r>
        <w:rPr/>
      </w:r>
      <w:r>
        <w:br w:type="page"/>
      </w:r>
    </w:p>
    <w:p>
      <w:pPr>
        <w:pStyle w:val="TextBody"/>
        <w:spacing w:before="0" w:after="0"/>
        <w:jc w:val="left"/>
        <w:rPr/>
      </w:pPr>
      <w:bookmarkStart w:id="25" w:name="gern-ex31_2.htm"/>
      <w:bookmarkStart w:id="26" w:name="ksgernex31_2"/>
      <w:bookmarkEnd w:id="25"/>
      <w:bookmarkEnd w:id="26"/>
      <w:r>
        <w:rPr/>
        <w:t> </w:t>
      </w:r>
    </w:p>
    <w:p>
      <w:pPr>
        <w:pStyle w:val="TextBody"/>
        <w:spacing w:before="0" w:after="0"/>
        <w:jc w:val="right"/>
        <w:rPr>
          <w:rFonts w:ascii="Times New Roman;serif" w:hAnsi="Times New Roman;serif"/>
          <w:b/>
          <w:sz w:val="20"/>
        </w:rPr>
      </w:pPr>
      <w:r>
        <w:rPr>
          <w:rFonts w:ascii="Times New Roman;serif" w:hAnsi="Times New Roman;serif"/>
          <w:b/>
          <w:sz w:val="20"/>
        </w:rPr>
        <w:t>EXHIBIT 31.2</w:t>
      </w:r>
    </w:p>
    <w:p>
      <w:pPr>
        <w:pStyle w:val="TextBody"/>
        <w:spacing w:before="240" w:after="0"/>
        <w:jc w:val="center"/>
        <w:rPr>
          <w:rFonts w:ascii="Times New Roman;serif" w:hAnsi="Times New Roman;serif"/>
          <w:b/>
          <w:sz w:val="20"/>
        </w:rPr>
      </w:pPr>
      <w:r>
        <w:rPr>
          <w:rFonts w:ascii="Times New Roman;serif" w:hAnsi="Times New Roman;serif"/>
          <w:b/>
          <w:sz w:val="20"/>
        </w:rPr>
        <w:t>CERTIFICATION PURSUANT TO</w:t>
        <w:br/>
        <w:t>FORM OF RULE 13A-14(A)</w:t>
        <w:br/>
        <w:t>AS ADOPTED PURSUANT TO</w:t>
        <w:br/>
        <w:t>SECTION 302(A) OF THE SARBANES-OXLEY ACT OF 2002</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I, Olivia Bloom, certify that:</w:t>
      </w:r>
    </w:p>
    <w:p>
      <w:pPr>
        <w:pStyle w:val="TextBody"/>
        <w:spacing w:before="120" w:after="0"/>
        <w:jc w:val="left"/>
        <w:rPr>
          <w:rFonts w:ascii="Times New Roman" w:hAnsi="Times New Roman"/>
          <w:b w:val="false"/>
          <w:sz w:val="20"/>
        </w:rPr>
      </w:pPr>
      <w:r>
        <w:rPr>
          <w:rFonts w:ascii="Times New Roman" w:hAnsi="Times New Roman"/>
          <w:b w:val="false"/>
          <w:sz w:val="20"/>
        </w:rPr>
        <w:t>1.</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 have reviewed this quarterly report on Form 10-Q of Geron Corporation;</w:t>
      </w:r>
    </w:p>
    <w:p>
      <w:pPr>
        <w:pStyle w:val="TextBody"/>
        <w:spacing w:before="120" w:after="0"/>
        <w:jc w:val="left"/>
        <w:rPr>
          <w:rFonts w:ascii="Times New Roman" w:hAnsi="Times New Roman"/>
          <w:b w:val="false"/>
          <w:sz w:val="20"/>
        </w:rPr>
      </w:pPr>
      <w:r>
        <w:rPr>
          <w:rFonts w:ascii="Times New Roman" w:hAnsi="Times New Roman"/>
          <w:b w:val="false"/>
          <w:sz w:val="20"/>
        </w:rPr>
        <w:t>2.</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120" w:after="0"/>
        <w:jc w:val="left"/>
        <w:rPr>
          <w:rFonts w:ascii="Times New Roman" w:hAnsi="Times New Roman"/>
          <w:b w:val="false"/>
          <w:sz w:val="20"/>
        </w:rPr>
      </w:pPr>
      <w:r>
        <w:rPr>
          <w:rFonts w:ascii="Times New Roman" w:hAnsi="Times New Roman"/>
          <w:b w:val="false"/>
          <w:sz w:val="20"/>
        </w:rPr>
        <w:t>3.</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before="120" w:after="0"/>
        <w:jc w:val="left"/>
        <w:rPr>
          <w:rFonts w:ascii="Times New Roman" w:hAnsi="Times New Roman"/>
          <w:b w:val="false"/>
          <w:sz w:val="20"/>
        </w:rPr>
      </w:pPr>
      <w:r>
        <w:rPr>
          <w:rFonts w:ascii="Times New Roman" w:hAnsi="Times New Roman"/>
          <w:b w:val="false"/>
          <w:sz w:val="20"/>
        </w:rPr>
        <w:t>4.</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before="120" w:after="0"/>
        <w:jc w:val="left"/>
        <w:rPr>
          <w:rFonts w:ascii="Times New Roman" w:hAnsi="Times New Roman"/>
          <w:b w:val="false"/>
          <w:sz w:val="20"/>
        </w:rPr>
      </w:pPr>
      <w:r>
        <w:rPr>
          <w:rFonts w:ascii="Times New Roman" w:hAnsi="Times New Roman"/>
          <w:b w:val="false"/>
          <w:sz w:val="20"/>
        </w:rPr>
        <w:t>(a)</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before="120" w:after="0"/>
        <w:jc w:val="left"/>
        <w:rPr>
          <w:rFonts w:ascii="Times New Roman" w:hAnsi="Times New Roman"/>
          <w:b w:val="false"/>
          <w:sz w:val="20"/>
        </w:rPr>
      </w:pPr>
      <w:r>
        <w:rPr>
          <w:rFonts w:ascii="Times New Roman" w:hAnsi="Times New Roman"/>
          <w:b w:val="false"/>
          <w:sz w:val="20"/>
        </w:rPr>
        <w:t>(b)</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before="120" w:after="0"/>
        <w:jc w:val="left"/>
        <w:rPr>
          <w:rFonts w:ascii="Times New Roman" w:hAnsi="Times New Roman"/>
          <w:b w:val="false"/>
          <w:sz w:val="20"/>
        </w:rPr>
      </w:pPr>
      <w:r>
        <w:rPr>
          <w:rFonts w:ascii="Times New Roman" w:hAnsi="Times New Roman"/>
          <w:b w:val="false"/>
          <w:sz w:val="20"/>
        </w:rPr>
        <w:t>(c)</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120" w:after="0"/>
        <w:jc w:val="left"/>
        <w:rPr>
          <w:rFonts w:ascii="Times New Roman" w:hAnsi="Times New Roman"/>
          <w:b w:val="false"/>
          <w:sz w:val="20"/>
        </w:rPr>
      </w:pPr>
      <w:r>
        <w:rPr>
          <w:rFonts w:ascii="Times New Roman" w:hAnsi="Times New Roman"/>
          <w:b w:val="false"/>
          <w:sz w:val="20"/>
        </w:rPr>
        <w:t>(d)</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before="120" w:after="0"/>
        <w:jc w:val="left"/>
        <w:rPr>
          <w:rFonts w:ascii="Times New Roman" w:hAnsi="Times New Roman"/>
          <w:b w:val="false"/>
          <w:sz w:val="20"/>
        </w:rPr>
      </w:pPr>
      <w:r>
        <w:rPr>
          <w:rFonts w:ascii="Times New Roman" w:hAnsi="Times New Roman"/>
          <w:b w:val="false"/>
          <w:sz w:val="20"/>
        </w:rPr>
        <w:t>5.</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before="120" w:after="0"/>
        <w:jc w:val="left"/>
        <w:rPr>
          <w:rFonts w:ascii="Times New Roman" w:hAnsi="Times New Roman"/>
          <w:b w:val="false"/>
          <w:sz w:val="20"/>
        </w:rPr>
      </w:pPr>
      <w:r>
        <w:rPr>
          <w:rFonts w:ascii="Times New Roman" w:hAnsi="Times New Roman"/>
          <w:b w:val="false"/>
          <w:sz w:val="20"/>
        </w:rPr>
        <w:t>(a)</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before="120" w:after="0"/>
        <w:jc w:val="left"/>
        <w:rPr>
          <w:rFonts w:ascii="Times New Roman" w:hAnsi="Times New Roman"/>
          <w:b w:val="false"/>
          <w:sz w:val="20"/>
        </w:rPr>
      </w:pPr>
      <w:r>
        <w:rPr>
          <w:rFonts w:ascii="Times New Roman" w:hAnsi="Times New Roman"/>
          <w:b w:val="false"/>
          <w:sz w:val="20"/>
        </w:rPr>
        <w:t>(b)</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Any fraud, whether or not material, that involves management or other employees who have a significant role in the registrant’s internal control over financial reporting.</w:t>
      </w:r>
    </w:p>
    <w:p>
      <w:pPr>
        <w:pStyle w:val="TextBody"/>
        <w:spacing w:before="0" w:after="0"/>
        <w:jc w:val="left"/>
        <w:rPr/>
      </w:pPr>
      <w:r>
        <w:rPr/>
        <w:t> </w:t>
      </w:r>
    </w:p>
    <w:tbl>
      <w:tblPr>
        <w:tblW w:w="6458" w:type="dxa"/>
        <w:jc w:val="left"/>
        <w:tblInd w:w="0" w:type="dxa"/>
        <w:tblCellMar>
          <w:top w:w="28" w:type="dxa"/>
          <w:left w:w="28" w:type="dxa"/>
          <w:bottom w:w="28" w:type="dxa"/>
          <w:right w:w="28" w:type="dxa"/>
        </w:tblCellMar>
      </w:tblPr>
      <w:tblGrid>
        <w:gridCol w:w="6121"/>
        <w:gridCol w:w="146"/>
        <w:gridCol w:w="191"/>
      </w:tblGrid>
      <w:tr>
        <w:trPr/>
        <w:tc>
          <w:tcPr>
            <w:tcW w:w="612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61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Date: May 11, 2023</w:t>
            </w:r>
          </w:p>
        </w:tc>
        <w:tc>
          <w:tcPr>
            <w:tcW w:w="146" w:type="dxa"/>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612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61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 OLIVIA BLOOM</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61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OLIVIA K. BLOOM</w:t>
            </w:r>
          </w:p>
        </w:tc>
        <w:tc>
          <w:tcPr>
            <w:tcW w:w="146" w:type="dxa"/>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6121" w:type="dxa"/>
            <w:tcBorders/>
            <w:shd w:fill="auto" w:val="clear"/>
            <w:vAlign w:val="center"/>
          </w:tcPr>
          <w:p>
            <w:pPr>
              <w:pStyle w:val="TableContents"/>
              <w:spacing w:before="0" w:after="0"/>
              <w:ind w:left="0" w:right="0" w:hanging="0"/>
              <w:jc w:val="left"/>
              <w:rPr>
                <w:rFonts w:ascii="Times New Roman;serif" w:hAnsi="Times New Roman;serif"/>
                <w:b w:val="false"/>
                <w:i/>
                <w:sz w:val="20"/>
              </w:rPr>
            </w:pPr>
            <w:r>
              <w:rPr>
                <w:rFonts w:ascii="Times New Roman;serif" w:hAnsi="Times New Roman;serif"/>
                <w:b w:val="false"/>
                <w:i/>
                <w:sz w:val="20"/>
              </w:rPr>
              <w:t>Executive Vice President, Finance, Chief Financial Officer and Treasurer</w:t>
            </w:r>
          </w:p>
        </w:tc>
        <w:tc>
          <w:tcPr>
            <w:tcW w:w="146" w:type="dxa"/>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left"/>
        <w:rPr/>
      </w:pPr>
      <w:r>
        <w:rPr/>
        <w:t> </w:t>
      </w:r>
    </w:p>
    <w:p>
      <w:pPr>
        <w:pStyle w:val="HorizontalLine"/>
        <w:rPr/>
      </w:pPr>
      <w:r>
        <w:rPr/>
      </w:r>
      <w:r>
        <w:br w:type="page"/>
      </w:r>
    </w:p>
    <w:p>
      <w:pPr>
        <w:pStyle w:val="TextBody"/>
        <w:spacing w:before="0" w:after="0"/>
        <w:jc w:val="left"/>
        <w:rPr/>
      </w:pPr>
      <w:bookmarkStart w:id="27" w:name="gern-ex32_1.htm"/>
      <w:bookmarkStart w:id="28" w:name="ksgernex32_1"/>
      <w:bookmarkEnd w:id="27"/>
      <w:bookmarkEnd w:id="28"/>
      <w:r>
        <w:rPr/>
        <w:t> </w:t>
      </w:r>
    </w:p>
    <w:p>
      <w:pPr>
        <w:pStyle w:val="TextBody"/>
        <w:spacing w:before="0" w:after="0"/>
        <w:jc w:val="right"/>
        <w:rPr>
          <w:rFonts w:ascii="Times New Roman;serif" w:hAnsi="Times New Roman;serif"/>
          <w:b/>
          <w:sz w:val="20"/>
        </w:rPr>
      </w:pPr>
      <w:r>
        <w:rPr>
          <w:rFonts w:ascii="Times New Roman;serif" w:hAnsi="Times New Roman;serif"/>
          <w:b/>
          <w:sz w:val="20"/>
        </w:rPr>
        <w:t>EXHIBIT 32.1</w:t>
      </w:r>
    </w:p>
    <w:p>
      <w:pPr>
        <w:pStyle w:val="TextBody"/>
        <w:spacing w:before="360" w:after="0"/>
        <w:jc w:val="center"/>
        <w:rPr>
          <w:rFonts w:ascii="Times New Roman;serif" w:hAnsi="Times New Roman;serif"/>
          <w:b/>
          <w:sz w:val="20"/>
        </w:rPr>
      </w:pPr>
      <w:r>
        <w:rPr>
          <w:rFonts w:ascii="Times New Roman;serif" w:hAnsi="Times New Roman;serif"/>
          <w:b/>
          <w:sz w:val="20"/>
        </w:rPr>
        <w:t>CERTIFICATION PURSUANT TO</w:t>
      </w:r>
    </w:p>
    <w:p>
      <w:pPr>
        <w:pStyle w:val="TextBody"/>
        <w:spacing w:before="0" w:after="0"/>
        <w:jc w:val="center"/>
        <w:rPr>
          <w:rFonts w:ascii="Times New Roman;serif" w:hAnsi="Times New Roman;serif"/>
          <w:b/>
          <w:sz w:val="20"/>
        </w:rPr>
      </w:pPr>
      <w:r>
        <w:rPr>
          <w:rFonts w:ascii="Times New Roman;serif" w:hAnsi="Times New Roman;serif"/>
          <w:b/>
          <w:sz w:val="20"/>
        </w:rPr>
        <w:t>18 U.S.C. SECTION 1350,</w:t>
      </w:r>
    </w:p>
    <w:p>
      <w:pPr>
        <w:pStyle w:val="TextBody"/>
        <w:spacing w:before="0" w:after="0"/>
        <w:jc w:val="center"/>
        <w:rPr>
          <w:rFonts w:ascii="Times New Roman;serif" w:hAnsi="Times New Roman;serif"/>
          <w:b/>
          <w:sz w:val="20"/>
        </w:rPr>
      </w:pPr>
      <w:r>
        <w:rPr>
          <w:rFonts w:ascii="Times New Roman;serif" w:hAnsi="Times New Roman;serif"/>
          <w:b/>
          <w:sz w:val="20"/>
        </w:rPr>
        <w:t>AS ADOPTED PURSUANT TO</w:t>
      </w:r>
    </w:p>
    <w:p>
      <w:pPr>
        <w:pStyle w:val="TextBody"/>
        <w:spacing w:before="0" w:after="0"/>
        <w:jc w:val="center"/>
        <w:rPr>
          <w:rFonts w:ascii="Times New Roman;serif" w:hAnsi="Times New Roman;serif"/>
          <w:b/>
          <w:sz w:val="20"/>
        </w:rPr>
      </w:pPr>
      <w:r>
        <w:rPr>
          <w:rFonts w:ascii="Times New Roman;serif" w:hAnsi="Times New Roman;serif"/>
          <w:b/>
          <w:sz w:val="20"/>
        </w:rPr>
        <w:t>SECTION 906 OF THE SARBANES-OXLEY ACT OF 2002</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Pursuant to 18 U.S.C. Section 1350, as created by Section 906 of the Sarbanes-Oxley Act of 2002, the undersigned officer of Geron Corporation (the “Company”) hereby certifies, to such officer’s knowledge, that:</w:t>
      </w:r>
    </w:p>
    <w:p>
      <w:pPr>
        <w:pStyle w:val="TextBody"/>
        <w:spacing w:before="120" w:after="0"/>
        <w:jc w:val="left"/>
        <w:rPr>
          <w:rFonts w:ascii="Times New Roman" w:hAnsi="Times New Roman"/>
          <w:b w:val="false"/>
          <w:sz w:val="20"/>
        </w:rPr>
      </w:pPr>
      <w:r>
        <w:rPr>
          <w:rFonts w:ascii="Times New Roman" w:hAnsi="Times New Roman"/>
          <w:b w:val="false"/>
          <w:sz w:val="20"/>
        </w:rPr>
        <w:t>(i)</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accompanying quarterly report on Form 10-Q of the Company for the quarter ended March 31, 2023 (the “Report”) fully complies with the requirements of Section 13(a) or Section 15(d), as applicable, of the Securities Exchange Act of 1934, as amended; and</w:t>
      </w:r>
    </w:p>
    <w:p>
      <w:pPr>
        <w:pStyle w:val="TextBody"/>
        <w:spacing w:before="120" w:after="0"/>
        <w:jc w:val="left"/>
        <w:rPr>
          <w:rFonts w:ascii="Times New Roman" w:hAnsi="Times New Roman"/>
          <w:b w:val="false"/>
          <w:sz w:val="20"/>
        </w:rPr>
      </w:pPr>
      <w:r>
        <w:rPr>
          <w:rFonts w:ascii="Times New Roman" w:hAnsi="Times New Roman"/>
          <w:b w:val="false"/>
          <w:sz w:val="20"/>
        </w:rPr>
        <w:t>(ii)</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the information contained in the Report fairly presents, in all material respects, the financial condition and results of operations of the Company.</w:t>
      </w:r>
    </w:p>
    <w:p>
      <w:pPr>
        <w:pStyle w:val="TextBody"/>
        <w:spacing w:before="0" w:after="0"/>
        <w:jc w:val="left"/>
        <w:rPr/>
      </w:pPr>
      <w:r>
        <w:rPr/>
        <w:t> </w:t>
      </w:r>
    </w:p>
    <w:tbl>
      <w:tblPr>
        <w:tblW w:w="5233" w:type="dxa"/>
        <w:jc w:val="left"/>
        <w:tblInd w:w="0" w:type="dxa"/>
        <w:tblCellMar>
          <w:top w:w="28" w:type="dxa"/>
          <w:left w:w="28" w:type="dxa"/>
          <w:bottom w:w="28" w:type="dxa"/>
          <w:right w:w="28" w:type="dxa"/>
        </w:tblCellMar>
      </w:tblPr>
      <w:tblGrid>
        <w:gridCol w:w="1846"/>
        <w:gridCol w:w="146"/>
        <w:gridCol w:w="3241"/>
      </w:tblGrid>
      <w:tr>
        <w:trPr/>
        <w:tc>
          <w:tcPr>
            <w:tcW w:w="18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241" w:type="dxa"/>
            <w:tcBorders/>
            <w:shd w:fill="auto" w:val="clear"/>
            <w:vAlign w:val="center"/>
          </w:tcPr>
          <w:p>
            <w:pPr>
              <w:pStyle w:val="TableContents"/>
              <w:spacing w:before="0" w:after="283"/>
              <w:rPr>
                <w:sz w:val="4"/>
                <w:szCs w:val="4"/>
              </w:rPr>
            </w:pPr>
            <w:r>
              <w:rPr>
                <w:sz w:val="4"/>
                <w:szCs w:val="4"/>
              </w:rPr>
            </w:r>
          </w:p>
        </w:tc>
      </w:tr>
      <w:tr>
        <w:trPr/>
        <w:tc>
          <w:tcPr>
            <w:tcW w:w="18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Dated: May 11, 2023</w:t>
            </w:r>
          </w:p>
        </w:tc>
        <w:tc>
          <w:tcPr>
            <w:tcW w:w="146" w:type="dxa"/>
            <w:tcBorders/>
            <w:shd w:fill="auto" w:val="clear"/>
            <w:vAlign w:val="center"/>
          </w:tcPr>
          <w:p>
            <w:pPr>
              <w:pStyle w:val="TableContents"/>
              <w:spacing w:before="0" w:after="0"/>
              <w:ind w:left="0" w:right="0" w:hanging="0"/>
              <w:jc w:val="left"/>
              <w:rPr/>
            </w:pPr>
            <w:r>
              <w:rPr/>
              <w:t> </w:t>
            </w:r>
          </w:p>
        </w:tc>
        <w:tc>
          <w:tcPr>
            <w:tcW w:w="32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 JOHN A. SCARLETT</w:t>
            </w:r>
          </w:p>
        </w:tc>
      </w:tr>
      <w:tr>
        <w:trPr/>
        <w:tc>
          <w:tcPr>
            <w:tcW w:w="18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2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JOHN A. SCARLETT, M.D.</w:t>
            </w:r>
          </w:p>
        </w:tc>
      </w:tr>
      <w:tr>
        <w:trPr/>
        <w:tc>
          <w:tcPr>
            <w:tcW w:w="18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241" w:type="dxa"/>
            <w:tcBorders/>
            <w:shd w:fill="auto" w:val="clear"/>
            <w:vAlign w:val="center"/>
          </w:tcPr>
          <w:p>
            <w:pPr>
              <w:pStyle w:val="TableContents"/>
              <w:spacing w:before="0" w:after="0"/>
              <w:ind w:left="0" w:right="0" w:hanging="0"/>
              <w:jc w:val="left"/>
              <w:rPr>
                <w:rFonts w:ascii="Times New Roman;serif" w:hAnsi="Times New Roman;serif"/>
                <w:b w:val="false"/>
                <w:i/>
                <w:sz w:val="20"/>
              </w:rPr>
            </w:pPr>
            <w:r>
              <w:rPr>
                <w:rFonts w:ascii="Times New Roman;serif" w:hAnsi="Times New Roman;serif"/>
                <w:b w:val="false"/>
                <w:i/>
                <w:sz w:val="20"/>
              </w:rPr>
              <w:t>President and Chief Executive Officer</w:t>
            </w:r>
          </w:p>
        </w:tc>
      </w:tr>
    </w:tbl>
    <w:p>
      <w:pPr>
        <w:pStyle w:val="TextBody"/>
        <w:spacing w:before="0" w:after="0"/>
        <w:jc w:val="left"/>
        <w:rPr/>
      </w:pPr>
      <w:r>
        <w:rPr/>
        <w:t> </w:t>
      </w:r>
    </w:p>
    <w:p>
      <w:pPr>
        <w:pStyle w:val="TextBody"/>
        <w:spacing w:before="40" w:after="0"/>
        <w:jc w:val="left"/>
        <w:rPr>
          <w:rFonts w:ascii="Times New Roman;serif" w:hAnsi="Times New Roman;serif"/>
          <w:b w:val="false"/>
          <w:sz w:val="20"/>
        </w:rPr>
      </w:pPr>
      <w:r>
        <w:rPr>
          <w:rFonts w:ascii="Times New Roman;serif" w:hAnsi="Times New Roman;serif"/>
          <w:b w:val="false"/>
          <w:sz w:val="20"/>
        </w:rPr>
        <w:t>This certification accompanies the Form 10-Q to which it relates, is not deemed filed with the Securities and Exchange Commission and is not to be incorporated by reference into any filing of the Company under the Securities Act of 1933, as amended, or the Securities Exchange Act of 1934, as amended (whether made before or after the date of the Form 10-Q), irrespective of any general incorporation language contained in such filing.</w:t>
      </w:r>
    </w:p>
    <w:p>
      <w:pPr>
        <w:pStyle w:val="TextBody"/>
        <w:spacing w:before="0" w:after="0"/>
        <w:jc w:val="left"/>
        <w:rPr/>
      </w:pPr>
      <w:r>
        <w:rPr/>
        <w:t> </w:t>
      </w:r>
    </w:p>
    <w:p>
      <w:pPr>
        <w:pStyle w:val="HorizontalLine"/>
        <w:rPr/>
      </w:pPr>
      <w:r>
        <w:rPr/>
      </w:r>
      <w:r>
        <w:br w:type="page"/>
      </w:r>
    </w:p>
    <w:p>
      <w:pPr>
        <w:pStyle w:val="TextBody"/>
        <w:spacing w:before="0" w:after="0"/>
        <w:jc w:val="left"/>
        <w:rPr/>
      </w:pPr>
      <w:bookmarkStart w:id="29" w:name="gern-ex32_2.htm"/>
      <w:bookmarkStart w:id="30" w:name="ksgernex32_2"/>
      <w:bookmarkEnd w:id="29"/>
      <w:bookmarkEnd w:id="30"/>
      <w:r>
        <w:rPr/>
        <w:t> </w:t>
      </w:r>
    </w:p>
    <w:p>
      <w:pPr>
        <w:pStyle w:val="TextBody"/>
        <w:spacing w:before="0" w:after="0"/>
        <w:jc w:val="right"/>
        <w:rPr>
          <w:rFonts w:ascii="Times New Roman;serif" w:hAnsi="Times New Roman;serif"/>
          <w:b/>
          <w:sz w:val="20"/>
        </w:rPr>
      </w:pPr>
      <w:r>
        <w:rPr>
          <w:rFonts w:ascii="Times New Roman;serif" w:hAnsi="Times New Roman;serif"/>
          <w:b/>
          <w:sz w:val="20"/>
        </w:rPr>
        <w:t>EXHIBIT 32.2</w:t>
      </w:r>
    </w:p>
    <w:p>
      <w:pPr>
        <w:pStyle w:val="TextBody"/>
        <w:spacing w:before="360" w:after="0"/>
        <w:jc w:val="center"/>
        <w:rPr>
          <w:rFonts w:ascii="Times New Roman;serif" w:hAnsi="Times New Roman;serif"/>
          <w:b/>
          <w:sz w:val="20"/>
        </w:rPr>
      </w:pPr>
      <w:r>
        <w:rPr>
          <w:rFonts w:ascii="Times New Roman;serif" w:hAnsi="Times New Roman;serif"/>
          <w:b/>
          <w:sz w:val="20"/>
        </w:rPr>
        <w:t>CERTIFICATION PURSUANT TO</w:t>
      </w:r>
    </w:p>
    <w:p>
      <w:pPr>
        <w:pStyle w:val="TextBody"/>
        <w:spacing w:before="0" w:after="0"/>
        <w:jc w:val="center"/>
        <w:rPr>
          <w:rFonts w:ascii="Times New Roman;serif" w:hAnsi="Times New Roman;serif"/>
          <w:b/>
          <w:sz w:val="20"/>
        </w:rPr>
      </w:pPr>
      <w:r>
        <w:rPr>
          <w:rFonts w:ascii="Times New Roman;serif" w:hAnsi="Times New Roman;serif"/>
          <w:b/>
          <w:sz w:val="20"/>
        </w:rPr>
        <w:t>18 U.S.C. SECTION 1350,</w:t>
      </w:r>
    </w:p>
    <w:p>
      <w:pPr>
        <w:pStyle w:val="TextBody"/>
        <w:spacing w:before="0" w:after="0"/>
        <w:jc w:val="center"/>
        <w:rPr>
          <w:rFonts w:ascii="Times New Roman;serif" w:hAnsi="Times New Roman;serif"/>
          <w:b/>
          <w:sz w:val="20"/>
        </w:rPr>
      </w:pPr>
      <w:r>
        <w:rPr>
          <w:rFonts w:ascii="Times New Roman;serif" w:hAnsi="Times New Roman;serif"/>
          <w:b/>
          <w:sz w:val="20"/>
        </w:rPr>
        <w:t>AS ADOPTED PURSUANT TO</w:t>
      </w:r>
    </w:p>
    <w:p>
      <w:pPr>
        <w:pStyle w:val="TextBody"/>
        <w:spacing w:before="0" w:after="0"/>
        <w:jc w:val="center"/>
        <w:rPr>
          <w:rFonts w:ascii="Times New Roman;serif" w:hAnsi="Times New Roman;serif"/>
          <w:b/>
          <w:sz w:val="20"/>
        </w:rPr>
      </w:pPr>
      <w:r>
        <w:rPr>
          <w:rFonts w:ascii="Times New Roman;serif" w:hAnsi="Times New Roman;serif"/>
          <w:b/>
          <w:sz w:val="20"/>
        </w:rPr>
        <w:t>SECTION 906 OF THE SARBANES-OXLEY ACT OF 2002</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Pursuant to 18 U.S.C. Section 1350, as created by Section 906 of the Sarbanes-Oxley Act of 2002, the undersigned officer of Geron Corporation (the “Company”) hereby certifies, to such officer’s knowledge, that:</w:t>
      </w:r>
    </w:p>
    <w:p>
      <w:pPr>
        <w:pStyle w:val="TextBody"/>
        <w:spacing w:before="120" w:after="0"/>
        <w:jc w:val="left"/>
        <w:rPr>
          <w:rFonts w:ascii="Times New Roman" w:hAnsi="Times New Roman"/>
          <w:b w:val="false"/>
          <w:sz w:val="20"/>
        </w:rPr>
      </w:pPr>
      <w:r>
        <w:rPr>
          <w:rFonts w:ascii="Times New Roman" w:hAnsi="Times New Roman"/>
          <w:b w:val="false"/>
          <w:sz w:val="20"/>
        </w:rPr>
        <w:t>(i)</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accompanying quarterly report on Form 10-Q of the Company for the quarter ended March 31, 2023 (the “Report”) fully complies with the requirements of Section 13(a) or Section 15(d), as applicable, of the Securities Exchange Act of 1934, as amended; and</w:t>
      </w:r>
    </w:p>
    <w:p>
      <w:pPr>
        <w:pStyle w:val="TextBody"/>
        <w:spacing w:before="120" w:after="0"/>
        <w:jc w:val="left"/>
        <w:rPr>
          <w:rFonts w:ascii="Times New Roman" w:hAnsi="Times New Roman"/>
          <w:b w:val="false"/>
          <w:sz w:val="20"/>
        </w:rPr>
      </w:pPr>
      <w:r>
        <w:rPr>
          <w:rFonts w:ascii="Times New Roman" w:hAnsi="Times New Roman"/>
          <w:b w:val="false"/>
          <w:sz w:val="20"/>
        </w:rPr>
        <w:t>(ii)</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the information contained in the Report fairly presents, in all material respects, the financial condition and results of operations of the Company.</w:t>
      </w:r>
    </w:p>
    <w:p>
      <w:pPr>
        <w:pStyle w:val="TextBody"/>
        <w:spacing w:before="0" w:after="0"/>
        <w:jc w:val="left"/>
        <w:rPr/>
      </w:pPr>
      <w:r>
        <w:rPr/>
        <w:t> </w:t>
      </w:r>
    </w:p>
    <w:tbl>
      <w:tblPr>
        <w:tblW w:w="8143" w:type="dxa"/>
        <w:jc w:val="left"/>
        <w:tblInd w:w="0" w:type="dxa"/>
        <w:tblCellMar>
          <w:top w:w="28" w:type="dxa"/>
          <w:left w:w="28" w:type="dxa"/>
          <w:bottom w:w="28" w:type="dxa"/>
          <w:right w:w="28" w:type="dxa"/>
        </w:tblCellMar>
      </w:tblPr>
      <w:tblGrid>
        <w:gridCol w:w="1846"/>
        <w:gridCol w:w="146"/>
        <w:gridCol w:w="6151"/>
      </w:tblGrid>
      <w:tr>
        <w:trPr/>
        <w:tc>
          <w:tcPr>
            <w:tcW w:w="18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151" w:type="dxa"/>
            <w:tcBorders/>
            <w:shd w:fill="auto" w:val="clear"/>
            <w:vAlign w:val="center"/>
          </w:tcPr>
          <w:p>
            <w:pPr>
              <w:pStyle w:val="TableContents"/>
              <w:spacing w:before="0" w:after="283"/>
              <w:rPr>
                <w:sz w:val="4"/>
                <w:szCs w:val="4"/>
              </w:rPr>
            </w:pPr>
            <w:r>
              <w:rPr>
                <w:sz w:val="4"/>
                <w:szCs w:val="4"/>
              </w:rPr>
            </w:r>
          </w:p>
        </w:tc>
      </w:tr>
      <w:tr>
        <w:trPr/>
        <w:tc>
          <w:tcPr>
            <w:tcW w:w="18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Dated: May 11, 2023</w:t>
            </w:r>
          </w:p>
        </w:tc>
        <w:tc>
          <w:tcPr>
            <w:tcW w:w="146" w:type="dxa"/>
            <w:tcBorders/>
            <w:shd w:fill="auto" w:val="clear"/>
            <w:vAlign w:val="center"/>
          </w:tcPr>
          <w:p>
            <w:pPr>
              <w:pStyle w:val="TableContents"/>
              <w:spacing w:before="0" w:after="0"/>
              <w:ind w:left="0" w:right="0" w:hanging="0"/>
              <w:jc w:val="left"/>
              <w:rPr/>
            </w:pPr>
            <w:r>
              <w:rPr/>
              <w:t> </w:t>
            </w:r>
          </w:p>
        </w:tc>
        <w:tc>
          <w:tcPr>
            <w:tcW w:w="6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 OLIVIA BLOOM</w:t>
            </w:r>
          </w:p>
        </w:tc>
      </w:tr>
      <w:tr>
        <w:trPr/>
        <w:tc>
          <w:tcPr>
            <w:tcW w:w="18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1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OLIVIA K. BLOOM</w:t>
            </w:r>
          </w:p>
        </w:tc>
      </w:tr>
      <w:tr>
        <w:trPr/>
        <w:tc>
          <w:tcPr>
            <w:tcW w:w="18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151" w:type="dxa"/>
            <w:tcBorders/>
            <w:shd w:fill="auto" w:val="clear"/>
            <w:vAlign w:val="center"/>
          </w:tcPr>
          <w:p>
            <w:pPr>
              <w:pStyle w:val="TableContents"/>
              <w:spacing w:before="0" w:after="0"/>
              <w:ind w:left="0" w:right="0" w:hanging="0"/>
              <w:jc w:val="left"/>
              <w:rPr>
                <w:rFonts w:ascii="Times New Roman;serif" w:hAnsi="Times New Roman;serif"/>
                <w:b w:val="false"/>
                <w:i/>
                <w:sz w:val="20"/>
              </w:rPr>
            </w:pPr>
            <w:r>
              <w:rPr>
                <w:rFonts w:ascii="Times New Roman;serif" w:hAnsi="Times New Roman;serif"/>
                <w:b w:val="false"/>
                <w:i/>
                <w:sz w:val="20"/>
              </w:rPr>
              <w:t>Executive Vice President, Finance, Chief Financial Officer and Treasurer</w:t>
            </w:r>
          </w:p>
        </w:tc>
      </w:tr>
    </w:tbl>
    <w:p>
      <w:pPr>
        <w:pStyle w:val="TextBody"/>
        <w:spacing w:before="0" w:after="0"/>
        <w:jc w:val="left"/>
        <w:rPr/>
      </w:pPr>
      <w:r>
        <w:rPr/>
        <w:t> </w:t>
      </w:r>
    </w:p>
    <w:p>
      <w:pPr>
        <w:pStyle w:val="TextBody"/>
        <w:spacing w:before="40" w:after="0"/>
        <w:jc w:val="left"/>
        <w:rPr>
          <w:rFonts w:ascii="Times New Roman;serif" w:hAnsi="Times New Roman;serif"/>
          <w:b w:val="false"/>
          <w:sz w:val="20"/>
        </w:rPr>
      </w:pPr>
      <w:r>
        <w:rPr>
          <w:rFonts w:ascii="Times New Roman;serif" w:hAnsi="Times New Roman;serif"/>
          <w:b w:val="false"/>
          <w:sz w:val="20"/>
        </w:rPr>
        <w:t>This certification accompanies the Form 10-Q to which it relates, is not deemed filed with the Securities and Exchange Commission and is not to be incorporated by reference into any filing of the Company under the Securities Act of 1933, as amended, or the Securities Exchange Act of 1934, as amended (whether made before or after the date of the Form 10-Q), irrespective of any general incorporation language contained in such filing.</w:t>
      </w:r>
    </w:p>
    <w:p>
      <w:pPr>
        <w:pStyle w:val="TextBody"/>
        <w:spacing w:before="0" w:after="0"/>
        <w:jc w:val="left"/>
        <w:rPr/>
      </w:pPr>
      <w:r>
        <w:rPr/>
        <w:t> </w:t>
      </w:r>
    </w:p>
    <w:p>
      <w:pPr>
        <w:pStyle w:val="HorizontalLine"/>
        <w:pBdr>
          <w:bottom w:val="double" w:sz="2" w:space="0" w:color="808080"/>
        </w:pBdr>
        <w:spacing w:before="0" w:after="283"/>
        <w:rPr/>
      </w:pPr>
      <w:r>
        <w:rPr/>
      </w:r>
    </w:p>
    <w:sectPr>
      <w:type w:val="nextPage"/>
      <w:pgSz w:w="12240" w:h="15840"/>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886744/000095017023000349/gern-ex4_1.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11</Pages>
  <Words>62857</Words>
  <CharactersWithSpaces>418312</CharactersWithSpaces>
  <Paragraphs>4951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